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 - 部件问题案例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调速器全过程技术监督精益化管理实施细则.xls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运行水轮机油中存在颗粒物、水分、及劣化产物等污染物时，应进行净化处理，确保运行油洁净度在合格水平。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部件表面油污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可能的原因包括：1. 设备密封不良，导致内部润滑油渗漏；2. 环境污染，空气中油雾沉积在设备表面；3. 维护不当，清洁工作不到位。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 立即进行设备表面清洁，使用专用清洁剂去除油污；2. 检查设备密封情况，如有渗漏需及时修复；3. 加强日常维护，定期检查和清洁设备表面；4. 分析油污来源，采取措施防止再次污染。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