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
        <w:rPr>
          <w:rFonts w:ascii="黑体" w:hAnsi="黑体" w:eastAsia="黑体"/>
          <w:b/>
          <w:sz w:val="28"/>
        </w:rPr>
        <w:t>技术监督典型案例收集模板</w:t>
      </w:r>
    </w:p>
    <w:p/>
    <w:tbl>
      <w:tblPr>
        <w:tblStyle w:val="TableGrid"/>
        <w:tblW w:type="auto" w:w="0"/>
        <w:tblLook w:firstColumn="1" w:firstRow="1" w:lastColumn="0" w:lastRow="0" w:noHBand="0" w:noVBand="1" w:val="04A0"/>
      </w:tblPr>
      <w:tblGrid>
        <w:gridCol w:w="2160"/>
        <w:gridCol w:w="2592"/>
        <w:gridCol w:w="5760"/>
      </w:tblGrid>
      <w:tr>
        <w:tc>
          <w:tcPr>
            <w:tcW w:type="dxa" w:w="3312"/>
            <w:vAlign w:val="center"/>
          </w:tcPr>
          <w:p>
            <w:pPr>
              <w:jc w:val="left"/>
            </w:pPr>
            <w:r/>
            <w:r>
              <w:rPr>
                <w:rFonts w:ascii="仿宋_GB2312" w:hAnsi="仿宋_GB2312" w:eastAsia="仿宋_GB2312"/>
                <w:b/>
                <w:sz w:val="22"/>
              </w:rPr>
              <w:t>*单位名称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*案例名称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工程信息</w:t>
            </w:r>
          </w:p>
        </w:tc>
        <w:tc>
          <w:tcPr>
            <w:tcW w:type="dxa" w:w="3312"/>
            <w:vAlign w:val="center"/>
          </w:tcPr>
          <w:p>
            <w:pPr>
              <w:jc w:val="left"/>
            </w:pPr>
            <w:r/>
            <w:r>
              <w:rPr>
                <w:rFonts w:ascii="仿宋_GB2312" w:hAnsi="仿宋_GB2312" w:eastAsia="仿宋_GB2312"/>
                <w:b w:val="0"/>
                <w:sz w:val="22"/>
              </w:rPr>
              <w:t>*工程名称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*站线名称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设备信息</w:t>
            </w:r>
          </w:p>
        </w:tc>
        <w:tc>
          <w:tcPr>
            <w:tcW w:type="dxa" w:w="3312"/>
            <w:vAlign w:val="center"/>
          </w:tcPr>
          <w:p>
            <w:pPr>
              <w:jc w:val="left"/>
            </w:pPr>
            <w:r/>
            <w:r>
              <w:rPr>
                <w:rFonts w:ascii="仿宋_GB2312" w:hAnsi="仿宋_GB2312" w:eastAsia="仿宋_GB2312"/>
                <w:b w:val="0"/>
                <w:sz w:val="22"/>
              </w:rPr>
              <w:t>*设备类型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*设备电压等级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*生产厂家全称（或责任单位）</w:t>
            </w:r>
          </w:p>
        </w:tc>
        <w:tc>
          <w:tcPr>
            <w:tcW w:type="dxa" w:w="331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*监督专业</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*监督阶段</w:t>
            </w:r>
          </w:p>
        </w:tc>
        <w:tc>
          <w:tcPr>
            <w:tcW w:type="dxa" w:w="6624"/>
            <w:gridSpan w:val="2"/>
            <w:vAlign w:val="center"/>
          </w:tcPr>
          <w:p>
            <w:pPr>
              <w:jc w:val="left"/>
            </w:pPr>
            <w:r/>
            <w:r>
              <w:rPr>
                <w:rFonts w:ascii="仿宋_GB2312" w:hAnsi="仿宋_GB2312" w:eastAsia="仿宋_GB2312"/>
                <w:b w:val="0"/>
                <w:sz w:val="22"/>
              </w:rPr>
              <w:t>设备安装阶段</w:t>
            </w:r>
          </w:p>
        </w:tc>
      </w:tr>
      <w:tr>
        <w:tc>
          <w:tcPr>
            <w:tcW w:type="dxa" w:w="3312"/>
            <w:vMerge w:val="restart"/>
            <w:vAlign w:val="center"/>
          </w:tcPr>
          <w:p>
            <w:pPr>
              <w:jc w:val="center"/>
            </w:pPr>
            <w:r/>
            <w:r>
              <w:rPr>
                <w:rFonts w:ascii="仿宋_GB2312" w:hAnsi="仿宋_GB2312" w:eastAsia="仿宋_GB2312"/>
                <w:b/>
                <w:sz w:val="22"/>
              </w:rPr>
              <w:t>依据细则（标准）</w:t>
            </w:r>
          </w:p>
        </w:tc>
        <w:tc>
          <w:tcPr>
            <w:tcW w:type="dxa" w:w="3312"/>
            <w:vAlign w:val="center"/>
          </w:tcPr>
          <w:p>
            <w:pPr>
              <w:jc w:val="left"/>
            </w:pPr>
            <w:r/>
            <w:r>
              <w:rPr>
                <w:rFonts w:ascii="仿宋_GB2312" w:hAnsi="仿宋_GB2312" w:eastAsia="仿宋_GB2312"/>
                <w:b w:val="0"/>
                <w:sz w:val="22"/>
              </w:rPr>
              <w:t>*细则（标准）名称</w:t>
            </w:r>
          </w:p>
        </w:tc>
        <w:tc>
          <w:tcPr>
            <w:tcW w:type="dxa" w:w="3312"/>
            <w:vAlign w:val="center"/>
          </w:tcPr>
          <w:p>
            <w:pPr>
              <w:jc w:val="left"/>
            </w:pPr>
            <w:r/>
            <w:r>
              <w:rPr>
                <w:rFonts w:ascii="仿宋_GB2312" w:hAnsi="仿宋_GB2312" w:eastAsia="仿宋_GB2312"/>
                <w:b w:val="0"/>
                <w:sz w:val="22"/>
              </w:rPr>
              <w:t>直流隔离开关和接地开关全过程技术监督精益化管理实施细则.xls</w:t>
            </w:r>
          </w:p>
        </w:tc>
      </w:tr>
      <w:tr>
        <w:tc>
          <w:tcPr>
            <w:tcW w:type="dxa" w:w="3312"/>
            <w:vMerge/>
          </w:tcPr>
          <w:p/>
        </w:tc>
        <w:tc>
          <w:tcPr>
            <w:tcW w:type="dxa" w:w="3312"/>
            <w:vAlign w:val="center"/>
          </w:tcPr>
          <w:p>
            <w:pPr>
              <w:jc w:val="left"/>
            </w:pPr>
            <w:r/>
            <w:r>
              <w:rPr>
                <w:rFonts w:ascii="仿宋_GB2312" w:hAnsi="仿宋_GB2312" w:eastAsia="仿宋_GB2312"/>
                <w:b w:val="0"/>
                <w:sz w:val="22"/>
              </w:rPr>
              <w:t>*条款序号</w:t>
            </w:r>
          </w:p>
        </w:tc>
        <w:tc>
          <w:tcPr>
            <w:tcW w:type="dxa" w:w="3312"/>
            <w:vAlign w:val="center"/>
          </w:tcPr>
          <w:p>
            <w:pPr>
              <w:jc w:val="left"/>
            </w:pPr>
            <w:r/>
            <w:r>
              <w:rPr>
                <w:rFonts w:ascii="仿宋_GB2312" w:hAnsi="仿宋_GB2312" w:eastAsia="仿宋_GB2312"/>
                <w:b w:val="0"/>
                <w:sz w:val="22"/>
              </w:rPr>
              <w:t>6.1.1</w:t>
            </w:r>
          </w:p>
        </w:tc>
      </w:tr>
      <w:tr>
        <w:tc>
          <w:tcPr>
            <w:tcW w:type="dxa" w:w="3312"/>
            <w:vMerge/>
          </w:tcPr>
          <w:p/>
        </w:tc>
        <w:tc>
          <w:tcPr>
            <w:tcW w:type="dxa" w:w="3312"/>
            <w:vAlign w:val="center"/>
          </w:tcPr>
          <w:p>
            <w:pPr>
              <w:jc w:val="left"/>
            </w:pPr>
            <w:r/>
            <w:r>
              <w:rPr>
                <w:rFonts w:ascii="仿宋_GB2312" w:hAnsi="仿宋_GB2312" w:eastAsia="仿宋_GB2312"/>
                <w:b w:val="0"/>
                <w:sz w:val="22"/>
              </w:rPr>
              <w:t>*监督标准</w:t>
            </w:r>
          </w:p>
        </w:tc>
        <w:tc>
          <w:tcPr>
            <w:tcW w:type="dxa" w:w="3312"/>
            <w:vAlign w:val="center"/>
          </w:tcPr>
          <w:p>
            <w:pPr>
              <w:jc w:val="left"/>
            </w:pPr>
            <w:r/>
            <w:r>
              <w:rPr>
                <w:rFonts w:ascii="仿宋_GB2312" w:hAnsi="仿宋_GB2312" w:eastAsia="仿宋_GB2312"/>
                <w:b w:val="0"/>
                <w:sz w:val="22"/>
              </w:rPr>
              <w:t>2.凡不属于主回路或辅助回路的且需要接地的所有金属部分都应接地（如爬梯等），外壳、构架等的相互电气连接宜采用紧固连接（如螺栓连接或焊接），以保证电气上连通。3.隔离开关和接地开关的底座上应有与规定的故障条件相适应的接地端子和接地导体，接地回路导体应有足够的截面，具有通过接地短路电流的能力。</w:t>
            </w:r>
          </w:p>
        </w:tc>
      </w:tr>
      <w:tr>
        <w:tc>
          <w:tcPr>
            <w:tcW w:type="dxa" w:w="3312"/>
            <w:vAlign w:val="center"/>
          </w:tcPr>
          <w:p>
            <w:pPr>
              <w:jc w:val="left"/>
            </w:pPr>
            <w:r/>
            <w:r>
              <w:rPr>
                <w:rFonts w:ascii="仿宋_GB2312" w:hAnsi="仿宋_GB2312" w:eastAsia="仿宋_GB2312"/>
                <w:b/>
                <w:sz w:val="22"/>
              </w:rPr>
              <w:t>*发现时间</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*原始描述</w:t>
            </w:r>
          </w:p>
        </w:tc>
        <w:tc>
          <w:tcPr>
            <w:tcW w:type="dxa" w:w="6624"/>
            <w:gridSpan w:val="2"/>
            <w:vAlign w:val="center"/>
          </w:tcPr>
          <w:p>
            <w:pPr>
              <w:jc w:val="left"/>
            </w:pPr>
            <w:r/>
            <w:r>
              <w:rPr>
                <w:rFonts w:ascii="仿宋_GB2312" w:hAnsi="仿宋_GB2312" w:eastAsia="仿宋_GB2312"/>
                <w:b w:val="0"/>
                <w:sz w:val="22"/>
              </w:rPr>
              <w:t>330千伏兰彭一线001#塔B、C退接地引下线连板非整块薄钢板，为两块钢板焊接，不符合标准质量要求。</w:t>
            </w:r>
          </w:p>
        </w:tc>
      </w:tr>
      <w:tr>
        <w:tc>
          <w:tcPr>
            <w:tcW w:type="dxa" w:w="3312"/>
            <w:vAlign w:val="center"/>
          </w:tcPr>
          <w:p>
            <w:pPr>
              <w:jc w:val="left"/>
            </w:pPr>
            <w:r/>
            <w:r>
              <w:rPr>
                <w:rFonts w:ascii="仿宋_GB2312" w:hAnsi="仿宋_GB2312" w:eastAsia="仿宋_GB2312"/>
                <w:b/>
                <w:sz w:val="22"/>
              </w:rPr>
              <w:t>*问题描述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*问题原因分析</w:t>
            </w:r>
          </w:p>
        </w:tc>
        <w:tc>
          <w:tcPr>
            <w:tcW w:type="dxa" w:w="6624"/>
            <w:gridSpan w:val="2"/>
            <w:vAlign w:val="center"/>
          </w:tcPr>
          <w:p>
            <w:pPr>
              <w:jc w:val="left"/>
            </w:pPr>
            <w:r/>
            <w:r>
              <w:rPr>
                <w:rFonts w:ascii="仿宋_GB2312" w:hAnsi="仿宋_GB2312" w:eastAsia="仿宋_GB2312"/>
                <w:b w:val="0"/>
                <w:sz w:val="22"/>
              </w:rPr>
              <w:t>可能导致该问题的原因包括：1) 制造或采购环节未严格按照标准执行，选用非标准材料；2) 安装过程中操作不当，未使用整块钢板而采取焊接方式；3) 监督检查不到位，未能及时发现并纠正不符合标准的安装行为。</w:t>
            </w:r>
          </w:p>
        </w:tc>
      </w:tr>
      <w:tr>
        <w:tc>
          <w:tcPr>
            <w:tcW w:type="dxa" w:w="3312"/>
            <w:vAlign w:val="center"/>
          </w:tcPr>
          <w:p>
            <w:pPr>
              <w:jc w:val="left"/>
            </w:pPr>
            <w:r/>
            <w:r>
              <w:rPr>
                <w:rFonts w:ascii="仿宋_GB2312" w:hAnsi="仿宋_GB2312" w:eastAsia="仿宋_GB2312"/>
                <w:b/>
                <w:sz w:val="22"/>
              </w:rPr>
              <w:t>*监督意见</w:t>
            </w:r>
          </w:p>
        </w:tc>
        <w:tc>
          <w:tcPr>
            <w:tcW w:type="dxa" w:w="6624"/>
            <w:gridSpan w:val="2"/>
            <w:vAlign w:val="center"/>
          </w:tcPr>
          <w:p>
            <w:pPr>
              <w:jc w:val="left"/>
            </w:pPr>
            <w:r/>
            <w:r>
              <w:rPr>
                <w:rFonts w:ascii="仿宋_GB2312" w:hAnsi="仿宋_GB2312" w:eastAsia="仿宋_GB2312"/>
                <w:b w:val="0"/>
                <w:sz w:val="22"/>
              </w:rPr>
              <w:t>建议立即对焊接区域进行详细检查，包括但不限于焊缝探伤检测，以评估焊缝质量。如焊缝质量不达标，应更换为符合标准的整块钢板连板。同时，加强安装过程中的监督检查，确保所有部件均符合相关标准要求，避免类似问题再次发生。</w:t>
            </w:r>
          </w:p>
        </w:tc>
      </w:tr>
      <w:tr>
        <w:tc>
          <w:tcPr>
            <w:tcW w:type="dxa" w:w="3312"/>
            <w:vAlign w:val="center"/>
          </w:tcPr>
          <w:p>
            <w:pPr>
              <w:jc w:val="left"/>
            </w:pPr>
            <w:r/>
            <w:r>
              <w:rPr>
                <w:rFonts w:ascii="仿宋_GB2312" w:hAnsi="仿宋_GB2312" w:eastAsia="仿宋_GB2312"/>
                <w:b/>
                <w:sz w:val="22"/>
              </w:rPr>
              <w:t>*实际整改措施</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其他要说明的问题</w:t>
            </w:r>
          </w:p>
        </w:tc>
        <w:tc>
          <w:tcPr>
            <w:tcW w:type="dxa" w:w="6624"/>
            <w:gridSpan w:val="2"/>
            <w:vAlign w:val="center"/>
          </w:tcPr>
          <w:p>
            <w:pPr>
              <w:jc w:val="left"/>
            </w:pPr>
            <w:r/>
            <w:r>
              <w:rPr>
                <w:rFonts w:ascii="仿宋_GB2312" w:hAnsi="仿宋_GB2312" w:eastAsia="仿宋_GB2312"/>
                <w:b w:val="0"/>
                <w:sz w:val="22"/>
              </w:rPr>
              <w:t>无</w:t>
            </w:r>
          </w:p>
        </w:tc>
      </w:tr>
      <w:tr>
        <w:tc>
          <w:tcPr>
            <w:tcW w:type="dxa" w:w="3312"/>
            <w:vAlign w:val="center"/>
          </w:tcPr>
          <w:p>
            <w:pPr>
              <w:jc w:val="left"/>
            </w:pPr>
            <w:r/>
            <w:r>
              <w:rPr>
                <w:rFonts w:ascii="仿宋_GB2312" w:hAnsi="仿宋_GB2312" w:eastAsia="仿宋_GB2312"/>
                <w:b/>
                <w:sz w:val="22"/>
              </w:rPr>
              <w:t>*问题照片</w:t>
            </w:r>
          </w:p>
        </w:tc>
        <w:tc>
          <w:tcPr>
            <w:tcW w:type="dxa" w:w="6624"/>
            <w:gridSpan w:val="2"/>
          </w:tcPr>
          <w:p>
            <w:r/>
          </w:p>
          <w:tbl>
            <w:tblPr>
              <w:tblStyle w:val="TableGrid"/>
              <w:tblW w:type="auto" w:w="0"/>
              <w:tblLook w:firstColumn="1" w:firstRow="1" w:lastColumn="0" w:lastRow="0" w:noHBand="0" w:noVBand="1" w:val="04A0"/>
            </w:tblPr>
            <w:tblGrid>
              <w:gridCol w:w="2880"/>
              <w:gridCol w:w="5472"/>
            </w:tblGrid>
            <w:tr>
              <w:tc>
                <w:tcPr>
                  <w:tcW w:type="dxa" w:w="3312"/>
                  <w:vAlign w:val="center"/>
                </w:tcPr>
                <w:p>
                  <w:pPr>
                    <w:jc w:val="center"/>
                  </w:pPr>
                  <w:r/>
                  <w:r>
                    <w:rPr>
                      <w:rFonts w:ascii="仿宋_GB2312" w:hAnsi="仿宋_GB2312" w:eastAsia="仿宋_GB2312"/>
                      <w:b w:val="0"/>
                      <w:sz w:val="22"/>
                    </w:rPr>
                    <w:t>问题照片</w:t>
                  </w:r>
                </w:p>
              </w:tc>
              <w:tc>
                <w:tcPr>
                  <w:tcW w:type="dxa" w:w="3312"/>
                </w:tcPr>
                <w:p>
                  <w:pPr>
                    <w:jc w:val="center"/>
                  </w:pPr>
                  <w:r/>
                  <w:r>
                    <w:drawing>
                      <wp:inline xmlns:a="http://schemas.openxmlformats.org/drawingml/2006/main" xmlns:pic="http://schemas.openxmlformats.org/drawingml/2006/picture">
                        <wp:extent cx="3200400" cy="4271995"/>
                        <wp:docPr id="1" name="Picture 1"/>
                        <wp:cNvGraphicFramePr>
                          <a:graphicFrameLocks noChangeAspect="1"/>
                        </wp:cNvGraphicFramePr>
                        <a:graphic>
                          <a:graphicData uri="http://schemas.openxmlformats.org/drawingml/2006/picture">
                            <pic:pic>
                              <pic:nvPicPr>
                                <pic:cNvPr id="0" name="4140337472f65fadefe74d18d6015efc.png"/>
                                <pic:cNvPicPr/>
                              </pic:nvPicPr>
                              <pic:blipFill>
                                <a:blip r:embed="rId9"/>
                                <a:stretch>
                                  <a:fillRect/>
                                </a:stretch>
                              </pic:blipFill>
                              <pic:spPr>
                                <a:xfrm>
                                  <a:off x="0" y="0"/>
                                  <a:ext cx="3200400" cy="4271995"/>
                                </a:xfrm>
                                <a:prstGeom prst="rect"/>
                              </pic:spPr>
                            </pic:pic>
                          </a:graphicData>
                        </a:graphic>
                      </wp:inline>
                    </w:drawing>
                  </w:r>
                </w:p>
              </w:tc>
            </w:tr>
          </w:tbl>
          <w:p/>
        </w:tc>
      </w:tr>
      <w:tr>
        <w:tc>
          <w:tcPr>
            <w:tcW w:type="dxa" w:w="3312"/>
            <w:vAlign w:val="center"/>
          </w:tcPr>
          <w:p>
            <w:pPr>
              <w:jc w:val="left"/>
            </w:pPr>
            <w:r/>
            <w:r>
              <w:rPr>
                <w:rFonts w:ascii="仿宋_GB2312" w:hAnsi="仿宋_GB2312" w:eastAsia="仿宋_GB2312"/>
                <w:b/>
                <w:sz w:val="22"/>
              </w:rPr>
              <w:t>案例附件</w:t>
            </w:r>
          </w:p>
        </w:tc>
        <w:tc>
          <w:tcPr>
            <w:tcW w:type="dxa" w:w="6624"/>
            <w:gridSpan w:val="2"/>
            <w:vAlign w:val="center"/>
          </w:tcPr>
          <w:p>
            <w:pPr>
              <w:jc w:val="left"/>
            </w:pPr>
            <w:r/>
            <w:r>
              <w:rPr>
                <w:rFonts w:ascii="仿宋_GB2312" w:hAnsi="仿宋_GB2312" w:eastAsia="仿宋_GB2312"/>
                <w:b w:val="0"/>
                <w:sz w:val="22"/>
              </w:rPr>
              <w:t>无</w:t>
            </w: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bl>
    <w:p/>
    <w:p/>
    <w:p/>
    <w:p/>
    <w:p/>
    <w:p/>
    <w:p/>
    <w:p/>
    <w:p/>
    <w:p/>
    <w:p/>
    <w:p/>
    <w:p/>
    <w:p/>
    <w:p/>
    <w:p/>
    <w:p/>
    <w:p/>
    <w:p/>
    <w:p/>
    <w:p/>
    <w:p/>
    <w:p/>
    <w:p/>
    <w:p/>
    <w:p/>
    <w:p/>
    <w:p/>
    <w:p/>
    <w:p/>
    <w:p/>
    <w:p/>
    <w:p/>
    <w:p/>
    <w:p/>
    <w:p/>
    <w:p/>
    <w:p/>
    <w:p/>
    <w:p/>
    <w:p/>
    <w:p/>
    <w:p/>
    <w:p/>
    <w:p/>
    <w:p/>
    <w:p/>
    <w:p/>
    <w:p/>
    <w:sectPr w:rsidR="00FC693F" w:rsidRPr="0006063C" w:rsidSect="00034616">
      <w:pgSz w:w="12240" w:h="15840"/>
      <w:pgMar w:top="720" w:right="1152"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