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'设计缺陷或制造质量问题', '操作不当或维护不足', '外部环境因素（如温度变化、湿度等）的影响']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['加强对关键部件的定期检查和维护', '优化设备选型和设计，提高材料耐久性', '加强操作人员培训，提高操作规范性', '建立完善的设备故障预警和应急处理机制']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