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设备采购阶段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SFC系统全过程技术监督精益化管理实施细则.xls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3.2.3</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用户描述了《国家电网公司供应商资质能力核实标准》和《国家电网公司供应商关系管理办法》，强调了供应商资质、生产能力、产品质量、合同履约、售后服务等方面的评价标准。此外，还提到了对在运设备运行质量、服务质量以及抽检结果的书面报告，并将其纳入供应商评估。同时，用户提及了《抽水蓄能机组静止变频启动装置试验规程》和《抽水蓄能电站静止变频装置技术条件》，详细规定了静止变频启动装置的各项性能要求，包括动态性能、可利用率和启动成功率、电磁兼容性、噪音要求等。这些标准和规程旨在确保设备在设计、制造、运输、安装、调试、运行直至退役的全寿命周期内符合相关规范和技术要求。</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['设计缺陷', '制造工艺问题', '材料选用不当', '安装调试错误', '运行维护不当']</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['定期进行设备性能测试和维护保养', '加强供应商资质审核和质量控制', '建立完善的设备运行监控和故障预警机制', '定期组织设备培训和操作人员技能提升', '强化供应商不良行为处理机制']</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