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2.1.1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7.用于电容器投切的断路器必须选用C2级断路器。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断路器制造缺陷，如材料质量不合格或加工工艺不当；2) 长期运行导致的机械疲劳和磨损；3) 维护保养不到位，未能及时发现并处理早期故障迹象；4) 外部环境因素，如温度、湿度等对设备性能的影响；5) 操作不当或系统性问题导致的过载或应力集中。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同型号断路器进行全面检查，重点检查动弧触头及其连接部件的状态。同时，加强日常巡检和定期维护，确保设备处于良好状态。对于已发现问题的断路器，应尽快进行更换，并分析故障原因，采取针对性措施防止类似问题再次发生。此外，加强对操作人员的培训，确保正确操作设备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