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断路器制造缺陷，如材料质量不合格或加工工艺不当；2) 长期运行导致的机械疲劳和磨损；3) 维护保养不到位，未能及时发现并处理早期故障迹象；4) 外部环境因素，如温度、湿度等对设备性能的影响；5) 操作不当或系统性问题导致的过载或应力集中。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全面检查，重点检查动弧触头及其连接部件的状态。同时，加强日常巡检和定期维护，确保设备处于良好状态。对于已发现问题的断路器，应尽快进行更换，并分析故障原因，采取针对性措施防止类似问题再次发生。此外，加强对操作人员的培训，确保正确操作设备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