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运维检修</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组合电器全过程技术监督精益化管理实施细则1122.xls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9.1.1</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2.巡视项目重点关注：1）SF6气体压力表指示是否正常，并记录压力值；2）避雷器在线监测仪指示是否正常，并记录泄漏电流值和动作次数；3）带电显示器是否正常；4）汇控柜状态（分、合闸指示，加热器投入，柜门密封）是否正常；5）液压（气动）机构是否漏油（气）；6）室内SF6气体含量是否达标；7）室内抽风机开机是否正常。</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*原始描述</w:t>
            </w:r>
          </w:p>
        </w:tc>
        <w:tc>
          <w:tcPr>
            <w:tcW w:type="dxa" w:w="6624"/>
            <w:gridSpan w:val="2"/>
            <w:vAlign w:val="center"/>
          </w:tcPr>
          <w:p>
            <w:pPr>
              <w:jc w:val="left"/>
            </w:pPr>
            <w:r/>
            <w:r>
              <w:rPr>
                <w:rFonts w:ascii="仿宋_GB2312" w:hAnsi="仿宋_GB2312" w:eastAsia="仿宋_GB2312"/>
                <w:b w:val="0"/>
                <w:sz w:val="22"/>
              </w:rPr>
              <w:t>你是一个电力技术监督专家。请根据以下问题描述，评估每一条技术监督规范的相关性，并按从0到100的相关性分数进行打分。请严格按照'【规范ID】: [分数]'的格式输出，每个规范一行。\n\n问题描述：\n---\n{description}\n---\n\n候选规范列表：\n。【规范1】：标题：SFC全过程技术监督精益化管理细则，监督依据：《抽水蓄能电站静止变频装置技术条件》（DL/T 1819-2018）5.2　性能要求5.2.1　动态性能5.2.1.1　应满足拖动机组转速至不低于1.05倍额定转速的要求。5.2.1.2　输出电压可调范围应为0～1.05倍电机定子额定电压。5.2.1.3　输出频率可调范围应为0～52.5Hz。5.2.1.4　对电机频率的控制精度应高于0.05Hz。5.2.1.5　应满足机组在水泵水轮机转轮室压水条件下启动的基本要求。5.2.1.6　应满足水泵工况下连续拖动机组进行动平衡试验的要求，在额定转速下连续运行时间不应小于1h。5.2.1.7　机组启动时间应不大于5min，即机组从静止状态到额定转速。5.2.1.8　应能连续启动n+2次（n为需启动的机组台数），并满足间隔时间30min后再次连续启动。5.2.2　可利用率和启动成功率a）启动机组的年成功率应不低于99%；b）可利用率不应低于99.9％。5.2.3　电磁兼容a）应通过相应等级的电磁兼容试验(见附录A)，并满足GB/T 17626的规定；b）输入电抗器和离相封闭母线连接点的谐波应满足GB/T 14549的要求。5.2.4　噪音工作时距离屏柜1米处用声级计测量，应不大于90dB。监督要点：SFC应具备的性能要求：1　动态性能1.1　应满足拖动机组转速至不低于1.05倍额定转速的要求。1.2　输出电压可调范围应为0～1.05倍电机定子额定电压。1.3　输出频率可调范围应为0～52.5Hz。1.4　对电机频率的控制精度应高于0.05Hz。1.5　应满足机组在水泵水轮机转轮室压水条件下启动的基本要求。1.6　应满足水泵工况下连续拖动机组进行动平衡试验的要求，在额定转速下连续运行时间不应小于1h。1.7　机组启动时间应不大于5min，即机组从静止状态到额定转速。1.8　应能连续启动n+2次（n为需启动的机组台数），并满足间隔时间30min后再次连续启动。2　可利用率和启动成功率a）启动机组的年成功率应不低于99%；b）可利用率不应低于99.9％。3　电磁兼容a）应通过相应等级的电磁兼容试验(见附录A)，并满足GB/T 17626的规定；b）输入电抗器和离相封闭母线连接点的谐波应满足GB/T 14549的要求。4　噪音工作时距离屏柜1米处用声级计测量，应不大于90dB。监督要求：查阅资料（技术规范书、招投标文件）。【规范2】：标题：水轮机全过程技术监督精益化管理细则，监督依据：《抽水蓄能电站静止变频装置技术条件》（DL/T 1819-2018）5.2　性能要求5.2.1　动态性能5.2.1.1　应满足拖动机组转速至不低于1.05倍额定转速的要求。5.2.1.2即机组从静止状态到额定转速。5.2.1.8　应能连续启动n+2次（n为需启动的机组台数），并满足间隔时间30min后再次连续启动。5.2.2　可利用率和启动成输入电抗器和离相封闭母线连接点的谐波应满足GB/T 14549的要求。5.2.4　噪音工作时距离屏柜1米处用声级计测量，应不大于90倍电机定子额定电压。1.3　输出频率可调范围应为0～52.5Hz。1.4　对电机频率的控制精度应高于0.05Hz。1.5　应满足机组在水泵水轮机转轮室压水条件下启动的基本要求。1.6　应满足水泵工况下连续拖动机组进行动平衡试验的要求，在额定转速下连续运行时间不应小于1h。1.7　机组启动时间应不大于5min，即机组从静止状态到额定转速。1.8　应能连续启动n+2次（n为需启动的机组台数），并满足间隔时间30min后再次连续启动。2　可利用率和启动成功率a）启动机组的年成功率应不低于99%；b）可利用率不应低于99.9％。3　电磁兼容a）应通过相应等级的电磁兼容试验(见附录A)，并满足GB/T 17626的规定；b）输入电抗器和离相封闭母线连接点的谐波应满足GB/T 14549的要求。4　噪音工作时距离屏柜1米处用声级计测量，应不大于90dB。监督要求：查阅资料（技术规范书、招投标文件）</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根据用户提供的描述，问题涉及对电力设备技术监督规范的相关性评估。具体而言，需要评估每一条技术监督规范与给定问题描述的相关性，并按从0到100的相关性分数进行打分。问题描述中提到了SFC（静止变频装置）和水轮机的性能要求、可利用率、启动成功率、电磁兼容以及噪音等多方面的技术指标。这些指标包括但不限于：拖动机组转速、输出电压可调范围、输出频率可调范围、电机频率控制精度、启动基本要求、动平衡试验要求、启动时间、连续启动能力、年成功率、可利用率、电磁兼容试验要求、谐波要求以及噪音限制。候选规范列表中提供了两个规范，分别是关于SFC全过程技术监督精益化管理和水轮机全过程技术监督精益化管理的细则，每个规范详细列出了上述各项技术指标的具体要求和监督要点。</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可能导致该问题的原因包括：1) SFC和水轮机在设计阶段未充分考虑相关技术标准；2) 设备在制造或安装过程中未能满足规范要求；3) 运行维护阶段缺乏有效的技术监督，导致性能指标偏离标准；4) 规范本身可能存在更新或修订，导致现有设备与最新标准不完全匹配。</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建议如下：1) 仔细查阅并理解SFC和水轮机的技术规范书和招投标文件，确保全面掌握设备的设计和制造标准；2) 对比候选规范列表中的具体要求，逐一评估其与实际问题的相关性，并给出合理的分数；3) 在评估过程中，重点关注动态性能、可利用率、启动成功率、电磁兼容和噪音等关键指标；4) 根据评估结果，提出针对性的改进措施或监督意见，确保设备性能符合相关技术标准。</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