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/>
      <w:r>
        <w:rPr>
          <w:rFonts w:ascii="黑体" w:hAnsi="黑体" w:eastAsia="黑体"/>
          <w:b/>
          <w:sz w:val="28"/>
        </w:rPr>
        <w:t>技术监督典型案例收集模板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592"/>
        <w:gridCol w:w="5760"/>
      </w:tblGrid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*单位名称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*案例名称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工程信息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*站线名称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*工程电压等级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设备信息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*设备类型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*设备电压等级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*生产厂家全称（或责任单位）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*监督专业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*监督阶段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运维检修阶段</w:t>
            </w:r>
          </w:p>
        </w:tc>
      </w:tr>
      <w:tr>
        <w:tc>
          <w:tcPr>
            <w:tcW w:type="dxa" w:w="3312"/>
            <w:vMerge w:val="restart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依据细则（标准）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*细则（标准）名称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断路器全过程技术监督精益化管理实施细则.xls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*条款序号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9.1.5</w:t>
            </w:r>
          </w:p>
        </w:tc>
      </w:tr>
      <w:tr>
        <w:tc>
          <w:tcPr>
            <w:tcW w:type="dxa" w:w="3312"/>
            <w:vMerge/>
          </w:tcPr>
          <w:p/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*监督标准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1.断路器出厂试验、交接试验及例行试验中，应进行中间继电器、时间继电器、电压继电器动作特性校验。2.断路器出厂试验及例行检修中，应检查绝缘子金属法兰与瓷件胶装部位防水密封胶的完好性，必要时复涂防水密封胶。3.断路器交接试验及例行试验中，应对机构二次回路中的防跳继电器、非全相继电器进行传动。防跳继电器动作时间应小于辅助开关切换时间，并保证在模拟手合于故障时不发生跳跃现象。4.断路器产品出厂试验、交接试验及例行试验中，应对断路器主触头与合闸电阻触头的时间配合关系进行测试，并测量合闸电阻的阻值。5.断路器产品出厂试验、交接试验及例行试验中，应测试断路器合-分时间。对 252kV及以上断路器，合-分时间应满足电力系统安全稳定要求。6.断路器交接试验及例行试验中，应进行行程曲线测试，并同时测量分/合闸线圈电流波形。7.气动机构应加装气水分离装置，并具备自动排污功能。8.3年内未动作过的72.5kV及以上断路器，应进行分/合闸操作。9.对投切无功负荷的开关设备应实行差异化运维，缩短巡检和维护周期，每年统计投切次数并评估电气寿命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*发现时间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*原始描述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2021年4月8日、2021年7月21日，330kV天水变电站在线路保护动作、运行转热备用过程中先后发生1115天二线断路器C相、1121天秦I线开关A相未动作故障，后对相关断路器进行更换并进行解体检查，发现断路器动弧触头不锈钢拉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*问题描述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在2021年4月8日和2021年7月21日，位于甘肃省天水市的330kV天水变电站，在线路保护动作及运行转热备用的过程中，相继出现了1115天二线断路器C相和1121天秦I线开关A相未动作的故障。随后，对涉及的断路器进行了更换，并进行了详细的解体检查，结果显示断路器动弧触头不锈钢拉杆发生了断裂。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*问题原因分析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['材料疲劳或老化', '设计缺陷或制造质量问题', '操作不当或维护不足', '外部环境因素（如温度变化、湿度等）的影响']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*监督意见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['加强对关键部件的定期检查和维护', '优化设备选型和采购流程，确保质量符合标准', '加强操作人员培训，提高设备操作水平', '建立完善的设备故障应急处理机制']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*实际整改措施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待补充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其他要说明的问题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*问题照片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center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无照片</w:t>
            </w:r>
          </w:p>
        </w:tc>
      </w:tr>
      <w:tr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/>
                <w:sz w:val="22"/>
              </w:rPr>
              <w:t>案例附件</w:t>
            </w:r>
          </w:p>
        </w:tc>
        <w:tc>
          <w:tcPr>
            <w:tcW w:type="dxa" w:w="6624"/>
            <w:gridSpan w:val="2"/>
            <w:vAlign w:val="center"/>
          </w:tcPr>
          <w:p>
            <w:pPr>
              <w:jc w:val="left"/>
            </w:pPr>
            <w:r/>
            <w:r>
              <w:rPr>
                <w:rFonts w:ascii="仿宋_GB2312" w:hAnsi="仿宋_GB2312" w:eastAsia="仿宋_GB2312"/>
                <w:b w:val="0"/>
                <w:sz w:val="22"/>
              </w:rPr>
              <w:t>无</w:t>
            </w:r>
          </w:p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  <w:tr>
        <w:tc>
          <w:tcPr>
            <w:tcW w:type="dxa" w:w="3312"/>
          </w:tcPr>
          <w:p/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p/>
    <w:sectPr w:rsidR="00FC693F" w:rsidRPr="0006063C" w:rsidSect="00034616">
      <w:pgSz w:w="12240" w:h="15840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