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输电防雷接地全过程技术监督精益化管理实施细则.xls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接地体（线）采用搭接焊接时,扁钢的搭接长度为其宽度2倍，且四个棱边焊接；圆钢搭接长度应不少于其直径的6倍，且应双面焊接；扁钢和圆钢连接时，其长度为圆钢直径的6倍。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330千伏兰彭一线001#塔B、C退接地引下线连板非整块薄钢板，为两块钢板焊接，不符合标准质量要求。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330千伏兰彭一线001#塔的B、C腿接地引下线连板检查中发现，该连板并非采用整块薄钢板制作，而是由两块钢板焊接而成。焊接区域存在明显的焊缝，且焊缝质量有待进一步评估。这种非标准的制作方式不符合电力设备安装的质量要求，可能对设备的长期稳定运行和安全性造成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可能导致该问题的原因包括：1) 制作工艺不当，未按照标准要求使用整块钢板；2) 焊接技术不达标，导致焊缝质量存在隐患；3) 材料选择错误，使用的钢板规格或材质不符合标准要求。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建议立即对焊接部位进行质量检测，评估焊缝的强度和耐腐蚀性。如不符合标准，应更换为符合要求的整块钢板，并重新安装。同时，加强对施工过程的监督，确保所有部件的制作和安装均符合相关标准和规范。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71995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140337472f65fadefe74d18d6015efc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7199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