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技术监督典型案例收集模板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1728"/>
        <w:gridCol w:w="52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单位名称</w:t>
            </w:r>
          </w:p>
        </w:tc>
        <w:tc>
          <w:tcPr>
            <w:tcW w:w="3053" w:type="pct"/>
            <w:vAlign w:val="center"/>
          </w:tcPr>
          <w:p>
            <w:r>
              <w:rPr>
                <w:rFonts w:hint="eastAsia"/>
              </w:rPr>
              <w:t>国网</w:t>
            </w:r>
            <w:r>
              <w:rPr>
                <w:rFonts w:hint="eastAsia"/>
                <w:lang w:val="en-US" w:eastAsia="zh-CN"/>
              </w:rPr>
              <w:t>甘肃</w:t>
            </w:r>
            <w:r>
              <w:rPr>
                <w:rFonts w:hint="eastAsia"/>
              </w:rPr>
              <w:t>省电力有限公司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案例名称</w:t>
            </w:r>
          </w:p>
        </w:tc>
        <w:tc>
          <w:tcPr>
            <w:tcW w:w="3053" w:type="pct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防雷接地引下线与主材联板采用焊接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restar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工程信息</w:t>
            </w: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工程名称</w:t>
            </w:r>
          </w:p>
        </w:tc>
        <w:tc>
          <w:tcPr>
            <w:tcW w:w="3053" w:type="pct"/>
            <w:vAlign w:val="center"/>
          </w:tcPr>
          <w:p>
            <w:r>
              <w:rPr>
                <w:rFonts w:hint="eastAsia"/>
              </w:rPr>
              <w:t>甘肃兰州（临洮）750千伏变电站330千伏送出工程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站线名称</w:t>
            </w:r>
          </w:p>
        </w:tc>
        <w:tc>
          <w:tcPr>
            <w:tcW w:w="3053" w:type="pct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330千伏兰茨线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工程类型</w:t>
            </w:r>
          </w:p>
        </w:tc>
        <w:tc>
          <w:tcPr>
            <w:tcW w:w="3053" w:type="pct"/>
            <w:vAlign w:val="center"/>
          </w:tcPr>
          <w:p>
            <w:r>
              <w:rPr>
                <w:rFonts w:hint="eastAsia"/>
              </w:rPr>
              <w:t>输电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工程电压等级</w:t>
            </w:r>
          </w:p>
        </w:tc>
        <w:tc>
          <w:tcPr>
            <w:tcW w:w="3053" w:type="pct"/>
            <w:vAlign w:val="center"/>
          </w:tcPr>
          <w:p>
            <w:r>
              <w:rPr>
                <w:rFonts w:hint="eastAsia"/>
                <w:lang w:val="en-US" w:eastAsia="zh-CN"/>
              </w:rPr>
              <w:t>33</w:t>
            </w:r>
            <w:r>
              <w:rPr>
                <w:rFonts w:hint="eastAsia"/>
              </w:rPr>
              <w:t>0kV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restar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设备信息</w:t>
            </w: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设备类型</w:t>
            </w:r>
          </w:p>
        </w:tc>
        <w:tc>
          <w:tcPr>
            <w:tcW w:w="3053" w:type="pct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铁塔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设备电压等级</w:t>
            </w:r>
          </w:p>
        </w:tc>
        <w:tc>
          <w:tcPr>
            <w:tcW w:w="3053" w:type="pct"/>
            <w:vAlign w:val="center"/>
          </w:tcPr>
          <w:p>
            <w:r>
              <w:rPr>
                <w:rFonts w:hint="eastAsia"/>
                <w:lang w:val="en-US" w:eastAsia="zh-CN"/>
              </w:rPr>
              <w:t>33</w:t>
            </w:r>
            <w:r>
              <w:rPr>
                <w:rFonts w:hint="eastAsia"/>
              </w:rPr>
              <w:t>0kV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生产厂家全称（或责任单位）</w:t>
            </w:r>
          </w:p>
        </w:tc>
        <w:tc>
          <w:tcPr>
            <w:tcW w:w="3053" w:type="pct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兰州倚能电力集团有限公司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监督专业</w:t>
            </w:r>
          </w:p>
        </w:tc>
        <w:tc>
          <w:tcPr>
            <w:tcW w:w="3053" w:type="pct"/>
            <w:vAlign w:val="center"/>
          </w:tcPr>
          <w:p>
            <w:r>
              <w:rPr>
                <w:rFonts w:hint="eastAsia"/>
              </w:rPr>
              <w:t>电气设备性能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监督阶段</w:t>
            </w:r>
          </w:p>
        </w:tc>
        <w:tc>
          <w:tcPr>
            <w:tcW w:w="3053" w:type="pct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restar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依据细则（标准）</w:t>
            </w: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细则（标准）名称</w:t>
            </w:r>
          </w:p>
        </w:tc>
        <w:tc>
          <w:tcPr>
            <w:tcW w:w="3053" w:type="pct"/>
            <w:vAlign w:val="center"/>
          </w:tcPr>
          <w:p>
            <w:pPr>
              <w:pStyle w:val="10"/>
              <w:spacing w:after="156" w:afterLines="50" w:line="580" w:lineRule="exact"/>
              <w:jc w:val="left"/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输电防雷接地全过程技术监督实施细则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条款序号</w:t>
            </w:r>
          </w:p>
        </w:tc>
        <w:tc>
          <w:tcPr>
            <w:tcW w:w="3053" w:type="pct"/>
            <w:vAlign w:val="center"/>
          </w:tcPr>
          <w:p>
            <w:r>
              <w:rPr>
                <w:rFonts w:hint="eastAsia"/>
                <w:lang w:val="en-US" w:eastAsia="zh-CN"/>
              </w:rPr>
              <w:t>6.2.1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监督标准</w:t>
            </w:r>
          </w:p>
        </w:tc>
        <w:tc>
          <w:tcPr>
            <w:tcW w:w="3053" w:type="pct"/>
          </w:tcPr>
          <w:p>
            <w:pPr>
              <w:rPr>
                <w:kern w:val="21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接地引下线与杆塔的连接应接触良好，并便于断开以测量接地电阻和检修。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发现时间</w:t>
            </w:r>
          </w:p>
        </w:tc>
        <w:tc>
          <w:tcPr>
            <w:tcW w:w="3053" w:type="pct"/>
            <w:vAlign w:val="center"/>
          </w:tcPr>
          <w:p>
            <w:pPr>
              <w:rPr>
                <w:rFonts w:hint="eastAsia" w:eastAsiaTheme="minorEastAsia"/>
                <w:color w:val="AFABAB" w:themeColor="background2" w:themeShade="BF"/>
                <w:sz w:val="24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2023-04-05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问题描述</w:t>
            </w:r>
          </w:p>
        </w:tc>
        <w:tc>
          <w:tcPr>
            <w:tcW w:w="3053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exact"/>
              <w:textAlignment w:val="baseline"/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330千伏兰彭一线001#塔B、C退接地引下线连板非整块薄钢板，为两块钢板焊接，不符合标准质量要求。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问题原因分析</w:t>
            </w:r>
          </w:p>
        </w:tc>
        <w:tc>
          <w:tcPr>
            <w:tcW w:w="3053" w:type="pct"/>
            <w:vAlign w:val="center"/>
          </w:tcPr>
          <w:p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影响雷击杆塔电流释放，易造成反击</w:t>
            </w: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。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要求为整块薄钢板焊接，满足接地防雷要求。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监督意见</w:t>
            </w:r>
          </w:p>
        </w:tc>
        <w:tc>
          <w:tcPr>
            <w:tcW w:w="3053" w:type="pct"/>
            <w:vAlign w:val="center"/>
          </w:tcPr>
          <w:p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要求为整块薄钢板焊接，满足接地防雷要求。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实际整改措施</w:t>
            </w:r>
          </w:p>
        </w:tc>
        <w:tc>
          <w:tcPr>
            <w:tcW w:w="3053" w:type="pct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已完成整改，对</w:t>
            </w: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接地引下线与联板连接处断开，接地联板采用整块联板，经重新焊接后进行热镀锌处理，与主材进行连接，要求与主材连接处无缝隙。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其他要说明的问题</w:t>
            </w:r>
          </w:p>
        </w:tc>
        <w:tc>
          <w:tcPr>
            <w:tcW w:w="3053" w:type="pct"/>
            <w:vAlign w:val="center"/>
          </w:tcPr>
          <w:p>
            <w:pPr>
              <w:rPr>
                <w:rFonts w:hint="eastAsia" w:eastAsiaTheme="minorEastAsia"/>
                <w:color w:val="AFABAB" w:themeColor="background2" w:themeShade="BF"/>
                <w:sz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32" w:type="pct"/>
            <w:vMerge w:val="restar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问题照片</w:t>
            </w:r>
          </w:p>
        </w:tc>
        <w:tc>
          <w:tcPr>
            <w:tcW w:w="1014" w:type="pct"/>
            <w:vAlign w:val="center"/>
          </w:tcPr>
          <w:p>
            <w:pPr>
              <w:rPr>
                <w:rFonts w:hint="default" w:eastAsiaTheme="minorEastAsia"/>
                <w:color w:val="AFABAB" w:themeColor="background2" w:themeShade="BF"/>
                <w:sz w:val="24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接地引下线联板采用焊接1</w:t>
            </w:r>
          </w:p>
        </w:tc>
        <w:tc>
          <w:tcPr>
            <w:tcW w:w="3053" w:type="pct"/>
            <w:vAlign w:val="center"/>
          </w:tcPr>
          <w:p>
            <w:pPr>
              <w:rPr>
                <w:rFonts w:ascii="方正仿宋_GBK" w:hAnsi="方正仿宋_GBK" w:eastAsia="方正仿宋_GBK"/>
                <w:sz w:val="24"/>
              </w:rPr>
            </w:pPr>
          </w:p>
          <w:p>
            <w:pPr>
              <w:rPr>
                <w:rFonts w:ascii="方正仿宋_GBK" w:hAnsi="方正仿宋_GBK" w:eastAsia="方正仿宋_GBK"/>
                <w:sz w:val="24"/>
              </w:rPr>
            </w:pPr>
          </w:p>
          <w:p>
            <w:pPr>
              <w:rPr>
                <w:rFonts w:ascii="方正仿宋_GBK" w:hAnsi="方正仿宋_GBK" w:eastAsia="方正仿宋_GBK"/>
                <w:sz w:val="24"/>
              </w:rPr>
            </w:pPr>
          </w:p>
          <w:p>
            <w:pPr>
              <w:rPr>
                <w:rFonts w:ascii="方正仿宋_GBK" w:hAnsi="方正仿宋_GBK" w:eastAsia="方正仿宋_GBK"/>
                <w:sz w:val="24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101600</wp:posOffset>
                  </wp:positionV>
                  <wp:extent cx="2250440" cy="3000375"/>
                  <wp:effectExtent l="0" t="0" r="16510" b="9525"/>
                  <wp:wrapNone/>
                  <wp:docPr id="2" name="图片 3" descr="cca8b21c3eef4eb78e3adf2414467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 descr="cca8b21c3eef4eb78e3adf24144672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440" cy="300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rPr>
                <w:rFonts w:ascii="方正仿宋_GBK" w:hAnsi="方正仿宋_GBK" w:eastAsia="方正仿宋_GBK"/>
                <w:sz w:val="24"/>
              </w:rPr>
            </w:pPr>
          </w:p>
          <w:p>
            <w:pPr>
              <w:rPr>
                <w:rFonts w:ascii="方正仿宋_GBK" w:hAnsi="方正仿宋_GBK" w:eastAsia="方正仿宋_GBK"/>
                <w:sz w:val="24"/>
              </w:rPr>
            </w:pPr>
          </w:p>
          <w:p>
            <w:pPr>
              <w:rPr>
                <w:rFonts w:ascii="方正仿宋_GBK" w:hAnsi="方正仿宋_GBK" w:eastAsia="方正仿宋_GBK"/>
                <w:sz w:val="24"/>
              </w:rPr>
            </w:pPr>
          </w:p>
          <w:p>
            <w:pPr>
              <w:rPr>
                <w:rFonts w:ascii="方正仿宋_GBK" w:hAnsi="方正仿宋_GBK" w:eastAsia="方正仿宋_GBK"/>
                <w:sz w:val="24"/>
              </w:rPr>
            </w:pPr>
          </w:p>
          <w:p>
            <w:pPr>
              <w:rPr>
                <w:rFonts w:ascii="方正仿宋_GBK" w:hAnsi="方正仿宋_GBK" w:eastAsia="方正仿宋_GBK"/>
                <w:sz w:val="24"/>
              </w:rPr>
            </w:pPr>
          </w:p>
          <w:p>
            <w:pPr>
              <w:rPr>
                <w:rFonts w:ascii="方正仿宋_GBK" w:hAnsi="方正仿宋_GBK" w:eastAsia="方正仿宋_GBK"/>
                <w:sz w:val="24"/>
              </w:rPr>
            </w:pPr>
          </w:p>
          <w:p>
            <w:pPr>
              <w:rPr>
                <w:rFonts w:ascii="方正仿宋_GBK" w:hAnsi="方正仿宋_GBK" w:eastAsia="方正仿宋_GBK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color w:val="AFABAB" w:themeColor="background2" w:themeShade="BF"/>
                <w:sz w:val="24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接地引下线联板采用焊接2</w:t>
            </w:r>
          </w:p>
        </w:tc>
        <w:tc>
          <w:tcPr>
            <w:tcW w:w="3053" w:type="pct"/>
            <w:vAlign w:val="center"/>
          </w:tcPr>
          <w:p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142240</wp:posOffset>
                  </wp:positionV>
                  <wp:extent cx="2716530" cy="3619500"/>
                  <wp:effectExtent l="0" t="0" r="7620" b="0"/>
                  <wp:wrapNone/>
                  <wp:docPr id="5" name="图片 6" descr="69d2459fd0be7c8980f34b218bb20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6" descr="69d2459fd0be7c8980f34b218bb206b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530" cy="361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/>
          <w:p/>
          <w:p/>
          <w:p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4198620</wp:posOffset>
                  </wp:positionH>
                  <wp:positionV relativeFrom="paragraph">
                    <wp:posOffset>4286250</wp:posOffset>
                  </wp:positionV>
                  <wp:extent cx="2716530" cy="3619500"/>
                  <wp:effectExtent l="0" t="0" r="7620" b="0"/>
                  <wp:wrapNone/>
                  <wp:docPr id="3" name="图片 4" descr="69d2459fd0be7c8980f34b218bb20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 descr="69d2459fd0be7c8980f34b218bb206b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530" cy="361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932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案例附件</w:t>
            </w: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AFABAB" w:themeColor="background2" w:themeShade="BF"/>
                <w:sz w:val="24"/>
              </w:rPr>
              <w:t>填写附件名称</w:t>
            </w:r>
          </w:p>
        </w:tc>
        <w:tc>
          <w:tcPr>
            <w:tcW w:w="3053" w:type="pct"/>
            <w:vAlign w:val="center"/>
          </w:tcPr>
          <w:p>
            <w:r>
              <w:rPr>
                <w:rFonts w:hint="eastAsia"/>
                <w:color w:val="AFABAB" w:themeColor="background2" w:themeShade="BF"/>
                <w:sz w:val="24"/>
              </w:rPr>
              <w:t>放案例相关的附件</w:t>
            </w:r>
            <w:bookmarkStart w:id="0" w:name="_GoBack"/>
            <w:bookmarkEnd w:id="0"/>
            <w:r>
              <w:rPr>
                <w:rFonts w:hint="eastAsia"/>
                <w:color w:val="AFABAB" w:themeColor="background2" w:themeShade="BF"/>
                <w:sz w:val="24"/>
              </w:rPr>
              <w:t>，会议纪要、发文等</w:t>
            </w: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3NzM1MzI1MTg5NmMxZTg2MTk5MzFiYzk1ZjJmODgifQ=="/>
  </w:docVars>
  <w:rsids>
    <w:rsidRoot w:val="008A6252"/>
    <w:rsid w:val="000378D4"/>
    <w:rsid w:val="00133E01"/>
    <w:rsid w:val="001F7602"/>
    <w:rsid w:val="00227C4E"/>
    <w:rsid w:val="002A6BCB"/>
    <w:rsid w:val="00334D37"/>
    <w:rsid w:val="003B3F5F"/>
    <w:rsid w:val="00406066"/>
    <w:rsid w:val="00544659"/>
    <w:rsid w:val="005863DF"/>
    <w:rsid w:val="00660289"/>
    <w:rsid w:val="00813D31"/>
    <w:rsid w:val="0084294D"/>
    <w:rsid w:val="008A6252"/>
    <w:rsid w:val="0092628F"/>
    <w:rsid w:val="00AA0567"/>
    <w:rsid w:val="00AC0FC5"/>
    <w:rsid w:val="00CD3ED1"/>
    <w:rsid w:val="00F4636D"/>
    <w:rsid w:val="00FD7E23"/>
    <w:rsid w:val="017F3AD1"/>
    <w:rsid w:val="04C2515D"/>
    <w:rsid w:val="04D01EF4"/>
    <w:rsid w:val="04F150CC"/>
    <w:rsid w:val="050634BB"/>
    <w:rsid w:val="051B326D"/>
    <w:rsid w:val="058A5E9A"/>
    <w:rsid w:val="06562070"/>
    <w:rsid w:val="07684137"/>
    <w:rsid w:val="08375A89"/>
    <w:rsid w:val="0992356F"/>
    <w:rsid w:val="0B32416D"/>
    <w:rsid w:val="0D3216B4"/>
    <w:rsid w:val="0D884641"/>
    <w:rsid w:val="0D9B5860"/>
    <w:rsid w:val="0DBF4B4E"/>
    <w:rsid w:val="106B68C8"/>
    <w:rsid w:val="10BE6E2F"/>
    <w:rsid w:val="123553DF"/>
    <w:rsid w:val="12415B32"/>
    <w:rsid w:val="169052DA"/>
    <w:rsid w:val="183539C6"/>
    <w:rsid w:val="1A5B5BFF"/>
    <w:rsid w:val="1CE02171"/>
    <w:rsid w:val="1D1F34F7"/>
    <w:rsid w:val="1D24677C"/>
    <w:rsid w:val="1DB52BB9"/>
    <w:rsid w:val="1DD43CFE"/>
    <w:rsid w:val="1EF22E97"/>
    <w:rsid w:val="1F784F2C"/>
    <w:rsid w:val="201B3E66"/>
    <w:rsid w:val="214C62A1"/>
    <w:rsid w:val="221E7789"/>
    <w:rsid w:val="234E7E7B"/>
    <w:rsid w:val="23524303"/>
    <w:rsid w:val="242843AB"/>
    <w:rsid w:val="25D73CA2"/>
    <w:rsid w:val="2730304F"/>
    <w:rsid w:val="295A0DF2"/>
    <w:rsid w:val="29847FAB"/>
    <w:rsid w:val="2AB96756"/>
    <w:rsid w:val="2B960C8F"/>
    <w:rsid w:val="2C1837E7"/>
    <w:rsid w:val="2F8A07CB"/>
    <w:rsid w:val="32743B56"/>
    <w:rsid w:val="33432F2A"/>
    <w:rsid w:val="34A15065"/>
    <w:rsid w:val="34CC3529"/>
    <w:rsid w:val="378818B3"/>
    <w:rsid w:val="39316051"/>
    <w:rsid w:val="3BE01452"/>
    <w:rsid w:val="3C9B60FA"/>
    <w:rsid w:val="3CA75790"/>
    <w:rsid w:val="3DB55462"/>
    <w:rsid w:val="3ED0191D"/>
    <w:rsid w:val="3F9E326F"/>
    <w:rsid w:val="3FCF2120"/>
    <w:rsid w:val="3FF67362"/>
    <w:rsid w:val="3FF73B50"/>
    <w:rsid w:val="4007741B"/>
    <w:rsid w:val="446631C8"/>
    <w:rsid w:val="44A914F5"/>
    <w:rsid w:val="46256620"/>
    <w:rsid w:val="46CF48BB"/>
    <w:rsid w:val="47B02837"/>
    <w:rsid w:val="49647D77"/>
    <w:rsid w:val="4E901F73"/>
    <w:rsid w:val="4EE01C53"/>
    <w:rsid w:val="4EEC1008"/>
    <w:rsid w:val="4F275AD4"/>
    <w:rsid w:val="4F92089C"/>
    <w:rsid w:val="504A56C1"/>
    <w:rsid w:val="514F07F2"/>
    <w:rsid w:val="51F223CA"/>
    <w:rsid w:val="534F5D39"/>
    <w:rsid w:val="53F83FD3"/>
    <w:rsid w:val="557E1851"/>
    <w:rsid w:val="56B91708"/>
    <w:rsid w:val="57636205"/>
    <w:rsid w:val="5A527871"/>
    <w:rsid w:val="5B8F2DC6"/>
    <w:rsid w:val="5C8A64E1"/>
    <w:rsid w:val="5CEF3C87"/>
    <w:rsid w:val="5E023994"/>
    <w:rsid w:val="5E1611EE"/>
    <w:rsid w:val="60D422E8"/>
    <w:rsid w:val="60DD2BF7"/>
    <w:rsid w:val="63B9462A"/>
    <w:rsid w:val="64CA4AE0"/>
    <w:rsid w:val="64D811FE"/>
    <w:rsid w:val="65565350"/>
    <w:rsid w:val="65EB3645"/>
    <w:rsid w:val="676807BF"/>
    <w:rsid w:val="67B870B8"/>
    <w:rsid w:val="68E40DA4"/>
    <w:rsid w:val="69B5367B"/>
    <w:rsid w:val="6B4E599A"/>
    <w:rsid w:val="6BE47193"/>
    <w:rsid w:val="6D7F6F34"/>
    <w:rsid w:val="6EF94940"/>
    <w:rsid w:val="6F2E7B74"/>
    <w:rsid w:val="704D7FCB"/>
    <w:rsid w:val="70DA4838"/>
    <w:rsid w:val="70DD3DED"/>
    <w:rsid w:val="71442AE2"/>
    <w:rsid w:val="724C76FA"/>
    <w:rsid w:val="730833A3"/>
    <w:rsid w:val="733F3BA1"/>
    <w:rsid w:val="764A0321"/>
    <w:rsid w:val="765835E2"/>
    <w:rsid w:val="770C03DF"/>
    <w:rsid w:val="773B56AB"/>
    <w:rsid w:val="77432AB8"/>
    <w:rsid w:val="77713ED2"/>
    <w:rsid w:val="77FC1EE6"/>
    <w:rsid w:val="78DC4DD7"/>
    <w:rsid w:val="79156236"/>
    <w:rsid w:val="79466A05"/>
    <w:rsid w:val="7A715CD2"/>
    <w:rsid w:val="7B2E0AA4"/>
    <w:rsid w:val="7BA577E9"/>
    <w:rsid w:val="7BD40338"/>
    <w:rsid w:val="7BF00B62"/>
    <w:rsid w:val="7C563D89"/>
    <w:rsid w:val="7FA42277"/>
    <w:rsid w:val="7FAC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580" w:lineRule="exact"/>
      <w:ind w:firstLine="880" w:firstLineChars="200"/>
    </w:pPr>
    <w:rPr>
      <w:rFonts w:ascii="方正仿宋_GBK" w:hAnsi="方正仿宋_GBK" w:eastAsia="方正仿宋_GBK"/>
      <w:sz w:val="32"/>
      <w:szCs w:val="21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3"/>
    <w:qFormat/>
    <w:uiPriority w:val="0"/>
    <w:rPr>
      <w:kern w:val="2"/>
      <w:sz w:val="18"/>
      <w:szCs w:val="18"/>
    </w:rPr>
  </w:style>
  <w:style w:type="paragraph" w:customStyle="1" w:styleId="10">
    <w:name w:val="普通(网站)2"/>
    <w:basedOn w:val="1"/>
    <w:qFormat/>
    <w:uiPriority w:val="0"/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164</Words>
  <Characters>936</Characters>
  <Lines>7</Lines>
  <Paragraphs>2</Paragraphs>
  <TotalTime>4</TotalTime>
  <ScaleCrop>false</ScaleCrop>
  <LinksUpToDate>false</LinksUpToDate>
  <CharactersWithSpaces>1098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2024-08-14T09:30:00Z</dcterms:created>
  <dc:creator>lms29</dc:creator>
  <cp:lastModifiedBy>安亮亮</cp:lastModifiedBy>
  <dcterms:modified xsi:type="dcterms:W3CDTF">2024-08-29T01:03:45Z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71DB1FACE3024BD2AB9326455B34EF39_12</vt:lpwstr>
  </property>
</Properties>
</file>