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技术监督典型案例收集模板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1728"/>
        <w:gridCol w:w="52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单位名称</w:t>
            </w:r>
          </w:p>
        </w:tc>
        <w:tc>
          <w:tcPr>
            <w:tcW w:w="3053" w:type="pct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</w:rPr>
              <w:t>国网</w:t>
            </w:r>
            <w:r>
              <w:rPr>
                <w:rFonts w:hint="eastAsia"/>
                <w:sz w:val="24"/>
                <w:szCs w:val="24"/>
                <w:lang w:eastAsia="zh-CN"/>
              </w:rPr>
              <w:t>甘肃</w:t>
            </w:r>
            <w:r>
              <w:rPr>
                <w:rFonts w:hint="eastAsia"/>
                <w:sz w:val="24"/>
                <w:szCs w:val="24"/>
              </w:rPr>
              <w:t>省电力公司</w:t>
            </w:r>
            <w:r>
              <w:rPr>
                <w:rFonts w:hint="eastAsia"/>
                <w:sz w:val="24"/>
                <w:szCs w:val="24"/>
                <w:lang w:eastAsia="zh-CN"/>
              </w:rPr>
              <w:t>刘家峡水电厂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案例名称</w:t>
            </w:r>
          </w:p>
        </w:tc>
        <w:tc>
          <w:tcPr>
            <w:tcW w:w="3053" w:type="pct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bookmarkStart w:id="0" w:name="_GoBack"/>
            <w:r>
              <w:rPr>
                <w:rFonts w:hint="eastAsia"/>
                <w:sz w:val="24"/>
                <w:szCs w:val="24"/>
                <w:lang w:val="en-US" w:eastAsia="zh-CN"/>
              </w:rPr>
              <w:t>3号机组</w:t>
            </w: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上机架水平振动值超标</w:t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restar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工程信息</w:t>
            </w: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工程名称</w:t>
            </w:r>
          </w:p>
        </w:tc>
        <w:tc>
          <w:tcPr>
            <w:tcW w:w="3053" w:type="pct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刘家峡水电厂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3号机组整机改造</w:t>
            </w:r>
            <w:r>
              <w:rPr>
                <w:rFonts w:hint="eastAsia"/>
                <w:sz w:val="24"/>
                <w:szCs w:val="24"/>
              </w:rPr>
              <w:t>工程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continue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站线名称</w:t>
            </w:r>
          </w:p>
        </w:tc>
        <w:tc>
          <w:tcPr>
            <w:tcW w:w="3053" w:type="pct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刘家峡水电厂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continue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工程类型</w:t>
            </w:r>
          </w:p>
        </w:tc>
        <w:tc>
          <w:tcPr>
            <w:tcW w:w="3053" w:type="pct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发电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continue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工程电压等级</w:t>
            </w:r>
          </w:p>
        </w:tc>
        <w:tc>
          <w:tcPr>
            <w:tcW w:w="3053" w:type="pct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15.75</w:t>
            </w:r>
            <w:r>
              <w:rPr>
                <w:rFonts w:hint="eastAsia"/>
                <w:sz w:val="24"/>
                <w:szCs w:val="24"/>
              </w:rPr>
              <w:t>kV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restar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设备信息</w:t>
            </w: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设备类型</w:t>
            </w:r>
          </w:p>
        </w:tc>
        <w:tc>
          <w:tcPr>
            <w:tcW w:w="3053" w:type="pct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水轮发电机组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continue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设备电压等级</w:t>
            </w:r>
          </w:p>
        </w:tc>
        <w:tc>
          <w:tcPr>
            <w:tcW w:w="3053" w:type="pct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15.75</w:t>
            </w:r>
            <w:r>
              <w:rPr>
                <w:rFonts w:hint="eastAsia"/>
                <w:sz w:val="24"/>
                <w:szCs w:val="24"/>
              </w:rPr>
              <w:t>kV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continue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生产厂家全称（或责任单位）</w:t>
            </w:r>
          </w:p>
        </w:tc>
        <w:tc>
          <w:tcPr>
            <w:tcW w:w="3053" w:type="pct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哈尔滨电机厂</w:t>
            </w:r>
            <w:r>
              <w:rPr>
                <w:rFonts w:hint="eastAsia"/>
                <w:sz w:val="24"/>
                <w:szCs w:val="24"/>
              </w:rPr>
              <w:t>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监督专业</w:t>
            </w:r>
          </w:p>
        </w:tc>
        <w:tc>
          <w:tcPr>
            <w:tcW w:w="3053" w:type="pct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水机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监督阶段</w:t>
            </w:r>
          </w:p>
        </w:tc>
        <w:tc>
          <w:tcPr>
            <w:tcW w:w="3053" w:type="pct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设备</w:t>
            </w:r>
            <w:r>
              <w:rPr>
                <w:rFonts w:hint="eastAsia"/>
                <w:sz w:val="24"/>
                <w:szCs w:val="24"/>
              </w:rPr>
              <w:t>调试</w:t>
            </w:r>
            <w:r>
              <w:rPr>
                <w:rFonts w:hint="eastAsia"/>
                <w:sz w:val="24"/>
                <w:szCs w:val="24"/>
                <w:lang w:eastAsia="zh-CN"/>
              </w:rPr>
              <w:t>阶段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restar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依据细则（标准）</w:t>
            </w: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细则（标准）名称</w:t>
            </w:r>
          </w:p>
        </w:tc>
        <w:tc>
          <w:tcPr>
            <w:tcW w:w="3053" w:type="pct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default" w:ascii="Calibri" w:hAnsi="Calibri" w:cs="Calibri" w:eastAsiaTheme="minorEastAsia"/>
                <w:color w:val="auto"/>
                <w:kern w:val="0"/>
                <w:sz w:val="24"/>
                <w:szCs w:val="24"/>
                <w:lang w:val="en-US" w:eastAsia="zh-CN" w:bidi="ar-SA"/>
              </w:rPr>
              <w:t>DL/T 507-2014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4"/>
                <w:szCs w:val="24"/>
                <w:lang w:val="en-US" w:eastAsia="zh-CN" w:bidi="ar-SA"/>
              </w:rPr>
              <w:t>《水轮发电机组启动试验规程》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continue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条款序号</w:t>
            </w:r>
          </w:p>
        </w:tc>
        <w:tc>
          <w:tcPr>
            <w:tcW w:w="3053" w:type="pct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/>
                <w:sz w:val="24"/>
                <w:szCs w:val="24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sz w:val="24"/>
                <w:szCs w:val="24"/>
              </w:rPr>
              <w:t>.1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932" w:type="pct"/>
            <w:vMerge w:val="continue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监督标准</w:t>
            </w:r>
          </w:p>
        </w:tc>
        <w:tc>
          <w:tcPr>
            <w:tcW w:w="3053" w:type="pct"/>
          </w:tcPr>
          <w:p>
            <w:pPr>
              <w:rPr>
                <w:color w:val="auto"/>
                <w:kern w:val="21"/>
              </w:rPr>
            </w:pPr>
            <w:r>
              <w:rPr>
                <w:rFonts w:hint="eastAsia"/>
                <w:color w:val="auto"/>
                <w:sz w:val="24"/>
                <w:lang w:val="en-US" w:eastAsia="zh-CN"/>
              </w:rPr>
              <w:t>水轮发电机组各部位振动允许值：当机组额定转速为100-250r/min，带导轴承支架的水平振动转频值允许值为90μm</w:t>
            </w:r>
            <w:r>
              <w:rPr>
                <w:rFonts w:hint="eastAsia"/>
                <w:color w:val="auto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发现时间</w:t>
            </w:r>
          </w:p>
        </w:tc>
        <w:tc>
          <w:tcPr>
            <w:tcW w:w="3053" w:type="pct"/>
            <w:vAlign w:val="center"/>
          </w:tcPr>
          <w:p>
            <w:pPr>
              <w:rPr>
                <w:rFonts w:hint="eastAsia" w:eastAsiaTheme="minorEastAsia"/>
                <w:color w:val="auto"/>
                <w:sz w:val="24"/>
                <w:lang w:eastAsia="zh-CN"/>
              </w:rPr>
            </w:pPr>
            <w:r>
              <w:rPr>
                <w:rFonts w:hint="eastAsia"/>
                <w:color w:val="auto"/>
                <w:sz w:val="24"/>
              </w:rPr>
              <w:t>202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4</w:t>
            </w:r>
            <w:r>
              <w:rPr>
                <w:rFonts w:hint="eastAsia"/>
                <w:color w:val="auto"/>
                <w:sz w:val="24"/>
              </w:rPr>
              <w:t>-0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6</w:t>
            </w:r>
            <w:r>
              <w:rPr>
                <w:rFonts w:hint="eastAsia"/>
                <w:color w:val="auto"/>
                <w:sz w:val="24"/>
              </w:rPr>
              <w:t>-0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问题描述</w:t>
            </w:r>
          </w:p>
        </w:tc>
        <w:tc>
          <w:tcPr>
            <w:tcW w:w="3053" w:type="pct"/>
            <w:vAlign w:val="center"/>
          </w:tcPr>
          <w:p>
            <w:pPr>
              <w:rPr>
                <w:color w:val="auto"/>
              </w:rPr>
            </w:pPr>
            <w:r>
              <w:rPr>
                <w:rFonts w:hint="eastAsia"/>
                <w:color w:val="auto"/>
                <w:sz w:val="24"/>
              </w:rPr>
              <w:t>202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4</w:t>
            </w:r>
            <w:r>
              <w:rPr>
                <w:rFonts w:hint="eastAsia"/>
                <w:color w:val="auto"/>
                <w:sz w:val="24"/>
              </w:rPr>
              <w:t>年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6</w:t>
            </w:r>
            <w:r>
              <w:rPr>
                <w:rFonts w:hint="eastAsia"/>
                <w:color w:val="auto"/>
                <w:sz w:val="24"/>
              </w:rPr>
              <w:t>月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5</w:t>
            </w:r>
            <w:r>
              <w:rPr>
                <w:rFonts w:hint="eastAsia"/>
                <w:color w:val="auto"/>
                <w:sz w:val="24"/>
              </w:rPr>
              <w:t>日，</w:t>
            </w:r>
            <w:r>
              <w:rPr>
                <w:rFonts w:hint="eastAsia"/>
                <w:color w:val="auto"/>
                <w:sz w:val="24"/>
                <w:lang w:eastAsia="zh-CN"/>
              </w:rPr>
              <w:t>刘家峡水电厂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3号水轮发电机组在整机改造完成后的启动试验时，在空转运行状态下当机组转速升至额定转速125r/min时，上机架水平振动转频值为130-145μm，超过标准允许值（水轮发电机组各部位振动允许值：当机组额定转速为100-250r/min，带导轴承支架的水平振动转频值允许值为90μm）</w:t>
            </w:r>
            <w:r>
              <w:rPr>
                <w:rFonts w:hint="eastAsia"/>
                <w:color w:val="auto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3" w:hRule="atLeast"/>
        </w:trPr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问题原因分析</w:t>
            </w:r>
          </w:p>
        </w:tc>
        <w:tc>
          <w:tcPr>
            <w:tcW w:w="3053" w:type="pct"/>
            <w:vAlign w:val="center"/>
          </w:tcPr>
          <w:p>
            <w:pPr>
              <w:rPr>
                <w:color w:val="auto"/>
              </w:rPr>
            </w:pPr>
            <w:r>
              <w:rPr>
                <w:rFonts w:hint="eastAsia"/>
                <w:color w:val="auto"/>
                <w:sz w:val="24"/>
              </w:rPr>
              <w:t>根据</w:t>
            </w:r>
            <w:r>
              <w:rPr>
                <w:rFonts w:hint="eastAsia"/>
                <w:color w:val="auto"/>
                <w:sz w:val="24"/>
                <w:lang w:eastAsia="zh-CN"/>
              </w:rPr>
              <w:t>试验数据分析</w:t>
            </w:r>
            <w:r>
              <w:rPr>
                <w:rFonts w:hint="eastAsia"/>
                <w:color w:val="auto"/>
                <w:sz w:val="24"/>
              </w:rPr>
              <w:t>，造成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3号机组上机架水平振动值超标</w:t>
            </w:r>
            <w:r>
              <w:rPr>
                <w:rFonts w:hint="eastAsia"/>
                <w:color w:val="auto"/>
                <w:sz w:val="24"/>
              </w:rPr>
              <w:t>的原因为生产厂家</w:t>
            </w:r>
            <w:r>
              <w:rPr>
                <w:rFonts w:hint="eastAsia"/>
                <w:color w:val="auto"/>
                <w:sz w:val="24"/>
                <w:lang w:eastAsia="zh-CN"/>
              </w:rPr>
              <w:t>在设备制造过程中</w:t>
            </w:r>
            <w:r>
              <w:rPr>
                <w:rFonts w:hint="eastAsia"/>
                <w:color w:val="auto"/>
                <w:sz w:val="24"/>
              </w:rPr>
              <w:t>，</w:t>
            </w:r>
            <w:r>
              <w:rPr>
                <w:rFonts w:hint="eastAsia"/>
                <w:color w:val="auto"/>
                <w:sz w:val="24"/>
                <w:lang w:eastAsia="zh-CN"/>
              </w:rPr>
              <w:t>发电机转子存在少许质量平衡偏差。</w:t>
            </w:r>
            <w:r>
              <w:rPr>
                <w:rFonts w:hint="eastAsia"/>
                <w:color w:val="auto"/>
                <w:sz w:val="24"/>
              </w:rPr>
              <w:t>现场</w:t>
            </w:r>
            <w:r>
              <w:rPr>
                <w:rFonts w:hint="eastAsia"/>
                <w:color w:val="auto"/>
                <w:sz w:val="24"/>
                <w:lang w:eastAsia="zh-CN"/>
              </w:rPr>
              <w:t>试验时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3号机组上机架水平振动值随机组转速升高而明显增大，说明发电机转子存在动不平衡情况。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监督意见</w:t>
            </w:r>
          </w:p>
        </w:tc>
        <w:tc>
          <w:tcPr>
            <w:tcW w:w="3053" w:type="pct"/>
            <w:vAlign w:val="center"/>
          </w:tcPr>
          <w:p>
            <w:pPr>
              <w:rPr>
                <w:color w:val="auto"/>
              </w:rPr>
            </w:pPr>
            <w:r>
              <w:rPr>
                <w:rFonts w:hint="eastAsia"/>
                <w:color w:val="auto"/>
                <w:sz w:val="24"/>
              </w:rPr>
              <w:t>建议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通过动平衡试验，对3号机组发电机转子进行配重，使上机架水平振动值符合标准要求，改善机组稳定性状态，保障机组安全运行</w:t>
            </w:r>
            <w:r>
              <w:rPr>
                <w:rFonts w:hint="eastAsia"/>
                <w:color w:val="auto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实际整改措施</w:t>
            </w:r>
          </w:p>
        </w:tc>
        <w:tc>
          <w:tcPr>
            <w:tcW w:w="3053" w:type="pct"/>
            <w:vAlign w:val="center"/>
          </w:tcPr>
          <w:p>
            <w:pPr>
              <w:rPr>
                <w:color w:val="auto"/>
              </w:rPr>
            </w:pPr>
            <w:r>
              <w:rPr>
                <w:rFonts w:hint="eastAsia"/>
                <w:color w:val="auto"/>
                <w:sz w:val="24"/>
              </w:rPr>
              <w:t>已完成整改，</w:t>
            </w:r>
            <w:r>
              <w:rPr>
                <w:rFonts w:hint="eastAsia"/>
                <w:color w:val="auto"/>
                <w:sz w:val="24"/>
                <w:lang w:eastAsia="zh-CN"/>
              </w:rPr>
              <w:t>通过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动平衡试验对3号机组发电机转子进行配重，开机至额定转速，上机架水平振动转频值最大为30μm左右，符合标准要求</w:t>
            </w:r>
            <w:r>
              <w:rPr>
                <w:rFonts w:hint="eastAsia"/>
                <w:color w:val="auto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其他要说明的问题</w:t>
            </w:r>
          </w:p>
        </w:tc>
        <w:tc>
          <w:tcPr>
            <w:tcW w:w="3053" w:type="pct"/>
            <w:vAlign w:val="center"/>
          </w:tcPr>
          <w:p>
            <w:pPr>
              <w:rPr>
                <w:rFonts w:hint="eastAsia" w:eastAsiaTheme="minorEastAsia"/>
                <w:color w:val="AFABAB" w:themeColor="background2" w:themeShade="BF"/>
                <w:sz w:val="24"/>
                <w:lang w:eastAsia="zh-CN"/>
              </w:rPr>
            </w:pPr>
            <w:r>
              <w:rPr>
                <w:rFonts w:hint="eastAsia"/>
                <w:color w:val="auto"/>
                <w:sz w:val="24"/>
                <w:lang w:val="en-US" w:eastAsia="zh-CN"/>
              </w:rPr>
              <w:t>无。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9" w:hRule="atLeast"/>
        </w:trPr>
        <w:tc>
          <w:tcPr>
            <w:tcW w:w="932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问题照片</w:t>
            </w:r>
          </w:p>
        </w:tc>
        <w:tc>
          <w:tcPr>
            <w:tcW w:w="1014" w:type="pct"/>
            <w:vAlign w:val="center"/>
          </w:tcPr>
          <w:p>
            <w:pPr>
              <w:rPr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  <w:lang w:val="en-US" w:eastAsia="zh-CN"/>
              </w:rPr>
              <w:t>3号机组上机架水平振动值超标</w:t>
            </w:r>
          </w:p>
        </w:tc>
        <w:tc>
          <w:tcPr>
            <w:tcW w:w="3053" w:type="pct"/>
            <w:vAlign w:val="center"/>
          </w:tcPr>
          <w:p>
            <w:pPr>
              <w:rPr>
                <w:rFonts w:hint="eastAsia" w:eastAsiaTheme="minorEastAsia"/>
                <w:color w:val="auto"/>
                <w:lang w:eastAsia="zh-CN"/>
              </w:rPr>
            </w:pPr>
            <w:r>
              <w:rPr>
                <w:rFonts w:hint="eastAsia" w:eastAsiaTheme="minorEastAsia"/>
                <w:color w:val="auto"/>
                <w:lang w:eastAsia="zh-CN"/>
              </w:rPr>
              <w:drawing>
                <wp:inline distT="0" distB="0" distL="114300" distR="114300">
                  <wp:extent cx="1408430" cy="1264920"/>
                  <wp:effectExtent l="0" t="0" r="0" b="0"/>
                  <wp:docPr id="1" name="图片 1" descr="微信图片_202408281456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微信图片_20240828145619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2155" t="16481" r="52755" b="295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430" cy="1264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932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案例附件</w:t>
            </w:r>
          </w:p>
        </w:tc>
        <w:tc>
          <w:tcPr>
            <w:tcW w:w="1014" w:type="pct"/>
            <w:vAlign w:val="center"/>
          </w:tcPr>
          <w:p>
            <w:pPr>
              <w:rPr>
                <w:rFonts w:hint="eastAsia" w:eastAsiaTheme="minorEastAsia"/>
                <w:color w:val="auto"/>
                <w:sz w:val="24"/>
                <w:lang w:eastAsia="zh-CN"/>
              </w:rPr>
            </w:pPr>
            <w:r>
              <w:rPr>
                <w:rFonts w:hint="eastAsia"/>
                <w:color w:val="auto"/>
                <w:sz w:val="24"/>
                <w:lang w:val="en-US" w:eastAsia="zh-CN"/>
              </w:rPr>
              <w:t>无</w:t>
            </w:r>
          </w:p>
        </w:tc>
        <w:tc>
          <w:tcPr>
            <w:tcW w:w="3053" w:type="pct"/>
            <w:vAlign w:val="center"/>
          </w:tcPr>
          <w:p>
            <w:pPr>
              <w:rPr>
                <w:rFonts w:hint="eastAsia" w:eastAsiaTheme="minorEastAsia"/>
                <w:color w:val="auto"/>
                <w:lang w:eastAsia="zh-CN"/>
              </w:rPr>
            </w:pPr>
            <w:r>
              <w:rPr>
                <w:rFonts w:hint="eastAsia"/>
                <w:color w:val="auto"/>
                <w:sz w:val="24"/>
                <w:lang w:val="en-US" w:eastAsia="zh-CN"/>
              </w:rPr>
              <w:t>无。</w:t>
            </w:r>
          </w:p>
        </w:tc>
      </w:tr>
    </w:tbl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M4MGE1YjJlN2M5ZTM4NTdhNGY1NmJhNDllMjk2NjIifQ=="/>
  </w:docVars>
  <w:rsids>
    <w:rsidRoot w:val="008A6252"/>
    <w:rsid w:val="000378D4"/>
    <w:rsid w:val="00133E01"/>
    <w:rsid w:val="001F7602"/>
    <w:rsid w:val="00227C4E"/>
    <w:rsid w:val="002A6BCB"/>
    <w:rsid w:val="00334D37"/>
    <w:rsid w:val="003B3F5F"/>
    <w:rsid w:val="00406066"/>
    <w:rsid w:val="00544659"/>
    <w:rsid w:val="005863DF"/>
    <w:rsid w:val="00660289"/>
    <w:rsid w:val="00813D31"/>
    <w:rsid w:val="0084294D"/>
    <w:rsid w:val="008A6252"/>
    <w:rsid w:val="0092628F"/>
    <w:rsid w:val="00A221A2"/>
    <w:rsid w:val="00AA0567"/>
    <w:rsid w:val="00AC0FC5"/>
    <w:rsid w:val="00CD3ED1"/>
    <w:rsid w:val="00F4636D"/>
    <w:rsid w:val="00FD7E23"/>
    <w:rsid w:val="017F3AD1"/>
    <w:rsid w:val="04F150CC"/>
    <w:rsid w:val="050634BB"/>
    <w:rsid w:val="058A5E9A"/>
    <w:rsid w:val="06562070"/>
    <w:rsid w:val="073001EA"/>
    <w:rsid w:val="086F75C9"/>
    <w:rsid w:val="0992356F"/>
    <w:rsid w:val="09CD45A7"/>
    <w:rsid w:val="0DBF4B4E"/>
    <w:rsid w:val="106B68C8"/>
    <w:rsid w:val="10BE6E2F"/>
    <w:rsid w:val="123553DF"/>
    <w:rsid w:val="12846BA7"/>
    <w:rsid w:val="14757D15"/>
    <w:rsid w:val="169052DA"/>
    <w:rsid w:val="18ED6A14"/>
    <w:rsid w:val="1CE02171"/>
    <w:rsid w:val="1D1F34F7"/>
    <w:rsid w:val="1D24677C"/>
    <w:rsid w:val="1DD43CFE"/>
    <w:rsid w:val="201B3E66"/>
    <w:rsid w:val="214C62A1"/>
    <w:rsid w:val="242843AB"/>
    <w:rsid w:val="24572F93"/>
    <w:rsid w:val="2730304F"/>
    <w:rsid w:val="28F11C08"/>
    <w:rsid w:val="295A0DF2"/>
    <w:rsid w:val="2AB96756"/>
    <w:rsid w:val="2F8A07CB"/>
    <w:rsid w:val="34CC3529"/>
    <w:rsid w:val="378818B3"/>
    <w:rsid w:val="38507FD8"/>
    <w:rsid w:val="39316051"/>
    <w:rsid w:val="3F4E0CE6"/>
    <w:rsid w:val="3FF73B50"/>
    <w:rsid w:val="44A914F5"/>
    <w:rsid w:val="47B02837"/>
    <w:rsid w:val="4AD36F68"/>
    <w:rsid w:val="4F275AD4"/>
    <w:rsid w:val="504A56C1"/>
    <w:rsid w:val="51F223CA"/>
    <w:rsid w:val="546E5A28"/>
    <w:rsid w:val="55656BA0"/>
    <w:rsid w:val="56B91708"/>
    <w:rsid w:val="582B2191"/>
    <w:rsid w:val="5A527871"/>
    <w:rsid w:val="5E023994"/>
    <w:rsid w:val="5E1611EE"/>
    <w:rsid w:val="64A6271B"/>
    <w:rsid w:val="64CA4AE0"/>
    <w:rsid w:val="676807BF"/>
    <w:rsid w:val="6EF94940"/>
    <w:rsid w:val="6F7C1655"/>
    <w:rsid w:val="70DA4838"/>
    <w:rsid w:val="70DD3DED"/>
    <w:rsid w:val="724C76FA"/>
    <w:rsid w:val="730833A3"/>
    <w:rsid w:val="765835E2"/>
    <w:rsid w:val="77713ED2"/>
    <w:rsid w:val="7A715CD2"/>
    <w:rsid w:val="7C1A5EF5"/>
    <w:rsid w:val="7FAC3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spacing w:line="580" w:lineRule="exact"/>
      <w:ind w:firstLine="880" w:firstLineChars="200"/>
    </w:pPr>
    <w:rPr>
      <w:rFonts w:ascii="方正仿宋_GBK" w:hAnsi="方正仿宋_GBK" w:eastAsia="方正仿宋_GBK"/>
      <w:sz w:val="32"/>
      <w:szCs w:val="21"/>
    </w:r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7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164</Words>
  <Characters>936</Characters>
  <Lines>7</Lines>
  <Paragraphs>2</Paragraphs>
  <TotalTime>11</TotalTime>
  <ScaleCrop>false</ScaleCrop>
  <LinksUpToDate>false</LinksUpToDate>
  <CharactersWithSpaces>1098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2024-08-14T09:30:00Z</dcterms:created>
  <dc:creator>lms29</dc:creator>
  <cp:lastModifiedBy>安亮亮</cp:lastModifiedBy>
  <dcterms:modified xsi:type="dcterms:W3CDTF">2024-08-29T00:51:25Z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24269768E95F4254BC79E6F479BFE35E</vt:lpwstr>
  </property>
</Properties>
</file>