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b/>
          <w:bCs/>
          <w:sz w:val="32"/>
          <w:szCs w:val="32"/>
        </w:rPr>
      </w:pPr>
      <w:r>
        <w:rPr>
          <w:rFonts w:hint="eastAsia" w:ascii="宋体" w:hAnsi="宋体" w:eastAsia="宋体" w:cs="宋体"/>
          <w:b/>
          <w:bCs/>
          <w:sz w:val="32"/>
          <w:szCs w:val="32"/>
        </w:rPr>
        <w:t>技术监督典型案例收集模板</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1718"/>
        <w:gridCol w:w="52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pct"/>
            <w:gridSpan w:val="2"/>
            <w:vAlign w:val="center"/>
          </w:tcPr>
          <w:p>
            <w:pPr>
              <w:rPr>
                <w:sz w:val="24"/>
              </w:rPr>
            </w:pPr>
            <w:r>
              <w:rPr>
                <w:rFonts w:hint="eastAsia"/>
                <w:color w:val="FF0000"/>
                <w:sz w:val="24"/>
              </w:rPr>
              <w:t>*</w:t>
            </w:r>
            <w:r>
              <w:rPr>
                <w:rFonts w:hint="eastAsia"/>
                <w:sz w:val="24"/>
              </w:rPr>
              <w:t>单位名称</w:t>
            </w:r>
          </w:p>
        </w:tc>
        <w:tc>
          <w:tcPr>
            <w:tcW w:w="3067" w:type="pct"/>
            <w:vAlign w:val="center"/>
          </w:tcPr>
          <w:p>
            <w:r>
              <w:rPr>
                <w:rFonts w:hint="eastAsia"/>
              </w:rPr>
              <w:t>国网</w:t>
            </w:r>
            <w:r>
              <w:rPr>
                <w:rFonts w:hint="eastAsia"/>
                <w:lang w:eastAsia="zh-CN"/>
              </w:rPr>
              <w:t>甘肃</w:t>
            </w:r>
            <w:r>
              <w:rPr>
                <w:rFonts w:hint="eastAsia"/>
              </w:rPr>
              <w:t>省电力有限公司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pct"/>
            <w:gridSpan w:val="2"/>
            <w:vAlign w:val="center"/>
          </w:tcPr>
          <w:p>
            <w:pPr>
              <w:rPr>
                <w:sz w:val="24"/>
              </w:rPr>
            </w:pPr>
            <w:r>
              <w:rPr>
                <w:rFonts w:hint="eastAsia"/>
                <w:color w:val="FF0000"/>
                <w:sz w:val="24"/>
              </w:rPr>
              <w:t>*</w:t>
            </w:r>
            <w:r>
              <w:rPr>
                <w:rFonts w:hint="eastAsia"/>
                <w:sz w:val="24"/>
              </w:rPr>
              <w:t>案例名称</w:t>
            </w:r>
          </w:p>
        </w:tc>
        <w:tc>
          <w:tcPr>
            <w:tcW w:w="3067" w:type="pct"/>
            <w:vAlign w:val="center"/>
          </w:tcPr>
          <w:p>
            <w:pPr>
              <w:rPr>
                <w:rFonts w:hint="eastAsia"/>
              </w:rPr>
            </w:pPr>
            <w:r>
              <w:rPr>
                <w:rFonts w:hint="eastAsia"/>
                <w:lang w:val="en-US" w:eastAsia="zh-CN"/>
              </w:rPr>
              <w:t>设计阶段750kV秦川变电站主要噪声源预测存在超标问题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restart"/>
            <w:vAlign w:val="center"/>
          </w:tcPr>
          <w:p>
            <w:pPr>
              <w:rPr>
                <w:sz w:val="24"/>
              </w:rPr>
            </w:pPr>
            <w:r>
              <w:rPr>
                <w:rFonts w:hint="eastAsia"/>
                <w:sz w:val="24"/>
              </w:rPr>
              <w:t>工程信息</w:t>
            </w:r>
          </w:p>
        </w:tc>
        <w:tc>
          <w:tcPr>
            <w:tcW w:w="1007" w:type="pct"/>
            <w:vAlign w:val="center"/>
          </w:tcPr>
          <w:p>
            <w:pPr>
              <w:rPr>
                <w:sz w:val="24"/>
              </w:rPr>
            </w:pPr>
            <w:r>
              <w:rPr>
                <w:rFonts w:hint="eastAsia"/>
                <w:color w:val="FF0000"/>
                <w:sz w:val="24"/>
              </w:rPr>
              <w:t>*</w:t>
            </w:r>
            <w:r>
              <w:rPr>
                <w:rFonts w:hint="eastAsia"/>
                <w:sz w:val="24"/>
              </w:rPr>
              <w:t>工程名称</w:t>
            </w:r>
          </w:p>
        </w:tc>
        <w:tc>
          <w:tcPr>
            <w:tcW w:w="3067" w:type="pct"/>
            <w:vAlign w:val="center"/>
          </w:tcPr>
          <w:p>
            <w:pPr>
              <w:rPr>
                <w:rFonts w:hint="eastAsia"/>
              </w:rPr>
            </w:pPr>
            <w:r>
              <w:rPr>
                <w:rFonts w:hint="eastAsia"/>
                <w:lang w:val="en-US" w:eastAsia="zh-CN"/>
              </w:rPr>
              <w:t>新建750kV秦川变电站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站线名称</w:t>
            </w:r>
          </w:p>
        </w:tc>
        <w:tc>
          <w:tcPr>
            <w:tcW w:w="3067" w:type="pct"/>
            <w:vAlign w:val="center"/>
          </w:tcPr>
          <w:p>
            <w:pPr>
              <w:rPr>
                <w:rFonts w:hint="eastAsia" w:eastAsiaTheme="minorEastAsia"/>
                <w:lang w:eastAsia="zh-CN"/>
              </w:rPr>
            </w:pPr>
            <w:r>
              <w:rPr>
                <w:rFonts w:hint="eastAsia"/>
                <w:lang w:val="en-US" w:eastAsia="zh-CN"/>
              </w:rPr>
              <w:t>750kV秦川变电站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工程类型</w:t>
            </w:r>
          </w:p>
        </w:tc>
        <w:tc>
          <w:tcPr>
            <w:tcW w:w="3067" w:type="pct"/>
            <w:vAlign w:val="center"/>
          </w:tcPr>
          <w:p>
            <w:pPr>
              <w:rPr>
                <w:rFonts w:hint="eastAsia" w:eastAsiaTheme="minorEastAsia"/>
                <w:lang w:eastAsia="zh-CN"/>
              </w:rPr>
            </w:pPr>
            <w:r>
              <w:rPr>
                <w:rFonts w:hint="eastAsia"/>
                <w:lang w:eastAsia="zh-CN"/>
              </w:rPr>
              <w:t>变电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工程电压等级</w:t>
            </w:r>
          </w:p>
        </w:tc>
        <w:tc>
          <w:tcPr>
            <w:tcW w:w="3067" w:type="pct"/>
            <w:vAlign w:val="center"/>
          </w:tcPr>
          <w:p>
            <w:r>
              <w:rPr>
                <w:rFonts w:hint="eastAsia"/>
                <w:lang w:val="en-US" w:eastAsia="zh-CN"/>
              </w:rPr>
              <w:t>750</w:t>
            </w:r>
            <w:r>
              <w:rPr>
                <w:rFonts w:hint="eastAsia"/>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restart"/>
            <w:vAlign w:val="center"/>
          </w:tcPr>
          <w:p>
            <w:pPr>
              <w:rPr>
                <w:sz w:val="24"/>
              </w:rPr>
            </w:pPr>
            <w:r>
              <w:rPr>
                <w:rFonts w:hint="eastAsia"/>
                <w:sz w:val="24"/>
              </w:rPr>
              <w:t>设备信息</w:t>
            </w:r>
          </w:p>
        </w:tc>
        <w:tc>
          <w:tcPr>
            <w:tcW w:w="1007" w:type="pct"/>
            <w:vAlign w:val="center"/>
          </w:tcPr>
          <w:p>
            <w:pPr>
              <w:rPr>
                <w:sz w:val="24"/>
              </w:rPr>
            </w:pPr>
            <w:r>
              <w:rPr>
                <w:rFonts w:hint="eastAsia"/>
                <w:color w:val="FF0000"/>
                <w:sz w:val="24"/>
              </w:rPr>
              <w:t>*</w:t>
            </w:r>
            <w:r>
              <w:rPr>
                <w:rFonts w:hint="eastAsia"/>
                <w:sz w:val="24"/>
              </w:rPr>
              <w:t>设备类型</w:t>
            </w:r>
          </w:p>
        </w:tc>
        <w:tc>
          <w:tcPr>
            <w:tcW w:w="3067" w:type="pct"/>
            <w:vAlign w:val="center"/>
          </w:tcPr>
          <w:p>
            <w:pPr>
              <w:rPr>
                <w:rFonts w:hint="eastAsia" w:eastAsiaTheme="minorEastAsia"/>
                <w:lang w:eastAsia="zh-CN"/>
              </w:rPr>
            </w:pPr>
            <w:r>
              <w:rPr>
                <w:rFonts w:hint="eastAsia"/>
                <w:lang w:eastAsia="zh-CN"/>
              </w:rPr>
              <w:t>变压器、电抗器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设备电压等级</w:t>
            </w:r>
          </w:p>
        </w:tc>
        <w:tc>
          <w:tcPr>
            <w:tcW w:w="3067" w:type="pct"/>
            <w:vAlign w:val="center"/>
          </w:tcPr>
          <w:p>
            <w:r>
              <w:rPr>
                <w:rFonts w:hint="eastAsia"/>
                <w:lang w:val="en-US" w:eastAsia="zh-CN"/>
              </w:rPr>
              <w:t>750</w:t>
            </w:r>
            <w:r>
              <w:rPr>
                <w:rFonts w:hint="eastAsia"/>
              </w:rPr>
              <w:t>kV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生产厂家全称（或责任单位）</w:t>
            </w:r>
          </w:p>
        </w:tc>
        <w:tc>
          <w:tcPr>
            <w:tcW w:w="3067" w:type="pct"/>
            <w:vAlign w:val="center"/>
          </w:tcPr>
          <w:p>
            <w:pPr>
              <w:rPr>
                <w:rFonts w:hint="eastAsia" w:eastAsiaTheme="minorEastAsia"/>
                <w:lang w:eastAsia="zh-CN"/>
              </w:rPr>
            </w:pPr>
            <w:r>
              <w:rPr>
                <w:rFonts w:hint="eastAsia"/>
              </w:rPr>
              <w:t>国网</w:t>
            </w:r>
            <w:r>
              <w:rPr>
                <w:rFonts w:hint="eastAsia"/>
                <w:lang w:eastAsia="zh-CN"/>
              </w:rPr>
              <w:t>甘肃</w:t>
            </w:r>
            <w:r>
              <w:rPr>
                <w:rFonts w:hint="eastAsia"/>
              </w:rPr>
              <w:t>省电力有限公司</w:t>
            </w:r>
            <w:r>
              <w:rPr>
                <w:rFonts w:hint="eastAsia"/>
                <w:lang w:eastAsia="zh-CN"/>
              </w:rPr>
              <w:t>超高压公司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pct"/>
            <w:gridSpan w:val="2"/>
            <w:vAlign w:val="center"/>
          </w:tcPr>
          <w:p>
            <w:pPr>
              <w:rPr>
                <w:sz w:val="24"/>
              </w:rPr>
            </w:pPr>
            <w:r>
              <w:rPr>
                <w:rFonts w:hint="eastAsia"/>
                <w:color w:val="FF0000"/>
                <w:sz w:val="24"/>
              </w:rPr>
              <w:t>*</w:t>
            </w:r>
            <w:r>
              <w:rPr>
                <w:rFonts w:hint="eastAsia"/>
                <w:sz w:val="24"/>
              </w:rPr>
              <w:t>监督专业</w:t>
            </w:r>
          </w:p>
        </w:tc>
        <w:tc>
          <w:tcPr>
            <w:tcW w:w="3067" w:type="pct"/>
            <w:vAlign w:val="center"/>
          </w:tcPr>
          <w:p>
            <w:pPr>
              <w:rPr>
                <w:rFonts w:hint="eastAsia" w:eastAsiaTheme="minorEastAsia"/>
                <w:lang w:eastAsia="zh-CN"/>
              </w:rPr>
            </w:pPr>
            <w:r>
              <w:rPr>
                <w:rFonts w:hint="eastAsia"/>
                <w:lang w:eastAsia="zh-CN"/>
              </w:rPr>
              <w:t>环保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pct"/>
            <w:gridSpan w:val="2"/>
            <w:vAlign w:val="center"/>
          </w:tcPr>
          <w:p>
            <w:pPr>
              <w:rPr>
                <w:sz w:val="24"/>
              </w:rPr>
            </w:pPr>
            <w:r>
              <w:rPr>
                <w:rFonts w:hint="eastAsia"/>
                <w:color w:val="FF0000"/>
                <w:sz w:val="24"/>
              </w:rPr>
              <w:t>*</w:t>
            </w:r>
            <w:r>
              <w:rPr>
                <w:rFonts w:hint="eastAsia"/>
                <w:sz w:val="24"/>
              </w:rPr>
              <w:t>监督阶段</w:t>
            </w:r>
          </w:p>
        </w:tc>
        <w:tc>
          <w:tcPr>
            <w:tcW w:w="3067" w:type="pct"/>
            <w:vAlign w:val="center"/>
          </w:tcPr>
          <w:p>
            <w:pPr>
              <w:rPr>
                <w:rFonts w:hint="eastAsia" w:eastAsiaTheme="minorEastAsia"/>
                <w:lang w:eastAsia="zh-CN"/>
              </w:rPr>
            </w:pPr>
            <w:r>
              <w:rPr>
                <w:rFonts w:hint="eastAsia"/>
                <w:lang w:eastAsia="zh-CN"/>
              </w:rPr>
              <w:t>施工阶段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restart"/>
            <w:vAlign w:val="center"/>
          </w:tcPr>
          <w:p>
            <w:pPr>
              <w:rPr>
                <w:sz w:val="24"/>
              </w:rPr>
            </w:pPr>
            <w:r>
              <w:rPr>
                <w:rFonts w:hint="eastAsia"/>
                <w:sz w:val="24"/>
              </w:rPr>
              <w:t>依据细则（标准）</w:t>
            </w:r>
          </w:p>
        </w:tc>
        <w:tc>
          <w:tcPr>
            <w:tcW w:w="1007" w:type="pct"/>
            <w:vAlign w:val="center"/>
          </w:tcPr>
          <w:p>
            <w:pPr>
              <w:rPr>
                <w:sz w:val="24"/>
              </w:rPr>
            </w:pPr>
            <w:r>
              <w:rPr>
                <w:rFonts w:hint="eastAsia"/>
                <w:color w:val="FF0000"/>
                <w:sz w:val="24"/>
              </w:rPr>
              <w:t>*</w:t>
            </w:r>
            <w:r>
              <w:rPr>
                <w:rFonts w:hint="eastAsia"/>
                <w:sz w:val="24"/>
              </w:rPr>
              <w:t>细则（标准）名称</w:t>
            </w:r>
          </w:p>
        </w:tc>
        <w:tc>
          <w:tcPr>
            <w:tcW w:w="3067" w:type="pct"/>
            <w:vAlign w:val="center"/>
          </w:tcPr>
          <w:p>
            <w:r>
              <w:rPr>
                <w:rFonts w:hint="eastAsia"/>
                <w:lang w:val="en-US" w:eastAsia="zh-CN"/>
              </w:rPr>
              <w:t>工业企业厂界环境噪声排放标准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条款序号</w:t>
            </w:r>
          </w:p>
        </w:tc>
        <w:tc>
          <w:tcPr>
            <w:tcW w:w="3067" w:type="pct"/>
            <w:vAlign w:val="center"/>
          </w:tcPr>
          <w:p>
            <w:r>
              <w:rPr>
                <w:rFonts w:hint="eastAsia"/>
              </w:rPr>
              <w:t>4.</w:t>
            </w:r>
            <w:r>
              <w:rPr>
                <w:rFonts w:hint="eastAsia"/>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trPr>
        <w:tc>
          <w:tcPr>
            <w:tcW w:w="924" w:type="pct"/>
            <w:vMerge w:val="continue"/>
            <w:vAlign w:val="center"/>
          </w:tcPr>
          <w:p>
            <w:pPr>
              <w:rPr>
                <w:sz w:val="24"/>
              </w:rPr>
            </w:pPr>
          </w:p>
        </w:tc>
        <w:tc>
          <w:tcPr>
            <w:tcW w:w="1007" w:type="pct"/>
            <w:vAlign w:val="center"/>
          </w:tcPr>
          <w:p>
            <w:pPr>
              <w:rPr>
                <w:sz w:val="24"/>
              </w:rPr>
            </w:pPr>
            <w:r>
              <w:rPr>
                <w:rFonts w:hint="eastAsia"/>
                <w:color w:val="FF0000"/>
                <w:sz w:val="24"/>
              </w:rPr>
              <w:t>*</w:t>
            </w:r>
            <w:r>
              <w:rPr>
                <w:rFonts w:hint="eastAsia"/>
                <w:sz w:val="24"/>
              </w:rPr>
              <w:t>监督标准</w:t>
            </w:r>
          </w:p>
        </w:tc>
        <w:tc>
          <w:tcPr>
            <w:tcW w:w="3067" w:type="pct"/>
          </w:tcPr>
          <w:p>
            <w:pPr>
              <w:rPr>
                <w:rFonts w:hint="default" w:eastAsiaTheme="minorEastAsia"/>
                <w:kern w:val="21"/>
                <w:lang w:val="en-US" w:eastAsia="zh-CN"/>
              </w:rPr>
            </w:pPr>
            <w:r>
              <w:rPr>
                <w:rFonts w:hint="eastAsia"/>
                <w:lang w:val="en-US" w:eastAsia="zh-CN"/>
              </w:rPr>
              <w:t>满足《工业企业厂界环境噪声排放限值》2类标准昼间60dB(A)，夜间50dB(A)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32" w:type="pct"/>
            <w:gridSpan w:val="2"/>
            <w:vAlign w:val="center"/>
          </w:tcPr>
          <w:p>
            <w:pPr>
              <w:rPr>
                <w:sz w:val="24"/>
              </w:rPr>
            </w:pPr>
            <w:r>
              <w:rPr>
                <w:rFonts w:hint="eastAsia"/>
                <w:color w:val="FF0000"/>
                <w:sz w:val="24"/>
              </w:rPr>
              <w:t>*</w:t>
            </w:r>
            <w:r>
              <w:rPr>
                <w:rFonts w:hint="eastAsia"/>
                <w:sz w:val="24"/>
              </w:rPr>
              <w:t>发现时间</w:t>
            </w:r>
          </w:p>
        </w:tc>
        <w:tc>
          <w:tcPr>
            <w:tcW w:w="3067" w:type="pct"/>
            <w:vAlign w:val="center"/>
          </w:tcPr>
          <w:p>
            <w:pPr>
              <w:rPr>
                <w:rFonts w:hint="default" w:eastAsiaTheme="minorEastAsia"/>
                <w:color w:val="AFABAB" w:themeColor="background2" w:themeShade="BF"/>
                <w:sz w:val="24"/>
                <w:lang w:val="en-US" w:eastAsia="zh-CN"/>
              </w:rPr>
            </w:pPr>
            <w:r>
              <w:rPr>
                <w:rFonts w:hint="eastAsia"/>
              </w:rPr>
              <w:t>202</w:t>
            </w:r>
            <w:r>
              <w:rPr>
                <w:rFonts w:hint="eastAsia"/>
                <w:lang w:val="en-US" w:eastAsia="zh-CN"/>
              </w:rPr>
              <w:t>4</w:t>
            </w:r>
            <w:r>
              <w:rPr>
                <w:rFonts w:hint="eastAsia"/>
              </w:rPr>
              <w:t>-0</w:t>
            </w:r>
            <w:r>
              <w:rPr>
                <w:rFonts w:hint="eastAsia"/>
                <w:lang w:val="en-US" w:eastAsia="zh-CN"/>
              </w:rPr>
              <w:t>2</w:t>
            </w:r>
            <w:r>
              <w:rPr>
                <w:rFonts w:hint="eastAsia"/>
              </w:rPr>
              <w:t>-</w:t>
            </w:r>
            <w:r>
              <w:rPr>
                <w:rFonts w:hint="eastAsia"/>
                <w:lang w:val="en-US" w:eastAsia="zh-C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1" w:hRule="atLeast"/>
        </w:trPr>
        <w:tc>
          <w:tcPr>
            <w:tcW w:w="1932" w:type="pct"/>
            <w:gridSpan w:val="2"/>
            <w:vAlign w:val="center"/>
          </w:tcPr>
          <w:p>
            <w:pPr>
              <w:rPr>
                <w:sz w:val="24"/>
              </w:rPr>
            </w:pPr>
            <w:r>
              <w:rPr>
                <w:rFonts w:hint="eastAsia"/>
                <w:color w:val="FF0000"/>
                <w:sz w:val="24"/>
              </w:rPr>
              <w:t>*</w:t>
            </w:r>
            <w:r>
              <w:rPr>
                <w:rFonts w:hint="eastAsia"/>
                <w:sz w:val="24"/>
              </w:rPr>
              <w:t>问题描述</w:t>
            </w:r>
          </w:p>
        </w:tc>
        <w:tc>
          <w:tcPr>
            <w:tcW w:w="3067" w:type="pct"/>
            <w:vAlign w:val="center"/>
          </w:tcPr>
          <w:p>
            <w:r>
              <w:rPr>
                <w:rFonts w:hint="eastAsia"/>
                <w:lang w:val="en-US" w:eastAsia="zh-CN"/>
              </w:rPr>
              <w:t>750kV秦川变电站本期拟建主变两组、高抗两组，每组主变/高抗均由三个分体变压器/高抗组成，本次仿真预测主要将六台分体变压器和六台分体高压电抗器作为主要噪声源，共计12个主噪声源。其中，变压器分体之间、电抗器分体之间都隔有防火墙。根据设计图纸，两组高抗距离围墙均比较近，噪声衰减不多，导致对其临近厂界处噪声贡献值较大。根据站内东侧电抗器噪声模拟计算，电抗器正对面离围墙1m处噪声约为57.3~58.5dB(A)，站内西侧电抗器噪声模拟计算，电抗器正对面离围墙1m处噪声约为58.2~59dB(A)，不满足噪声排放限值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1932" w:type="pct"/>
            <w:gridSpan w:val="2"/>
            <w:vAlign w:val="center"/>
          </w:tcPr>
          <w:p>
            <w:pPr>
              <w:rPr>
                <w:sz w:val="24"/>
              </w:rPr>
            </w:pPr>
            <w:r>
              <w:rPr>
                <w:rFonts w:hint="eastAsia"/>
                <w:color w:val="FF0000"/>
                <w:sz w:val="24"/>
              </w:rPr>
              <w:t>*</w:t>
            </w:r>
            <w:r>
              <w:rPr>
                <w:rFonts w:hint="eastAsia"/>
                <w:sz w:val="24"/>
              </w:rPr>
              <w:t>问题原因分析</w:t>
            </w:r>
          </w:p>
        </w:tc>
        <w:tc>
          <w:tcPr>
            <w:tcW w:w="3067" w:type="pct"/>
            <w:vAlign w:val="center"/>
          </w:tcPr>
          <w:p>
            <w:pPr>
              <w:rPr>
                <w:rFonts w:hint="default" w:eastAsiaTheme="minorEastAsia"/>
                <w:color w:val="FF0000"/>
                <w:sz w:val="24"/>
                <w:lang w:val="en-US" w:eastAsia="zh-CN"/>
              </w:rPr>
            </w:pPr>
            <w:r>
              <w:rPr>
                <w:rFonts w:hint="eastAsia"/>
                <w:lang w:val="en-US" w:eastAsia="zh-CN"/>
              </w:rPr>
              <w:t>根据设计方案，通过对750kV秦川变电站本期拟建主变两组、高抗两组主要噪声源预测计算仿真情况，分析出现厂界噪声超标情况的主要原因在于设计初期未对主要噪声源进行预测仿真计算，未合理规划电抗器的位置、围墙高度以及对主要噪声源采取降噪措施，保证厂界噪声排放达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932" w:type="pct"/>
            <w:gridSpan w:val="2"/>
            <w:vAlign w:val="center"/>
          </w:tcPr>
          <w:p>
            <w:pPr>
              <w:rPr>
                <w:sz w:val="24"/>
              </w:rPr>
            </w:pPr>
            <w:r>
              <w:rPr>
                <w:rFonts w:hint="eastAsia"/>
                <w:color w:val="FF0000"/>
                <w:sz w:val="24"/>
              </w:rPr>
              <w:t>*</w:t>
            </w:r>
            <w:r>
              <w:rPr>
                <w:rFonts w:hint="eastAsia"/>
                <w:sz w:val="24"/>
              </w:rPr>
              <w:t>监督意见</w:t>
            </w:r>
          </w:p>
        </w:tc>
        <w:tc>
          <w:tcPr>
            <w:tcW w:w="3067" w:type="pct"/>
            <w:vAlign w:val="center"/>
          </w:tcPr>
          <w:p>
            <w:pPr>
              <w:rPr>
                <w:rFonts w:hint="eastAsia"/>
                <w:lang w:val="en-US" w:eastAsia="zh-CN"/>
              </w:rPr>
            </w:pPr>
            <w:r>
              <w:rPr>
                <w:rFonts w:hint="eastAsia"/>
                <w:lang w:val="en-US" w:eastAsia="zh-CN"/>
              </w:rPr>
              <w:t>根据对主要噪声源预测仿真计算结果，建议对距离高抗较近的围墙从2.5m加高至4m，且在电抗器处加装BOX-in装置，厂界噪声会明显下降，并且通过预测计算的厂界噪声满足GB 12348 《工业企业厂界环境噪声排放标准》2类要求。</w:t>
            </w:r>
          </w:p>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32" w:type="pct"/>
            <w:gridSpan w:val="2"/>
            <w:vAlign w:val="center"/>
          </w:tcPr>
          <w:p>
            <w:pPr>
              <w:rPr>
                <w:sz w:val="24"/>
              </w:rPr>
            </w:pPr>
            <w:r>
              <w:rPr>
                <w:rFonts w:hint="eastAsia"/>
                <w:color w:val="FF0000"/>
                <w:sz w:val="24"/>
              </w:rPr>
              <w:t>*</w:t>
            </w:r>
            <w:r>
              <w:rPr>
                <w:rFonts w:hint="eastAsia"/>
                <w:sz w:val="24"/>
              </w:rPr>
              <w:t>实际整改措施</w:t>
            </w:r>
          </w:p>
        </w:tc>
        <w:tc>
          <w:tcPr>
            <w:tcW w:w="3067" w:type="pct"/>
            <w:vAlign w:val="center"/>
          </w:tcPr>
          <w:p>
            <w:pPr>
              <w:rPr>
                <w:rFonts w:hint="default" w:eastAsiaTheme="minorEastAsia"/>
                <w:lang w:val="en-US" w:eastAsia="zh-CN"/>
              </w:rPr>
            </w:pPr>
            <w:r>
              <w:rPr>
                <w:rFonts w:hint="eastAsia"/>
                <w:lang w:val="en-US" w:eastAsia="zh-CN"/>
              </w:rPr>
              <w:t>正在进行整改，现场正在对电抗器进行Box-in安装及围墙加高，后续将对建设完成后的秦川变进行厂界噪声检测。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1932" w:type="pct"/>
            <w:gridSpan w:val="2"/>
            <w:vAlign w:val="center"/>
          </w:tcPr>
          <w:p>
            <w:pPr>
              <w:rPr>
                <w:sz w:val="24"/>
              </w:rPr>
            </w:pPr>
            <w:r>
              <w:rPr>
                <w:rFonts w:hint="eastAsia"/>
                <w:sz w:val="24"/>
              </w:rPr>
              <w:t>其他要说明的问题</w:t>
            </w:r>
          </w:p>
        </w:tc>
        <w:tc>
          <w:tcPr>
            <w:tcW w:w="3067" w:type="pct"/>
            <w:vAlign w:val="center"/>
          </w:tcPr>
          <w:p>
            <w:pPr>
              <w:rPr>
                <w:rFonts w:hint="eastAsia" w:eastAsiaTheme="minorEastAsia"/>
                <w:color w:val="AFABAB" w:themeColor="background2" w:themeShade="BF"/>
                <w:sz w:val="24"/>
                <w:lang w:eastAsia="zh-CN"/>
              </w:rPr>
            </w:pPr>
            <w:r>
              <w:rPr>
                <w:rFonts w:hint="eastAsia"/>
                <w:color w:val="AFABAB" w:themeColor="background2" w:themeShade="BF"/>
                <w:sz w:val="24"/>
                <w:lang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trPr>
        <w:tc>
          <w:tcPr>
            <w:tcW w:w="924" w:type="pct"/>
            <w:vAlign w:val="center"/>
          </w:tcPr>
          <w:p>
            <w:pPr>
              <w:rPr>
                <w:sz w:val="24"/>
              </w:rPr>
            </w:pPr>
            <w:r>
              <w:rPr>
                <w:rFonts w:hint="eastAsia"/>
                <w:color w:val="FF0000"/>
                <w:sz w:val="24"/>
              </w:rPr>
              <w:t>*</w:t>
            </w:r>
            <w:r>
              <w:rPr>
                <w:rFonts w:hint="eastAsia"/>
                <w:sz w:val="24"/>
              </w:rPr>
              <w:t>问题照片</w:t>
            </w:r>
          </w:p>
        </w:tc>
        <w:tc>
          <w:tcPr>
            <w:tcW w:w="1007" w:type="pct"/>
            <w:vAlign w:val="center"/>
          </w:tcPr>
          <w:p>
            <w:pPr>
              <w:rPr>
                <w:rFonts w:hint="eastAsia" w:eastAsiaTheme="minorEastAsia"/>
                <w:color w:val="AFABAB" w:themeColor="background2" w:themeShade="BF"/>
                <w:sz w:val="24"/>
                <w:lang w:eastAsia="zh-CN"/>
              </w:rPr>
            </w:pPr>
            <w:r>
              <w:rPr>
                <w:rFonts w:hint="eastAsia"/>
                <w:color w:val="AFABAB" w:themeColor="background2" w:themeShade="BF"/>
                <w:sz w:val="24"/>
                <w:lang w:eastAsia="zh-CN"/>
              </w:rPr>
              <w:t>预测仿真计算电抗器侧噪声超标</w:t>
            </w:r>
          </w:p>
        </w:tc>
        <w:tc>
          <w:tcPr>
            <w:tcW w:w="3067" w:type="pct"/>
            <w:vAlign w:val="center"/>
          </w:tcPr>
          <w:p>
            <w:r>
              <w:rPr>
                <w:rFonts w:hint="eastAsia"/>
                <w:color w:val="AFABAB" w:themeColor="background2" w:themeShade="BF"/>
                <w:sz w:val="24"/>
              </w:rPr>
              <w:drawing>
                <wp:inline distT="0" distB="0" distL="114300" distR="114300">
                  <wp:extent cx="3166110" cy="2007870"/>
                  <wp:effectExtent l="0" t="0" r="15240" b="1143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4"/>
                          <a:stretch>
                            <a:fillRect/>
                          </a:stretch>
                        </pic:blipFill>
                        <pic:spPr>
                          <a:xfrm>
                            <a:off x="0" y="0"/>
                            <a:ext cx="3166110" cy="2007870"/>
                          </a:xfrm>
                          <a:prstGeom prst="rect">
                            <a:avLst/>
                          </a:prstGeom>
                        </pic:spPr>
                      </pic:pic>
                    </a:graphicData>
                  </a:graphic>
                </wp:inline>
              </w:drawing>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924" w:type="pct"/>
            <w:vAlign w:val="center"/>
          </w:tcPr>
          <w:p>
            <w:pPr>
              <w:rPr>
                <w:sz w:val="24"/>
              </w:rPr>
            </w:pPr>
            <w:r>
              <w:rPr>
                <w:rFonts w:hint="eastAsia"/>
                <w:sz w:val="24"/>
              </w:rPr>
              <w:t>案例附件</w:t>
            </w:r>
          </w:p>
        </w:tc>
        <w:tc>
          <w:tcPr>
            <w:tcW w:w="1007" w:type="pct"/>
            <w:vAlign w:val="center"/>
          </w:tcPr>
          <w:p>
            <w:pPr>
              <w:rPr>
                <w:sz w:val="24"/>
              </w:rPr>
            </w:pPr>
            <w:r>
              <w:rPr>
                <w:rFonts w:hint="eastAsia"/>
                <w:color w:val="AFABAB" w:themeColor="background2" w:themeShade="BF"/>
                <w:sz w:val="24"/>
              </w:rPr>
              <w:t>填写附件名称</w:t>
            </w:r>
          </w:p>
        </w:tc>
        <w:tc>
          <w:tcPr>
            <w:tcW w:w="3067" w:type="pct"/>
            <w:vAlign w:val="center"/>
          </w:tcPr>
          <w:p>
            <w:r>
              <w:rPr>
                <w:rFonts w:hint="eastAsia"/>
                <w:color w:val="AFABAB" w:themeColor="background2" w:themeShade="BF"/>
                <w:sz w:val="24"/>
              </w:rPr>
              <w:t>放案例相关的附件，会议纪要、发文等</w:t>
            </w: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方正仿宋_GBK">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3NzM1MzI1MTg5NmMxZTg2MTk5MzFiYzk1ZjJmODgifQ=="/>
  </w:docVars>
  <w:rsids>
    <w:rsidRoot w:val="008A6252"/>
    <w:rsid w:val="000378D4"/>
    <w:rsid w:val="00133E01"/>
    <w:rsid w:val="001F7602"/>
    <w:rsid w:val="00227C4E"/>
    <w:rsid w:val="002A6BCB"/>
    <w:rsid w:val="00334D37"/>
    <w:rsid w:val="003B3F5F"/>
    <w:rsid w:val="00406066"/>
    <w:rsid w:val="00544659"/>
    <w:rsid w:val="005863DF"/>
    <w:rsid w:val="00660289"/>
    <w:rsid w:val="00813D31"/>
    <w:rsid w:val="0084294D"/>
    <w:rsid w:val="008A6252"/>
    <w:rsid w:val="0092628F"/>
    <w:rsid w:val="00AA0567"/>
    <w:rsid w:val="00AC0FC5"/>
    <w:rsid w:val="00CD3ED1"/>
    <w:rsid w:val="00F4636D"/>
    <w:rsid w:val="00FD7E23"/>
    <w:rsid w:val="017F3AD1"/>
    <w:rsid w:val="04F150CC"/>
    <w:rsid w:val="050634BB"/>
    <w:rsid w:val="058A5E9A"/>
    <w:rsid w:val="06562070"/>
    <w:rsid w:val="0992356F"/>
    <w:rsid w:val="0DBF4B4E"/>
    <w:rsid w:val="106B68C8"/>
    <w:rsid w:val="10BE6E2F"/>
    <w:rsid w:val="123553DF"/>
    <w:rsid w:val="169052DA"/>
    <w:rsid w:val="1B5D0DB4"/>
    <w:rsid w:val="1CE02171"/>
    <w:rsid w:val="1D1F34F7"/>
    <w:rsid w:val="1D24677C"/>
    <w:rsid w:val="1DD43CFE"/>
    <w:rsid w:val="201B3E66"/>
    <w:rsid w:val="214C62A1"/>
    <w:rsid w:val="23C55B3C"/>
    <w:rsid w:val="242843AB"/>
    <w:rsid w:val="2730304F"/>
    <w:rsid w:val="295A0DF2"/>
    <w:rsid w:val="2AB96756"/>
    <w:rsid w:val="2F8A07CB"/>
    <w:rsid w:val="344C130A"/>
    <w:rsid w:val="34CC3529"/>
    <w:rsid w:val="378818B3"/>
    <w:rsid w:val="39316051"/>
    <w:rsid w:val="3FF73B50"/>
    <w:rsid w:val="44A914F5"/>
    <w:rsid w:val="4714349F"/>
    <w:rsid w:val="47B02837"/>
    <w:rsid w:val="4F275AD4"/>
    <w:rsid w:val="504A56C1"/>
    <w:rsid w:val="51F223CA"/>
    <w:rsid w:val="56B91708"/>
    <w:rsid w:val="5A527871"/>
    <w:rsid w:val="5E023994"/>
    <w:rsid w:val="5E1611EE"/>
    <w:rsid w:val="64CA4AE0"/>
    <w:rsid w:val="676807BF"/>
    <w:rsid w:val="6EF94940"/>
    <w:rsid w:val="70DA4838"/>
    <w:rsid w:val="70DD3DED"/>
    <w:rsid w:val="724C76FA"/>
    <w:rsid w:val="730833A3"/>
    <w:rsid w:val="765835E2"/>
    <w:rsid w:val="77713ED2"/>
    <w:rsid w:val="7A715CD2"/>
    <w:rsid w:val="7FAC33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spacing w:line="580" w:lineRule="exact"/>
      <w:ind w:firstLine="880" w:firstLineChars="200"/>
    </w:pPr>
    <w:rPr>
      <w:rFonts w:ascii="方正仿宋_GBK" w:hAnsi="方正仿宋_GBK" w:eastAsia="方正仿宋_GBK"/>
      <w:sz w:val="32"/>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tabs>
        <w:tab w:val="center" w:pos="4153"/>
        <w:tab w:val="right" w:pos="8306"/>
      </w:tabs>
      <w:snapToGrid w:val="0"/>
      <w:jc w:val="center"/>
    </w:pPr>
    <w:rPr>
      <w:sz w:val="18"/>
      <w:szCs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0"/>
    <w:rPr>
      <w:kern w:val="2"/>
      <w:sz w:val="18"/>
      <w:szCs w:val="18"/>
    </w:rPr>
  </w:style>
  <w:style w:type="character" w:customStyle="1" w:styleId="9">
    <w:name w:val="页脚 字符"/>
    <w:basedOn w:val="7"/>
    <w:link w:val="3"/>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164</Words>
  <Characters>936</Characters>
  <Lines>7</Lines>
  <Paragraphs>2</Paragraphs>
  <TotalTime>1</TotalTime>
  <ScaleCrop>false</ScaleCrop>
  <LinksUpToDate>false</LinksUpToDate>
  <CharactersWithSpaces>1098</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2024-08-14T09:30:00Z</dcterms:created>
  <dc:creator>lms29</dc:creator>
  <cp:lastModifiedBy>安亮亮</cp:lastModifiedBy>
  <dcterms:modified xsi:type="dcterms:W3CDTF">2024-08-29T08:28:38Z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684106813AA24C798D24BD796A91D972</vt:lpwstr>
  </property>
</Properties>
</file>