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技术监督典型案例收集模板</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1591"/>
        <w:gridCol w:w="5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单位名称</w:t>
            </w:r>
          </w:p>
        </w:tc>
        <w:tc>
          <w:tcPr>
            <w:tcW w:w="3053" w:type="pct"/>
            <w:vAlign w:val="center"/>
          </w:tcPr>
          <w:p>
            <w:pPr>
              <w:rPr>
                <w:rFonts w:hint="eastAsia"/>
                <w:sz w:val="24"/>
              </w:rPr>
            </w:pPr>
            <w:r>
              <w:rPr>
                <w:rFonts w:hint="eastAsia"/>
                <w:sz w:val="24"/>
              </w:rPr>
              <w:t>国网</w:t>
            </w:r>
            <w:r>
              <w:rPr>
                <w:rFonts w:hint="eastAsia"/>
                <w:sz w:val="24"/>
                <w:lang w:val="en-US" w:eastAsia="zh-CN"/>
              </w:rPr>
              <w:t>甘肃</w:t>
            </w:r>
            <w:r>
              <w:rPr>
                <w:rFonts w:hint="eastAsia"/>
                <w:sz w:val="24"/>
              </w:rPr>
              <w:t>省电力公司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案例名称</w:t>
            </w:r>
          </w:p>
        </w:tc>
        <w:tc>
          <w:tcPr>
            <w:tcW w:w="3053" w:type="pct"/>
            <w:vAlign w:val="center"/>
          </w:tcPr>
          <w:p>
            <w:pPr>
              <w:rPr>
                <w:rFonts w:hint="eastAsia"/>
                <w:sz w:val="24"/>
              </w:rPr>
            </w:pPr>
            <w:r>
              <w:rPr>
                <w:rFonts w:hint="eastAsia"/>
                <w:sz w:val="24"/>
              </w:rPr>
              <w:t>750千伏平凉变电站凉乾</w:t>
            </w:r>
            <w:r>
              <w:rPr>
                <w:rFonts w:hint="eastAsia"/>
                <w:sz w:val="24"/>
                <w:lang w:val="en-US" w:eastAsia="zh-CN"/>
              </w:rPr>
              <w:t>II</w:t>
            </w:r>
            <w:r>
              <w:rPr>
                <w:rFonts w:hint="eastAsia"/>
                <w:sz w:val="24"/>
              </w:rPr>
              <w:t>线高抗A相本体油色谱异常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工程信息</w:t>
            </w:r>
          </w:p>
        </w:tc>
        <w:tc>
          <w:tcPr>
            <w:tcW w:w="1014" w:type="pct"/>
            <w:vAlign w:val="center"/>
          </w:tcPr>
          <w:p>
            <w:pPr>
              <w:rPr>
                <w:sz w:val="24"/>
              </w:rPr>
            </w:pPr>
            <w:r>
              <w:rPr>
                <w:rFonts w:hint="eastAsia"/>
                <w:color w:val="FF0000"/>
                <w:sz w:val="24"/>
              </w:rPr>
              <w:t>*</w:t>
            </w:r>
            <w:r>
              <w:rPr>
                <w:rFonts w:hint="eastAsia"/>
                <w:sz w:val="24"/>
              </w:rPr>
              <w:t>工程名称</w:t>
            </w:r>
          </w:p>
        </w:tc>
        <w:tc>
          <w:tcPr>
            <w:tcW w:w="3053" w:type="pct"/>
            <w:vAlign w:val="center"/>
          </w:tcPr>
          <w:p>
            <w:pPr>
              <w:rPr>
                <w:rFonts w:hint="default"/>
                <w:sz w:val="24"/>
                <w:lang w:val="en-US" w:eastAsia="zh-CN"/>
              </w:rPr>
            </w:pPr>
            <w:r>
              <w:rPr>
                <w:rFonts w:hint="eastAsia"/>
                <w:sz w:val="24"/>
                <w:lang w:val="en-US" w:eastAsia="zh-CN"/>
              </w:rPr>
              <w:t>750kV平凉变电站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站线名称</w:t>
            </w:r>
          </w:p>
        </w:tc>
        <w:tc>
          <w:tcPr>
            <w:tcW w:w="3053" w:type="pct"/>
            <w:vAlign w:val="center"/>
          </w:tcPr>
          <w:p>
            <w:pPr>
              <w:rPr>
                <w:rFonts w:hint="default"/>
                <w:sz w:val="24"/>
                <w:lang w:val="en-US" w:eastAsia="zh-CN"/>
              </w:rPr>
            </w:pPr>
            <w:r>
              <w:rPr>
                <w:rFonts w:hint="eastAsia"/>
                <w:sz w:val="24"/>
                <w:lang w:val="en-US" w:eastAsia="zh-CN"/>
              </w:rPr>
              <w:t>凉乾II线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工程类型</w:t>
            </w:r>
          </w:p>
        </w:tc>
        <w:tc>
          <w:tcPr>
            <w:tcW w:w="3053" w:type="pct"/>
            <w:vAlign w:val="center"/>
          </w:tcPr>
          <w:p>
            <w:pPr>
              <w:rPr>
                <w:rFonts w:hint="eastAsia"/>
                <w:sz w:val="24"/>
              </w:rPr>
            </w:pPr>
            <w:r>
              <w:rPr>
                <w:rFonts w:hint="eastAsia"/>
                <w:sz w:val="24"/>
              </w:rPr>
              <w:t>变电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工程电压等级</w:t>
            </w:r>
          </w:p>
        </w:tc>
        <w:tc>
          <w:tcPr>
            <w:tcW w:w="3053" w:type="pct"/>
            <w:vAlign w:val="center"/>
          </w:tcPr>
          <w:p>
            <w:pPr>
              <w:rPr>
                <w:rFonts w:hint="default"/>
                <w:sz w:val="24"/>
                <w:lang w:val="en-US" w:eastAsia="zh-CN"/>
              </w:rPr>
            </w:pPr>
            <w:r>
              <w:rPr>
                <w:rFonts w:hint="eastAsia"/>
                <w:sz w:val="24"/>
                <w:lang w:val="en-US" w:eastAsia="zh-CN"/>
              </w:rPr>
              <w:t>750kV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设备信息</w:t>
            </w:r>
          </w:p>
        </w:tc>
        <w:tc>
          <w:tcPr>
            <w:tcW w:w="1014" w:type="pct"/>
            <w:vAlign w:val="center"/>
          </w:tcPr>
          <w:p>
            <w:pPr>
              <w:rPr>
                <w:sz w:val="24"/>
              </w:rPr>
            </w:pPr>
            <w:r>
              <w:rPr>
                <w:rFonts w:hint="eastAsia"/>
                <w:color w:val="FF0000"/>
                <w:sz w:val="24"/>
              </w:rPr>
              <w:t>*</w:t>
            </w:r>
            <w:r>
              <w:rPr>
                <w:rFonts w:hint="eastAsia"/>
                <w:sz w:val="24"/>
              </w:rPr>
              <w:t>设备类型</w:t>
            </w:r>
          </w:p>
        </w:tc>
        <w:tc>
          <w:tcPr>
            <w:tcW w:w="3053" w:type="pct"/>
            <w:vAlign w:val="center"/>
          </w:tcPr>
          <w:p>
            <w:pPr>
              <w:rPr>
                <w:rFonts w:hint="eastAsia"/>
                <w:sz w:val="24"/>
                <w:lang w:eastAsia="zh-CN"/>
              </w:rPr>
            </w:pPr>
            <w:r>
              <w:rPr>
                <w:rFonts w:hint="eastAsia"/>
                <w:sz w:val="24"/>
                <w:lang w:val="en-US" w:eastAsia="zh-CN"/>
              </w:rPr>
              <w:t>高压并联电抗器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设备电压等级</w:t>
            </w:r>
          </w:p>
        </w:tc>
        <w:tc>
          <w:tcPr>
            <w:tcW w:w="3053" w:type="pct"/>
            <w:vAlign w:val="center"/>
          </w:tcPr>
          <w:p>
            <w:pPr>
              <w:rPr>
                <w:rFonts w:hint="default"/>
                <w:sz w:val="24"/>
                <w:lang w:val="en-US" w:eastAsia="zh-CN"/>
              </w:rPr>
            </w:pPr>
            <w:r>
              <w:rPr>
                <w:rFonts w:hint="eastAsia"/>
                <w:sz w:val="24"/>
                <w:lang w:val="en-US" w:eastAsia="zh-CN"/>
              </w:rPr>
              <w:t>750kV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生产厂家全称（或责任单位）</w:t>
            </w:r>
          </w:p>
        </w:tc>
        <w:tc>
          <w:tcPr>
            <w:tcW w:w="3053" w:type="pct"/>
            <w:vAlign w:val="center"/>
          </w:tcPr>
          <w:p>
            <w:pPr>
              <w:rPr>
                <w:rFonts w:hint="eastAsia"/>
                <w:sz w:val="24"/>
              </w:rPr>
            </w:pPr>
            <w:r>
              <w:rPr>
                <w:rFonts w:hint="eastAsia"/>
                <w:sz w:val="24"/>
              </w:rPr>
              <w:t>西安西电变压器有限公司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监督专业</w:t>
            </w:r>
          </w:p>
        </w:tc>
        <w:tc>
          <w:tcPr>
            <w:tcW w:w="3053" w:type="pct"/>
            <w:vAlign w:val="center"/>
          </w:tcPr>
          <w:p>
            <w:pPr>
              <w:rPr>
                <w:rFonts w:hint="eastAsia"/>
                <w:sz w:val="24"/>
              </w:rPr>
            </w:pPr>
            <w:r>
              <w:rPr>
                <w:rFonts w:hint="eastAsia"/>
                <w:sz w:val="24"/>
              </w:rPr>
              <w:t>电气设备性能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监督阶段</w:t>
            </w:r>
          </w:p>
        </w:tc>
        <w:tc>
          <w:tcPr>
            <w:tcW w:w="3053" w:type="pct"/>
            <w:vAlign w:val="center"/>
          </w:tcPr>
          <w:p>
            <w:pPr>
              <w:rPr>
                <w:rFonts w:hint="eastAsia"/>
                <w:sz w:val="24"/>
                <w:lang w:eastAsia="zh-CN"/>
              </w:rPr>
            </w:pPr>
            <w:r>
              <w:rPr>
                <w:rFonts w:hint="eastAsia"/>
                <w:sz w:val="24"/>
                <w:lang w:val="en-US" w:eastAsia="zh-CN"/>
              </w:rPr>
              <w:t>运维检修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依据细则（标准）</w:t>
            </w:r>
          </w:p>
        </w:tc>
        <w:tc>
          <w:tcPr>
            <w:tcW w:w="1014" w:type="pct"/>
            <w:vAlign w:val="center"/>
          </w:tcPr>
          <w:p>
            <w:pPr>
              <w:rPr>
                <w:sz w:val="24"/>
              </w:rPr>
            </w:pPr>
            <w:r>
              <w:rPr>
                <w:rFonts w:hint="eastAsia"/>
                <w:color w:val="FF0000"/>
                <w:sz w:val="24"/>
              </w:rPr>
              <w:t>*</w:t>
            </w:r>
            <w:r>
              <w:rPr>
                <w:rFonts w:hint="eastAsia"/>
                <w:sz w:val="24"/>
              </w:rPr>
              <w:t>细则（标准）名称</w:t>
            </w:r>
          </w:p>
        </w:tc>
        <w:tc>
          <w:tcPr>
            <w:tcW w:w="3053" w:type="pct"/>
            <w:vAlign w:val="center"/>
          </w:tcPr>
          <w:p>
            <w:pPr>
              <w:rPr>
                <w:rFonts w:hint="default"/>
                <w:sz w:val="24"/>
                <w:lang w:val="en-US" w:eastAsia="zh-CN"/>
              </w:rPr>
            </w:pPr>
            <w:r>
              <w:rPr>
                <w:rFonts w:hint="eastAsia"/>
                <w:sz w:val="24"/>
              </w:rPr>
              <w:t>变压器</w:t>
            </w:r>
            <w:r>
              <w:rPr>
                <w:rFonts w:hint="eastAsia"/>
                <w:sz w:val="24"/>
                <w:lang w:val="en-US" w:eastAsia="zh-CN"/>
              </w:rPr>
              <w:t>油中溶解气体分析和判断导则（DL/T 722-2014）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条款序号</w:t>
            </w:r>
          </w:p>
        </w:tc>
        <w:tc>
          <w:tcPr>
            <w:tcW w:w="3053" w:type="pct"/>
            <w:vAlign w:val="center"/>
          </w:tcPr>
          <w:p>
            <w:pPr>
              <w:rPr>
                <w:rFonts w:hint="eastAsia"/>
                <w:sz w:val="24"/>
                <w:lang w:val="en-US" w:eastAsia="zh-CN"/>
              </w:rPr>
            </w:pPr>
            <w:r>
              <w:rPr>
                <w:rFonts w:hint="eastAsia"/>
                <w:sz w:val="24"/>
                <w:lang w:val="en-US" w:eastAsia="zh-CN"/>
              </w:rPr>
              <w:t>9.3.1</w:t>
            </w:r>
          </w:p>
          <w:p>
            <w:pPr>
              <w:rPr>
                <w:rFonts w:hint="default"/>
                <w:sz w:val="24"/>
                <w:lang w:val="en-US" w:eastAsia="zh-CN"/>
              </w:rPr>
            </w:pPr>
            <w:r>
              <w:rPr>
                <w:rFonts w:hint="eastAsia"/>
                <w:sz w:val="24"/>
                <w:lang w:val="en-US" w:eastAsia="zh-CN"/>
              </w:rPr>
              <w:t>9.3.2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监督标准</w:t>
            </w:r>
          </w:p>
        </w:tc>
        <w:tc>
          <w:tcPr>
            <w:tcW w:w="3053" w:type="pct"/>
          </w:tcPr>
          <w:p>
            <w:pPr>
              <w:rPr>
                <w:rFonts w:hint="eastAsia"/>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330kV及以上运行中的变压器/电抗器乙炔含量注意值为1μL/L</w:t>
            </w:r>
            <w:r>
              <w:rPr>
                <w:rFonts w:hint="eastAsia"/>
                <w:color w:val="000000" w:themeColor="text1"/>
                <w:sz w:val="24"/>
                <w14:textFill>
                  <w14:solidFill>
                    <w14:schemeClr w14:val="tx1"/>
                  </w14:solidFill>
                </w14:textFill>
              </w:rPr>
              <w:t>。</w:t>
            </w:r>
          </w:p>
          <w:p>
            <w:pPr>
              <w:rPr>
                <w:rFonts w:hint="default" w:eastAsiaTheme="minor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对于变压器和电抗器，乙炔绝对产气速率的注意值为0.2μL/L</w:t>
            </w:r>
            <w:r>
              <w:rPr>
                <w:rFonts w:hint="eastAsia"/>
                <w:color w:val="000000" w:themeColor="text1"/>
                <w:sz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发现时间</w:t>
            </w:r>
          </w:p>
        </w:tc>
        <w:tc>
          <w:tcPr>
            <w:tcW w:w="3053" w:type="pct"/>
            <w:vAlign w:val="center"/>
          </w:tcPr>
          <w:p>
            <w:pPr>
              <w:rPr>
                <w:rFonts w:hint="default" w:eastAsiaTheme="minorEastAsia"/>
                <w:color w:val="000000" w:themeColor="text1"/>
                <w:sz w:val="24"/>
                <w:lang w:val="en-US" w:eastAsia="zh-CN"/>
                <w14:textFill>
                  <w14:solidFill>
                    <w14:schemeClr w14:val="tx1"/>
                  </w14:solidFill>
                </w14:textFill>
              </w:rPr>
            </w:pPr>
            <w:r>
              <w:rPr>
                <w:rFonts w:hint="eastAsia"/>
                <w:color w:val="000000" w:themeColor="text1"/>
                <w:sz w:val="24"/>
                <w14:textFill>
                  <w14:solidFill>
                    <w14:schemeClr w14:val="tx1"/>
                  </w14:solidFill>
                </w14:textFill>
              </w:rPr>
              <w:t>202</w:t>
            </w:r>
            <w:r>
              <w:rPr>
                <w:rFonts w:hint="eastAsia"/>
                <w:color w:val="000000" w:themeColor="text1"/>
                <w:sz w:val="24"/>
                <w:lang w:val="en-US" w:eastAsia="zh-CN"/>
                <w14:textFill>
                  <w14:solidFill>
                    <w14:schemeClr w14:val="tx1"/>
                  </w14:solidFill>
                </w14:textFill>
              </w:rPr>
              <w:t>4</w:t>
            </w:r>
            <w:r>
              <w:rPr>
                <w:rFonts w:hint="eastAsia"/>
                <w:color w:val="000000" w:themeColor="text1"/>
                <w:sz w:val="24"/>
                <w14:textFill>
                  <w14:solidFill>
                    <w14:schemeClr w14:val="tx1"/>
                  </w14:solidFill>
                </w14:textFill>
              </w:rPr>
              <w:t>-03-</w:t>
            </w:r>
            <w:r>
              <w:rPr>
                <w:rFonts w:hint="eastAsia"/>
                <w:color w:val="000000" w:themeColor="text1"/>
                <w:sz w:val="24"/>
                <w:lang w:val="en-US" w:eastAsia="zh-CN"/>
                <w14:textFill>
                  <w14:solidFill>
                    <w14:schemeClr w14:val="tx1"/>
                  </w14:solidFill>
                </w14:textFill>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46" w:type="pct"/>
            <w:gridSpan w:val="2"/>
            <w:vAlign w:val="center"/>
          </w:tcPr>
          <w:p>
            <w:pPr>
              <w:rPr>
                <w:sz w:val="24"/>
              </w:rPr>
            </w:pPr>
            <w:r>
              <w:rPr>
                <w:rFonts w:hint="eastAsia"/>
                <w:color w:val="FF0000"/>
                <w:sz w:val="24"/>
              </w:rPr>
              <w:t>*</w:t>
            </w:r>
            <w:r>
              <w:rPr>
                <w:rFonts w:hint="eastAsia"/>
                <w:sz w:val="24"/>
              </w:rPr>
              <w:t>问题描述</w:t>
            </w:r>
          </w:p>
        </w:tc>
        <w:tc>
          <w:tcPr>
            <w:tcW w:w="3053" w:type="pct"/>
            <w:vAlign w:val="center"/>
          </w:tcPr>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2024年3月14日凌晨3时，750kV平凉变凉乾二线2号高抗A相</w:t>
            </w:r>
            <w:r>
              <w:rPr>
                <w:rFonts w:hint="eastAsia"/>
                <w:color w:val="000000" w:themeColor="text1"/>
                <w:sz w:val="24"/>
                <w:lang w:eastAsia="zh-CN"/>
                <w14:textFill>
                  <w14:solidFill>
                    <w14:schemeClr w14:val="tx1"/>
                  </w14:solidFill>
                </w14:textFill>
              </w:rPr>
              <w:t>（型号为BDK-70000/750）</w:t>
            </w:r>
            <w:r>
              <w:rPr>
                <w:rFonts w:hint="eastAsia"/>
                <w:color w:val="000000" w:themeColor="text1"/>
                <w:sz w:val="24"/>
                <w14:textFill>
                  <w14:solidFill>
                    <w14:schemeClr w14:val="tx1"/>
                  </w14:solidFill>
                </w14:textFill>
              </w:rPr>
              <w:t>油色谱在线监测告警，乙炔含量从0突增至4.1uL/L，在线、离线复测确认乙炔突增（6时在线复测乙炔7.4uL/L、8时在线复测乙炔11.65uL/L），氢气存在同步增长（从211uL/L增至233uL/L）。3月14日9:28分，凉乾二线7520、7522开关运行转热备用，设备紧急停运后离线测量乙炔值为11.65μL/L；停电后6小时检测乙炔值为14.42μL/L；停电后10小时检测乙炔值为17.4μL/L。其它组分气体未见明显变化。</w:t>
            </w:r>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color w:val="000000" w:themeColor="text1"/>
                <w:sz w:val="24"/>
                <w:lang w:val="en-US" w:eastAsia="zh-CN"/>
                <w14:textFill>
                  <w14:solidFill>
                    <w14:schemeClr w14:val="tx1"/>
                  </w14:solidFill>
                </w14:textFill>
              </w:rPr>
              <w:t>返厂解体检查后，发现箱底局部有黑色物质；螺纹座上有黑色粉末；检查箱盖，发现内部顶紧法兰有局部黑色痕迹；解体线圈后发现内静电屏编织带出头位置表面绝缘局部出现变色痕迹，内静电屏铜带边沿和铝箔接触面局部变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6" w:type="pct"/>
            <w:gridSpan w:val="2"/>
            <w:vAlign w:val="center"/>
          </w:tcPr>
          <w:p>
            <w:pPr>
              <w:rPr>
                <w:sz w:val="24"/>
              </w:rPr>
            </w:pPr>
            <w:r>
              <w:rPr>
                <w:rFonts w:hint="eastAsia"/>
                <w:color w:val="FF0000"/>
                <w:sz w:val="24"/>
              </w:rPr>
              <w:t>*</w:t>
            </w:r>
            <w:r>
              <w:rPr>
                <w:rFonts w:hint="eastAsia"/>
                <w:sz w:val="24"/>
              </w:rPr>
              <w:t>问题原因分析</w:t>
            </w:r>
          </w:p>
        </w:tc>
        <w:tc>
          <w:tcPr>
            <w:tcW w:w="3053" w:type="pct"/>
            <w:vAlign w:val="center"/>
          </w:tcPr>
          <w:p>
            <w:pPr>
              <w:rPr>
                <w:rFonts w:hint="eastAsia"/>
                <w:color w:val="000000" w:themeColor="text1"/>
                <w:sz w:val="24"/>
                <w:lang w:eastAsia="zh-CN"/>
                <w14:textFill>
                  <w14:solidFill>
                    <w14:schemeClr w14:val="tx1"/>
                  </w14:solidFill>
                </w14:textFill>
              </w:rPr>
            </w:pPr>
            <w:r>
              <w:rPr>
                <w:rFonts w:hint="eastAsia"/>
                <w:color w:val="000000" w:themeColor="text1"/>
                <w:sz w:val="24"/>
                <w14:textFill>
                  <w14:solidFill>
                    <w14:schemeClr w14:val="tx1"/>
                  </w14:solidFill>
                </w14:textFill>
              </w:rPr>
              <w:t>高抗油中乙炔含量异常增长至17.46μL/L，主要是由于内静电屏等电位铜带未完全接触部位对静电屏铝箔放电所致。该产品内静电屏在制造过程，铜带在铺设、铜带和下部铝箔焊接时，未能将铜带铺设平整，未能和下部铝箔完全接触</w:t>
            </w:r>
            <w:r>
              <w:rPr>
                <w:rFonts w:hint="eastAsia"/>
                <w:color w:val="000000" w:themeColor="text1"/>
                <w:sz w:val="24"/>
                <w:lang w:eastAsia="zh-CN"/>
                <w14:textFill>
                  <w14:solidFill>
                    <w14:schemeClr w14:val="tx1"/>
                  </w14:solidFill>
                </w14:textFill>
              </w:rPr>
              <w:t>。</w:t>
            </w:r>
          </w:p>
          <w:p>
            <w:pP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长期运行振动造成铜带边沿缝隙扩大，漏磁穿过铜带，在谐波的情况下磁密集中在铜带边沿位置，引起低能量放电，由于放电点数很多，导致铜带位置油温高于其他位置油温，最终造成电抗器乙炔含量突增现象。</w:t>
            </w:r>
          </w:p>
          <w:p>
            <w:pP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内静电屏编织带包覆绝缘纸黑色痕迹主要为放电后产生的颗粒物污染所致，非放电导致的结果 。 高抗正常运行条件下，上层油温比下层高出20K，油流由线圈下部向上部移动。因为该处有编织铜带，导致铜带两边存在小油隙，放电产生的碳、铜颗粒物等放电产物随油流移动，造成编织铜带出头位置绝缘纸表面出现变色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946" w:type="pct"/>
            <w:gridSpan w:val="2"/>
            <w:vAlign w:val="center"/>
          </w:tcPr>
          <w:p>
            <w:pPr>
              <w:rPr>
                <w:sz w:val="24"/>
              </w:rPr>
            </w:pPr>
            <w:r>
              <w:rPr>
                <w:rFonts w:hint="eastAsia"/>
                <w:color w:val="FF0000"/>
                <w:sz w:val="24"/>
              </w:rPr>
              <w:t>*</w:t>
            </w:r>
            <w:r>
              <w:rPr>
                <w:rFonts w:hint="eastAsia"/>
                <w:sz w:val="24"/>
              </w:rPr>
              <w:t>监督意见</w:t>
            </w:r>
          </w:p>
        </w:tc>
        <w:tc>
          <w:tcPr>
            <w:tcW w:w="3053" w:type="pct"/>
            <w:vAlign w:val="center"/>
          </w:tcPr>
          <w:p>
            <w:pPr>
              <w:rPr>
                <w:rFonts w:hint="eastAsia"/>
                <w:color w:val="000000" w:themeColor="text1"/>
                <w:sz w:val="24"/>
                <w:lang w:eastAsia="zh-CN"/>
                <w14:textFill>
                  <w14:solidFill>
                    <w14:schemeClr w14:val="tx1"/>
                  </w14:solidFill>
                </w14:textFill>
              </w:rPr>
            </w:pPr>
            <w:r>
              <w:rPr>
                <w:rFonts w:hint="eastAsia"/>
                <w:color w:val="000000" w:themeColor="text1"/>
                <w:sz w:val="24"/>
                <w14:textFill>
                  <w14:solidFill>
                    <w14:schemeClr w14:val="tx1"/>
                  </w14:solidFill>
                </w14:textFill>
              </w:rPr>
              <w:t>运维方面，建议开展省内36台同型号在运并联电抗器运行状态评估，加强油色谱在线监测装置数据监测，必要时使用超声波、高频局放检测等检测手段开展电抗器检测，确认在运并联高抗运行状态</w:t>
            </w:r>
            <w:r>
              <w:rPr>
                <w:rFonts w:hint="eastAsia"/>
                <w:color w:val="000000" w:themeColor="text1"/>
                <w:sz w:val="24"/>
                <w:lang w:eastAsia="zh-CN"/>
                <w14:textFill>
                  <w14:solidFill>
                    <w14:schemeClr w14:val="tx1"/>
                  </w14:solidFill>
                </w14:textFill>
              </w:rPr>
              <w:t>。</w:t>
            </w:r>
          </w:p>
          <w:p>
            <w:pPr>
              <w:rPr>
                <w:rFonts w:hint="eastAsia"/>
                <w:color w:val="000000" w:themeColor="text1"/>
                <w:sz w:val="24"/>
                <w:lang w:eastAsia="zh-CN"/>
                <w14:textFill>
                  <w14:solidFill>
                    <w14:schemeClr w14:val="tx1"/>
                  </w14:solidFill>
                </w14:textFill>
              </w:rPr>
            </w:pPr>
            <w:r>
              <w:rPr>
                <w:rFonts w:hint="eastAsia"/>
                <w:color w:val="000000" w:themeColor="text1"/>
                <w:sz w:val="24"/>
                <w:lang w:eastAsia="zh-CN"/>
                <w14:textFill>
                  <w14:solidFill>
                    <w14:schemeClr w14:val="tx1"/>
                  </w14:solidFill>
                </w14:textFill>
              </w:rPr>
              <w:t>设计方面，</w:t>
            </w:r>
            <w:r>
              <w:rPr>
                <w:rFonts w:hint="eastAsia"/>
                <w:color w:val="000000" w:themeColor="text1"/>
                <w:sz w:val="24"/>
                <w:lang w:val="en-US" w:eastAsia="zh-CN"/>
                <w14:textFill>
                  <w14:solidFill>
                    <w14:schemeClr w14:val="tx1"/>
                  </w14:solidFill>
                </w14:textFill>
              </w:rPr>
              <w:t>建议对铜带铝箔接触进行优化，</w:t>
            </w:r>
            <w:r>
              <w:rPr>
                <w:rFonts w:hint="eastAsia"/>
                <w:color w:val="000000" w:themeColor="text1"/>
                <w:sz w:val="24"/>
                <w:lang w:eastAsia="zh-CN"/>
                <w14:textFill>
                  <w14:solidFill>
                    <w14:schemeClr w14:val="tx1"/>
                  </w14:solidFill>
                </w14:textFill>
              </w:rPr>
              <w:t>主要包括①增加铜带与铝箔之间的焊点数；②等电位铜带选型改进为等电位铝箔，减少运行环境下不同材质的膨胀量；③在铜-铝间隙中加塞绝缘垫；④增加铜带厚度和宽度。分析以上措施优劣，并采用仿真计算软件对优化后的结构进行验证，确保产品质量。</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color w:val="FF0000"/>
                <w:sz w:val="24"/>
              </w:rPr>
              <w:t>*</w:t>
            </w:r>
            <w:r>
              <w:rPr>
                <w:rFonts w:hint="eastAsia"/>
                <w:sz w:val="24"/>
              </w:rPr>
              <w:t>实际整改措施</w:t>
            </w:r>
          </w:p>
        </w:tc>
        <w:tc>
          <w:tcPr>
            <w:tcW w:w="3053" w:type="pct"/>
            <w:vAlign w:val="center"/>
          </w:tcPr>
          <w:p>
            <w:pPr>
              <w:rPr>
                <w:color w:val="000000" w:themeColor="text1"/>
                <w14:textFill>
                  <w14:solidFill>
                    <w14:schemeClr w14:val="tx1"/>
                  </w14:solidFill>
                </w14:textFill>
              </w:rPr>
            </w:pPr>
            <w:r>
              <w:rPr>
                <w:rFonts w:hint="eastAsia"/>
                <w:color w:val="000000" w:themeColor="text1"/>
                <w:sz w:val="24"/>
                <w:lang w:val="en-US" w:eastAsia="zh-CN"/>
                <w14:textFill>
                  <w14:solidFill>
                    <w14:schemeClr w14:val="tx1"/>
                  </w14:solidFill>
                </w14:textFill>
              </w:rPr>
              <w:t>已完成整改，对在运的</w:t>
            </w:r>
            <w:r>
              <w:rPr>
                <w:rFonts w:hint="eastAsia"/>
                <w:color w:val="000000" w:themeColor="text1"/>
                <w:sz w:val="24"/>
                <w14:textFill>
                  <w14:solidFill>
                    <w14:schemeClr w14:val="tx1"/>
                  </w14:solidFill>
                </w14:textFill>
              </w:rPr>
              <w:t>36台同型号在运并联电抗器</w:t>
            </w:r>
            <w:r>
              <w:rPr>
                <w:rFonts w:hint="eastAsia"/>
                <w:color w:val="000000" w:themeColor="text1"/>
                <w:sz w:val="24"/>
                <w:lang w:val="en-US" w:eastAsia="zh-CN"/>
                <w14:textFill>
                  <w14:solidFill>
                    <w14:schemeClr w14:val="tx1"/>
                  </w14:solidFill>
                </w14:textFill>
              </w:rPr>
              <w:t>完成超声波局放检测，并调整油色谱在线检测装置监测周期。设计方面通过增加</w:t>
            </w:r>
            <w:r>
              <w:rPr>
                <w:rFonts w:hint="eastAsia"/>
                <w:color w:val="000000" w:themeColor="text1"/>
                <w:sz w:val="24"/>
                <w:lang w:eastAsia="zh-CN"/>
                <w14:textFill>
                  <w14:solidFill>
                    <w14:schemeClr w14:val="tx1"/>
                  </w14:solidFill>
                </w14:textFill>
              </w:rPr>
              <w:t>铜带与铝箔之间的焊点数</w:t>
            </w:r>
            <w:r>
              <w:rPr>
                <w:rFonts w:hint="eastAsia"/>
                <w:color w:val="000000" w:themeColor="text1"/>
                <w:sz w:val="24"/>
                <w:lang w:val="en-US" w:eastAsia="zh-CN"/>
                <w14:textFill>
                  <w14:solidFill>
                    <w14:schemeClr w14:val="tx1"/>
                  </w14:solidFill>
                </w14:textFill>
              </w:rPr>
              <w:t>对接触面进行优化</w:t>
            </w:r>
            <w:r>
              <w:rPr>
                <w:rFonts w:hint="eastAsia"/>
                <w:color w:val="000000" w:themeColor="text1"/>
                <w:sz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sz w:val="24"/>
              </w:rPr>
              <w:t>其他要说明的问题</w:t>
            </w:r>
          </w:p>
        </w:tc>
        <w:tc>
          <w:tcPr>
            <w:tcW w:w="3053" w:type="pct"/>
            <w:vAlign w:val="center"/>
          </w:tcPr>
          <w:p>
            <w:pPr>
              <w:rPr>
                <w:rFonts w:hint="eastAsia" w:eastAsiaTheme="minorEastAsia"/>
                <w:color w:val="000000" w:themeColor="text1"/>
                <w:sz w:val="24"/>
                <w:lang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932" w:type="pct"/>
            <w:vMerge w:val="restart"/>
            <w:vAlign w:val="center"/>
          </w:tcPr>
          <w:p>
            <w:pPr>
              <w:rPr>
                <w:sz w:val="24"/>
              </w:rPr>
            </w:pPr>
            <w:r>
              <w:rPr>
                <w:rFonts w:hint="eastAsia"/>
                <w:color w:val="FF0000"/>
                <w:sz w:val="24"/>
              </w:rPr>
              <w:t>*</w:t>
            </w:r>
            <w:r>
              <w:rPr>
                <w:rFonts w:hint="eastAsia"/>
                <w:sz w:val="24"/>
              </w:rPr>
              <w:t>问题照片</w:t>
            </w:r>
          </w:p>
        </w:tc>
        <w:tc>
          <w:tcPr>
            <w:tcW w:w="1014" w:type="pct"/>
            <w:vAlign w:val="center"/>
          </w:tcPr>
          <w:p>
            <w:pP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油箱底部</w:t>
            </w:r>
            <w:r>
              <w:rPr>
                <w:rFonts w:hint="eastAsia"/>
                <w:color w:val="000000" w:themeColor="text1"/>
                <w:sz w:val="24"/>
                <w14:textFill>
                  <w14:solidFill>
                    <w14:schemeClr w14:val="tx1"/>
                  </w14:solidFill>
                </w14:textFill>
              </w:rPr>
              <w:t>局部有黑色物质</w:t>
            </w:r>
          </w:p>
        </w:tc>
        <w:tc>
          <w:tcPr>
            <w:tcW w:w="3053" w:type="pct"/>
            <w:vAlign w:val="center"/>
          </w:tcPr>
          <w:p>
            <w:pPr>
              <w:rPr>
                <w:color w:val="000000" w:themeColor="text1"/>
                <w14:textFill>
                  <w14:solidFill>
                    <w14:schemeClr w14:val="tx1"/>
                  </w14:solidFill>
                </w14:textFill>
              </w:rPr>
            </w:pPr>
            <w:r>
              <w:drawing>
                <wp:inline distT="0" distB="0" distL="114300" distR="114300">
                  <wp:extent cx="3061970" cy="2333625"/>
                  <wp:effectExtent l="0" t="0" r="11430" b="3175"/>
                  <wp:docPr id="100" name="图片 99"/>
                  <wp:cNvGraphicFramePr/>
                  <a:graphic xmlns:a="http://schemas.openxmlformats.org/drawingml/2006/main">
                    <a:graphicData uri="http://schemas.openxmlformats.org/drawingml/2006/picture">
                      <pic:pic xmlns:pic="http://schemas.openxmlformats.org/drawingml/2006/picture">
                        <pic:nvPicPr>
                          <pic:cNvPr id="100" name="图片 99"/>
                          <pic:cNvPicPr/>
                        </pic:nvPicPr>
                        <pic:blipFill>
                          <a:blip r:embed="rId4"/>
                          <a:stretch>
                            <a:fillRect/>
                          </a:stretch>
                        </pic:blipFill>
                        <pic:spPr>
                          <a:xfrm>
                            <a:off x="0" y="0"/>
                            <a:ext cx="3061970" cy="233362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螺纹座上有黑色粉末</w:t>
            </w:r>
          </w:p>
        </w:tc>
        <w:tc>
          <w:tcPr>
            <w:tcW w:w="3053" w:type="pct"/>
            <w:vAlign w:val="center"/>
          </w:tcPr>
          <w:p>
            <w:pPr>
              <w:rPr>
                <w:color w:val="000000" w:themeColor="text1"/>
                <w14:textFill>
                  <w14:solidFill>
                    <w14:schemeClr w14:val="tx1"/>
                  </w14:solidFill>
                </w14:textFill>
              </w:rPr>
            </w:pPr>
            <w:r>
              <w:drawing>
                <wp:inline distT="0" distB="0" distL="114300" distR="114300">
                  <wp:extent cx="3159125" cy="2333625"/>
                  <wp:effectExtent l="0" t="0" r="3175" b="3175"/>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5"/>
                          <a:stretch>
                            <a:fillRect/>
                          </a:stretch>
                        </pic:blipFill>
                        <pic:spPr>
                          <a:xfrm>
                            <a:off x="0" y="0"/>
                            <a:ext cx="3159125" cy="233362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箱盖内部顶紧法兰有局部黑色痕迹</w:t>
            </w:r>
          </w:p>
        </w:tc>
        <w:tc>
          <w:tcPr>
            <w:tcW w:w="3053" w:type="pct"/>
            <w:vAlign w:val="center"/>
          </w:tcPr>
          <w:p>
            <w:r>
              <w:drawing>
                <wp:inline distT="0" distB="0" distL="114300" distR="114300">
                  <wp:extent cx="3127375" cy="2334260"/>
                  <wp:effectExtent l="0" t="0" r="9525" b="2540"/>
                  <wp:docPr id="6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7"/>
                          <pic:cNvPicPr>
                            <a:picLocks noChangeAspect="1"/>
                          </pic:cNvPicPr>
                        </pic:nvPicPr>
                        <pic:blipFill>
                          <a:blip r:embed="rId6"/>
                          <a:stretch>
                            <a:fillRect/>
                          </a:stretch>
                        </pic:blipFill>
                        <pic:spPr>
                          <a:xfrm>
                            <a:off x="0" y="0"/>
                            <a:ext cx="3127375" cy="23342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内静电屏编织带出头位置表面绝缘局部出现变色痕迹，内静电屏铜带边沿和铝箔接触面局部变色</w:t>
            </w:r>
          </w:p>
        </w:tc>
        <w:tc>
          <w:tcPr>
            <w:tcW w:w="3053" w:type="pct"/>
            <w:vAlign w:val="center"/>
          </w:tcPr>
          <w:p>
            <w:pPr>
              <w:jc w:val="center"/>
            </w:pPr>
            <w:r>
              <w:drawing>
                <wp:inline distT="0" distB="0" distL="114300" distR="114300">
                  <wp:extent cx="2609850" cy="37782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609850" cy="3778250"/>
                          </a:xfrm>
                          <a:prstGeom prst="rect">
                            <a:avLst/>
                          </a:prstGeom>
                          <a:noFill/>
                          <a:ln>
                            <a:noFill/>
                          </a:ln>
                        </pic:spPr>
                      </pic:pic>
                    </a:graphicData>
                  </a:graphic>
                </wp:inline>
              </w:drawing>
            </w:r>
          </w:p>
          <w:p>
            <w:r>
              <w:drawing>
                <wp:inline distT="0" distB="0" distL="114300" distR="114300">
                  <wp:extent cx="2259965" cy="3337560"/>
                  <wp:effectExtent l="0" t="0" r="2540" b="635"/>
                  <wp:docPr id="25" name="图片 25" descr="IMG_20240408_09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40408_091536"/>
                          <pic:cNvPicPr>
                            <a:picLocks noChangeAspect="1"/>
                          </pic:cNvPicPr>
                        </pic:nvPicPr>
                        <pic:blipFill>
                          <a:blip r:embed="rId8"/>
                          <a:srcRect l="26666" r="22422" b="-256"/>
                          <a:stretch>
                            <a:fillRect/>
                          </a:stretch>
                        </pic:blipFill>
                        <pic:spPr>
                          <a:xfrm rot="16200000">
                            <a:off x="0" y="0"/>
                            <a:ext cx="2259965" cy="333756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32" w:type="pct"/>
            <w:vAlign w:val="center"/>
          </w:tcPr>
          <w:p>
            <w:pPr>
              <w:rPr>
                <w:sz w:val="24"/>
              </w:rPr>
            </w:pPr>
            <w:r>
              <w:rPr>
                <w:rFonts w:hint="eastAsia"/>
                <w:sz w:val="24"/>
              </w:rPr>
              <w:t>案例附件</w:t>
            </w:r>
          </w:p>
        </w:tc>
        <w:tc>
          <w:tcPr>
            <w:tcW w:w="1014" w:type="pct"/>
            <w:vAlign w:val="center"/>
          </w:tcPr>
          <w:p>
            <w:pPr>
              <w:rPr>
                <w:sz w:val="24"/>
              </w:rPr>
            </w:pPr>
            <w:r>
              <w:rPr>
                <w:rFonts w:hint="eastAsia"/>
                <w:sz w:val="24"/>
              </w:rPr>
              <w:t>750千伏平凉变电站凉乾二线并联高抗A相本体油色谱异常分析</w:t>
            </w:r>
          </w:p>
        </w:tc>
        <w:tc>
          <w:tcPr>
            <w:tcW w:w="3053" w:type="pct"/>
            <w:vAlign w:val="center"/>
          </w:tcPr>
          <w:p>
            <w:pPr>
              <w:rPr>
                <w:rFonts w:hint="eastAsia"/>
                <w:color w:val="AFABAB" w:themeColor="background2" w:themeShade="BF"/>
                <w:sz w:val="24"/>
                <w:lang w:val="en-US" w:eastAsia="zh-CN"/>
              </w:rPr>
            </w:pPr>
            <w:r>
              <w:rPr>
                <w:rFonts w:hint="eastAsia"/>
                <w:color w:val="AFABAB" w:themeColor="background2" w:themeShade="BF"/>
                <w:sz w:val="24"/>
                <w:lang w:val="en-US" w:eastAsia="zh-CN"/>
              </w:rPr>
              <w:t>1.</w:t>
            </w:r>
            <w:r>
              <w:rPr>
                <w:rFonts w:hint="eastAsia"/>
                <w:color w:val="AFABAB" w:themeColor="background2" w:themeShade="BF"/>
                <w:sz w:val="24"/>
                <w:lang w:val="en-US" w:eastAsia="zh-CN"/>
              </w:rPr>
              <w:object>
                <v:shape id="_x0000_i1025" o:spt="75" type="#_x0000_t75" style="height:40.25pt;width:117.2pt;" o:ole="t" filled="f" o:preferrelative="t" stroked="f" coordsize="21600,21600">
                  <v:path/>
                  <v:fill on="f" focussize="0,0"/>
                  <v:stroke on="f"/>
                  <v:imagedata r:id="rId10" o:title=""/>
                  <o:lock v:ext="edit" aspectratio="t"/>
                  <w10:wrap type="none"/>
                  <w10:anchorlock/>
                </v:shape>
                <o:OLEObject Type="Embed" ProgID="Package" ShapeID="_x0000_i1025" DrawAspect="Content" ObjectID="_1468075725" r:id="rId9">
                  <o:LockedField>false</o:LockedField>
                </o:OLEObject>
              </w:object>
            </w:r>
          </w:p>
          <w:p>
            <w:r>
              <w:rPr>
                <w:rFonts w:hint="eastAsia"/>
                <w:color w:val="AFABAB" w:themeColor="background2" w:themeShade="BF"/>
                <w:sz w:val="24"/>
                <w:lang w:val="en-US" w:eastAsia="zh-CN"/>
              </w:rPr>
              <w:t>2.</w:t>
            </w:r>
            <w:r>
              <w:rPr>
                <w:rFonts w:hint="eastAsia"/>
                <w:color w:val="AFABAB" w:themeColor="background2" w:themeShade="BF"/>
                <w:sz w:val="24"/>
                <w:lang w:val="en-US" w:eastAsia="zh-CN"/>
              </w:rPr>
              <w:object>
                <v:shape id="_x0000_i1026" o:spt="75" type="#_x0000_t75" style="height:31.8pt;width:213.3pt;" o:ole="t" filled="f" o:preferrelative="t" stroked="f" coordsize="21600,21600">
                  <v:path/>
                  <v:fill on="f" focussize="0,0"/>
                  <v:stroke on="f"/>
                  <v:imagedata r:id="rId12" o:title=""/>
                  <o:lock v:ext="edit" aspectratio="t"/>
                  <w10:wrap type="none"/>
                  <w10:anchorlock/>
                </v:shape>
                <o:OLEObject Type="Embed" ProgID="Package" ShapeID="_x0000_i1026" DrawAspect="Content" ObjectID="_1468075726" r:id="rId11">
                  <o:LockedField>false</o:LockedField>
                </o:OLEObject>
              </w:objec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Yjk2OGZmYjUxMmJiMzkwN2UwYTljZTc3OThjZGMifQ=="/>
  </w:docVars>
  <w:rsids>
    <w:rsidRoot w:val="008A6252"/>
    <w:rsid w:val="000378D4"/>
    <w:rsid w:val="00133E01"/>
    <w:rsid w:val="001F7602"/>
    <w:rsid w:val="00227C4E"/>
    <w:rsid w:val="002A6BCB"/>
    <w:rsid w:val="00334D37"/>
    <w:rsid w:val="003B3F5F"/>
    <w:rsid w:val="00406066"/>
    <w:rsid w:val="00544659"/>
    <w:rsid w:val="005863DF"/>
    <w:rsid w:val="00660289"/>
    <w:rsid w:val="00813D31"/>
    <w:rsid w:val="0084294D"/>
    <w:rsid w:val="008A6252"/>
    <w:rsid w:val="0092628F"/>
    <w:rsid w:val="00AA0567"/>
    <w:rsid w:val="00AC0FC5"/>
    <w:rsid w:val="00CD3ED1"/>
    <w:rsid w:val="00F4636D"/>
    <w:rsid w:val="00FD7E23"/>
    <w:rsid w:val="017F3AD1"/>
    <w:rsid w:val="04F150CC"/>
    <w:rsid w:val="050634BB"/>
    <w:rsid w:val="058A5E9A"/>
    <w:rsid w:val="06562070"/>
    <w:rsid w:val="0992356F"/>
    <w:rsid w:val="0DBF4B4E"/>
    <w:rsid w:val="106B68C8"/>
    <w:rsid w:val="10BE6E2F"/>
    <w:rsid w:val="123553DF"/>
    <w:rsid w:val="169052DA"/>
    <w:rsid w:val="1CE02171"/>
    <w:rsid w:val="1D1F34F7"/>
    <w:rsid w:val="1D24677C"/>
    <w:rsid w:val="1DD43CFE"/>
    <w:rsid w:val="201B3E66"/>
    <w:rsid w:val="214C62A1"/>
    <w:rsid w:val="242843AB"/>
    <w:rsid w:val="2730304F"/>
    <w:rsid w:val="27A067C7"/>
    <w:rsid w:val="295A0DF2"/>
    <w:rsid w:val="2AB96756"/>
    <w:rsid w:val="2F8A07CB"/>
    <w:rsid w:val="34CC3529"/>
    <w:rsid w:val="378818B3"/>
    <w:rsid w:val="39316051"/>
    <w:rsid w:val="3E097ED9"/>
    <w:rsid w:val="3FF73B50"/>
    <w:rsid w:val="44A914F5"/>
    <w:rsid w:val="47B02837"/>
    <w:rsid w:val="4F275AD4"/>
    <w:rsid w:val="504A56C1"/>
    <w:rsid w:val="51F223CA"/>
    <w:rsid w:val="56B91708"/>
    <w:rsid w:val="5A527871"/>
    <w:rsid w:val="5E023994"/>
    <w:rsid w:val="5E1611EE"/>
    <w:rsid w:val="64CA4AE0"/>
    <w:rsid w:val="676807BF"/>
    <w:rsid w:val="6D984A69"/>
    <w:rsid w:val="6EF94940"/>
    <w:rsid w:val="6F310912"/>
    <w:rsid w:val="705B049A"/>
    <w:rsid w:val="70DA4838"/>
    <w:rsid w:val="70DD3DED"/>
    <w:rsid w:val="724C76FA"/>
    <w:rsid w:val="730833A3"/>
    <w:rsid w:val="765835E2"/>
    <w:rsid w:val="77713ED2"/>
    <w:rsid w:val="7A715CD2"/>
    <w:rsid w:val="7BB703C4"/>
    <w:rsid w:val="7CB43D24"/>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580" w:lineRule="exact"/>
      <w:ind w:firstLine="880" w:firstLineChars="200"/>
    </w:pPr>
    <w:rPr>
      <w:rFonts w:ascii="方正仿宋_GBK" w:hAnsi="方正仿宋_GBK" w:eastAsia="方正仿宋_GBK"/>
      <w:sz w:val="32"/>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emf"/><Relationship Id="rId11" Type="http://schemas.openxmlformats.org/officeDocument/2006/relationships/oleObject" Target="embeddings/oleObject2.bin"/><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952</Words>
  <Characters>1011</Characters>
  <Lines>7</Lines>
  <Paragraphs>2</Paragraphs>
  <TotalTime>9</TotalTime>
  <ScaleCrop>false</ScaleCrop>
  <LinksUpToDate>false</LinksUpToDate>
  <CharactersWithSpaces>1011</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2024-08-14T09:30:00Z</dcterms:created>
  <dc:creator>lms29</dc:creator>
  <cp:lastModifiedBy>安亮亮</cp:lastModifiedBy>
  <dcterms:modified xsi:type="dcterms:W3CDTF">2024-08-29T08:42:06Z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71DB1FACE3024BD2AB9326455B34EF39_12</vt:lpwstr>
  </property>
</Properties>
</file>