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方正仿宋_GBK" w:hAnsi="仿宋" w:eastAsia="方正仿宋_GBK"/>
          <w:sz w:val="28"/>
          <w:szCs w:val="28"/>
          <w:lang w:val="en-US" w:eastAsia="zh-CN"/>
        </w:rPr>
      </w:pPr>
      <w:r>
        <w:rPr>
          <w:rFonts w:hint="eastAsia" w:ascii="方正仿宋_GBK" w:hAnsi="仿宋" w:eastAsia="方正仿宋_GBK"/>
          <w:sz w:val="28"/>
          <w:szCs w:val="28"/>
          <w:lang w:val="en-US" w:eastAsia="zh-CN"/>
        </w:rPr>
        <w:t>汝湖渔歌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汝湖渔歌是淡水渔歌，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其</w:t>
      </w:r>
      <w:r>
        <w:rPr>
          <w:rFonts w:hint="eastAsia" w:ascii="仿宋_GB2312" w:hAnsi="仿宋_GB2312" w:eastAsia="仿宋_GB2312" w:cs="仿宋_GB2312"/>
          <w:sz w:val="32"/>
          <w:szCs w:val="32"/>
        </w:rPr>
        <w:t>历史可以上溯至400年前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的</w:t>
      </w:r>
      <w:r>
        <w:rPr>
          <w:rFonts w:hint="eastAsia" w:ascii="仿宋_GB2312" w:hAnsi="仿宋_GB2312" w:eastAsia="仿宋_GB2312" w:cs="仿宋_GB2312"/>
          <w:sz w:val="32"/>
          <w:szCs w:val="32"/>
        </w:rPr>
        <w:t>明代万历年间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</w:t>
      </w:r>
      <w:r>
        <w:rPr>
          <w:rFonts w:hint="eastAsia" w:ascii="仿宋_GB2312" w:hAnsi="仿宋_GB2312" w:eastAsia="仿宋_GB2312" w:cs="仿宋_GB2312"/>
          <w:sz w:val="32"/>
          <w:szCs w:val="32"/>
        </w:rPr>
        <w:t>汝湖渔歌以惠州话演唱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</w:rPr>
        <w:t>文学色彩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浓厚</w:t>
      </w:r>
      <w:r>
        <w:rPr>
          <w:rFonts w:hint="eastAsia" w:ascii="仿宋_GB2312" w:hAnsi="仿宋_GB2312" w:eastAsia="仿宋_GB2312" w:cs="仿宋_GB2312"/>
          <w:sz w:val="32"/>
          <w:szCs w:val="32"/>
        </w:rPr>
        <w:t>，善用修辞，地方特点鲜明，以江河“渔”色为主，兼具“海”“山”风情。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其</w:t>
      </w:r>
      <w:r>
        <w:rPr>
          <w:rFonts w:hint="eastAsia" w:ascii="仿宋_GB2312" w:hAnsi="仿宋_GB2312" w:eastAsia="仿宋_GB2312" w:cs="仿宋_GB2312"/>
          <w:sz w:val="32"/>
          <w:szCs w:val="32"/>
        </w:rPr>
        <w:t>词曲结构别具一格，句式丰富，注重押韵，精用衬字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；</w:t>
      </w:r>
      <w:r>
        <w:rPr>
          <w:rFonts w:hint="eastAsia" w:ascii="仿宋_GB2312" w:hAnsi="仿宋_GB2312" w:eastAsia="仿宋_GB2312" w:cs="仿宋_GB2312"/>
          <w:sz w:val="32"/>
          <w:szCs w:val="32"/>
        </w:rPr>
        <w:t>其形式有独唱、对唱、斗歌。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汝湖渔歌</w:t>
      </w:r>
      <w:r>
        <w:rPr>
          <w:rFonts w:hint="eastAsia" w:ascii="仿宋_GB2312" w:hAnsi="仿宋_GB2312" w:eastAsia="仿宋_GB2312" w:cs="仿宋_GB2312"/>
          <w:sz w:val="32"/>
          <w:szCs w:val="32"/>
        </w:rPr>
        <w:t>是惠州方言语系人口唯一的淡水民歌,对研究惠州方言人口生活生产史、惠州民间文学与民间音乐、惠州民俗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</w:rPr>
        <w:t>有重要的补缺、佐证作用。2015年，汝湖渔歌入选惠州市第六批非物质文化遗产代表作名录。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37D23"/>
    <w:rsid w:val="2499022E"/>
    <w:rsid w:val="29D37D23"/>
    <w:rsid w:val="3A831033"/>
    <w:rsid w:val="5186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pPr>
      <w:spacing w:line="360" w:lineRule="auto"/>
      <w:jc w:val="center"/>
    </w:pPr>
    <w:rPr>
      <w:rFonts w:eastAsia="华文楷体" w:asciiTheme="minorAscii" w:hAnsiTheme="minorAscii"/>
      <w:b/>
      <w:sz w:val="44"/>
      <w:szCs w:val="22"/>
    </w:rPr>
  </w:style>
  <w:style w:type="paragraph" w:customStyle="1" w:styleId="5">
    <w:name w:val="白云山"/>
    <w:basedOn w:val="1"/>
    <w:qFormat/>
    <w:uiPriority w:val="0"/>
    <w:pPr>
      <w:spacing w:line="360" w:lineRule="auto"/>
      <w:jc w:val="center"/>
    </w:pPr>
    <w:rPr>
      <w:rFonts w:eastAsia="华文楷体" w:asciiTheme="minorAscii" w:hAnsiTheme="minorAscii"/>
      <w:b/>
      <w:sz w:val="44"/>
      <w:szCs w:val="22"/>
    </w:rPr>
  </w:style>
  <w:style w:type="paragraph" w:customStyle="1" w:styleId="6">
    <w:name w:val="青春"/>
    <w:basedOn w:val="1"/>
    <w:next w:val="1"/>
    <w:qFormat/>
    <w:uiPriority w:val="0"/>
    <w:pPr>
      <w:jc w:val="center"/>
    </w:pPr>
    <w:rPr>
      <w:rFonts w:eastAsia="隶书" w:asciiTheme="majorAscii" w:hAnsiTheme="majorAsci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2021-07-25T08:44:00Z</dcterms:created>
  <dc:creator>DELL</dc:creator>
  <cp:lastModifiedBy>DELL</cp:lastModifiedBy>
  <dcterms:modified xsi:type="dcterms:W3CDTF">2021-07-25T08:45:25Z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