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BDDB5"/>
    <w:p w14:paraId="1A86E41F"/>
    <w:p w14:paraId="0A22B394">
      <w:pPr>
        <w:spacing w:before="1600"/>
        <w:jc w:val="center"/>
      </w:pPr>
      <w:r>
        <w:rPr>
          <w:rFonts w:ascii="微软雅黑" w:hAnsi="微软雅黑" w:eastAsia="微软雅黑"/>
          <w:b/>
          <w:sz w:val="56"/>
        </w:rPr>
        <w:t>OilRisk-Alert</w:t>
      </w:r>
    </w:p>
    <w:p w14:paraId="12282AB5">
      <w:pPr>
        <w:jc w:val="center"/>
      </w:pPr>
      <w:r>
        <w:rPr>
          <w:rFonts w:ascii="微软雅黑" w:hAnsi="微软雅黑" w:eastAsia="微软雅黑"/>
          <w:b/>
          <w:sz w:val="28"/>
        </w:rPr>
        <w:t>基于多源数据与 Agent 的原油价格风险智能预警系统</w:t>
      </w:r>
    </w:p>
    <w:p w14:paraId="24C9AF3B"/>
    <w:p w14:paraId="24BE1F2A">
      <w:pPr>
        <w:jc w:val="center"/>
      </w:pPr>
      <w:r>
        <w:rPr>
          <w:rFonts w:ascii="微软雅黑" w:hAnsi="微软雅黑" w:eastAsia="微软雅黑"/>
          <w:sz w:val="28"/>
        </w:rPr>
        <w:t>技术文档 v1.0</w:t>
      </w:r>
    </w:p>
    <w:p w14:paraId="23F4570B">
      <w:pPr>
        <w:jc w:val="center"/>
      </w:pPr>
      <w:r>
        <w:rPr>
          <w:rFonts w:ascii="微软雅黑" w:hAnsi="微软雅黑" w:eastAsia="微软雅黑"/>
          <w:sz w:val="24"/>
        </w:rPr>
        <w:t>2026-03-18</w:t>
      </w:r>
    </w:p>
    <w:p w14:paraId="7A9E6879">
      <w:r>
        <w:br w:type="page"/>
      </w:r>
    </w:p>
    <w:p w14:paraId="34D1504F">
      <w:pPr>
        <w:pStyle w:val="3"/>
      </w:pPr>
      <w:r>
        <w:t>1. 项目概述</w:t>
      </w:r>
    </w:p>
    <w:p w14:paraId="7C549A62">
      <w:r>
        <w:rPr>
          <w:rFonts w:ascii="微软雅黑" w:hAnsi="微软雅黑" w:eastAsia="微软雅黑"/>
          <w:b/>
          <w:sz w:val="24"/>
        </w:rPr>
        <w:t>产品名称：OilRisk-Alert — 基于多源数据与 Agent 的原油价格风险智能预警系统</w:t>
      </w:r>
    </w:p>
    <w:p w14:paraId="500B0151">
      <w:pPr>
        <w:pStyle w:val="4"/>
      </w:pPr>
      <w:r>
        <w:t>1.1 核心功能</w:t>
      </w:r>
    </w:p>
    <w:p w14:paraId="5B381FB0">
      <w:pPr>
        <w:pStyle w:val="5"/>
      </w:pPr>
      <w:r>
        <w:t>1.1.1 多模型集成风险预测</w:t>
      </w:r>
    </w:p>
    <w:p w14:paraId="18146111">
      <w:pPr>
        <w:ind w:firstLine="425"/>
      </w:pPr>
      <w:r>
        <w:rPr>
          <w:rFonts w:ascii="微软雅黑" w:hAnsi="微软雅黑" w:eastAsia="微软雅黑"/>
        </w:rPr>
        <w:t>系统采用两层 Stacking 集成学习架构，第 1 层由 LSTM 趋势专家和 XGBoost 冲击专家两个异构基模型分别捕捉趋势信号和极端冲击信号，第 2 层 Ridge 元学习器融合两者输出与市场状态，生成最终风险评分（0-100 分）。通过 SHAP 归因分析量化每个特征的边际贡献，为用户提供可解释的风险驱动因素排名，支持五维因子雷达图（供需/宏观/金融/地缘/情绪）的交互式权重调节。</w:t>
      </w:r>
    </w:p>
    <w:p w14:paraId="57F7A707">
      <w:pPr>
        <w:pStyle w:val="5"/>
      </w:pPr>
      <w:r>
        <w:t>1.1.2 实时多源因子采集</w:t>
      </w:r>
    </w:p>
    <w:p w14:paraId="4D07ECED">
      <w:pPr>
        <w:ind w:firstLine="425"/>
      </w:pPr>
      <w:r>
        <w:rPr>
          <w:rFonts w:ascii="微软雅黑" w:hAnsi="微软雅黑" w:eastAsia="微软雅黑"/>
        </w:rPr>
        <w:t>系统通过 APScheduler 定时任务框架，从 Yahoo Finance、美联储 FRED、EIA 能源署、GDELT 四大数据源实时采集约 60 项因子指标，覆盖 WTI/Brent 原油价格、VIX/OVX 波动率、美债收益率、高收益利差、OPEC 产量、库欣库存、地缘政治评分、新闻情感指数等多个维度。采集频率从日频到月频分层调度，支持数据缺口自动检测与回填，确保推理数据的连续性和时效性。</w:t>
      </w:r>
    </w:p>
    <w:p w14:paraId="5FF3B485">
      <w:pPr>
        <w:pStyle w:val="5"/>
      </w:pPr>
      <w:r>
        <w:t>1.1.3 可视化风险仪表盘</w:t>
      </w:r>
    </w:p>
    <w:p w14:paraId="685C8E6C">
      <w:pPr>
        <w:ind w:firstLine="425"/>
      </w:pPr>
      <w:r>
        <w:rPr>
          <w:rFonts w:ascii="微软雅黑" w:hAnsi="微软雅黑" w:eastAsia="微软雅黑"/>
        </w:rPr>
        <w:t>前端基于 Vue 3 + ECharts 5 构建四个核心页面：风险总览（仪表盘+双轴趋势图+雷达图+因子贡献+三模型信号）、因子分析（SHAP 堆叠面积图+Top10 贡献条形图+权重滑块）、预警记录（分页表格+触发规则链详情）、模型回测（多模型叠加对比+性能指标卡片）。支持中英文国际化与暗色/亮色主题切换。</w:t>
      </w:r>
    </w:p>
    <w:p w14:paraId="5AC8289E">
      <w:pPr>
        <w:pStyle w:val="5"/>
      </w:pPr>
      <w:r>
        <w:t>1.1.4 AI 智能风险报告</w:t>
      </w:r>
    </w:p>
    <w:p w14:paraId="330E6785">
      <w:pPr>
        <w:ind w:firstLine="425"/>
      </w:pPr>
      <w:r>
        <w:rPr>
          <w:rFonts w:ascii="微软雅黑" w:hAnsi="微软雅黑" w:eastAsia="微软雅黑"/>
        </w:rPr>
        <w:t>系统集成大语言模型（默认 Qwen3-max），在预警触发时自动组装 Prompt（含预警数据+因子上下文），通过 SSE 流式推送逐 token 输出专业风险分析报告，支持缓存以避免重复调用。LLM 配置（API Key/URL/模型）可在前端弹窗动态修改，无 API Key 时自动回退 Mock 模板，不影响核心功能。</w:t>
      </w:r>
    </w:p>
    <w:p w14:paraId="3B56E5CE">
      <w:pPr>
        <w:pStyle w:val="4"/>
      </w:pPr>
      <w:r>
        <w:t>1.2 整体架构</w:t>
      </w:r>
    </w:p>
    <w:p w14:paraId="14A183C3">
      <w:pPr>
        <w:ind w:firstLine="425"/>
      </w:pPr>
      <w:r>
        <w:rPr>
          <w:rFonts w:ascii="微软雅黑" w:hAnsi="微软雅黑" w:eastAsia="微软雅黑"/>
        </w:rPr>
        <w:t>系统采用前后端分离的三层微服务架构，各层职责明确：</w:t>
      </w:r>
    </w:p>
    <w:p w14:paraId="46193847">
      <w:pPr>
        <w:pStyle w:val="16"/>
      </w:pPr>
      <w:r>
        <w:rPr>
          <w:rFonts w:ascii="微软雅黑" w:hAnsi="微软雅黑" w:eastAsia="微软雅黑"/>
          <w:sz w:val="22"/>
        </w:rPr>
        <w:t>数据层：MySQL 8.0 存储 6 张业务表（风险指数、预警记录、风险因子、实时因子、采集日志、系统状态），ML 模型文件（.pt/.pkl）由 Python 引擎启动时加载到内存。</w:t>
      </w:r>
    </w:p>
    <w:p w14:paraId="4533C1A1">
      <w:pPr>
        <w:pStyle w:val="16"/>
      </w:pPr>
      <w:r>
        <w:rPr>
          <w:rFonts w:ascii="微软雅黑" w:hAnsi="微软雅黑" w:eastAsia="微软雅黑"/>
          <w:sz w:val="22"/>
        </w:rPr>
        <w:t>算法层：FastAPI 推理引擎（Python 3.13）承载三模型推理、SHAP 归因、历史回测、实时因子采集等核心计算逻辑。APScheduler 管理日频/周频/月频定时采集任务。</w:t>
      </w:r>
    </w:p>
    <w:p w14:paraId="593F21E8">
      <w:pPr>
        <w:pStyle w:val="16"/>
      </w:pPr>
      <w:r>
        <w:rPr>
          <w:rFonts w:ascii="微软雅黑" w:hAnsi="微软雅黑" w:eastAsia="微软雅黑"/>
          <w:sz w:val="22"/>
        </w:rPr>
        <w:t>应用层：Spring Boot 后端（Java 17）提供 7 组 REST API，负责数据聚合、LLM 集成、SSE 流式推送；Vue 3 前端提供 4 个页面的交互式可视化。</w:t>
      </w:r>
    </w:p>
    <w:p w14:paraId="0CC1EB78">
      <w:pPr>
        <w:shd w:val="clear" w:color="auto" w:fill="F5F5F5"/>
        <w:spacing w:before="80" w:after="80"/>
      </w:pPr>
      <w:r>
        <w:rPr>
          <w:rFonts w:ascii="Consolas" w:hAnsi="Consolas" w:eastAsia="微软雅黑"/>
          <w:sz w:val="18"/>
        </w:rPr>
        <w:t>┌──────────────────┐     /api (Proxy)     ┌──────────────────────┐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Vue 3 前端      │◄───────────────────►│   Spring Boot 后端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(port 5173)    │                      │   (port 8080)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· 风险仪表盘    │                      │  · REST API (7组)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· 因子分析      │                      │  · SSE 流式 AI 报告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· 预警记录      │                      │  · LLM 集成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· 模型回测      │                      │  · 数据持久化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└──────────────────┘                      └──────────┬───────────┘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               │ HTTP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               ▼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    ┌──────────────────────┐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    │  FastAPI 推理引擎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    │  (port 5000)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    │  · 三模型推理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    │  · SHAP 因子归因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    │  · 实时因子采集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    └──────────┬───────────┘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┌──────────────┼──────────────┐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▼              ▼              ▼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┌────────────┐ ┌───────────┐ ┌────────────┐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│ MySQL 8.0  │ │ ML 模型   │ │ 外部数据源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│ (6 张表)   │ │ (pkl/pt)  │ │ yfinance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│            │ │           │ │ FRED / EIA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└────────────┘ └───────────┘ └────────────┘</w:t>
      </w:r>
    </w:p>
    <w:p w14:paraId="0090DFE9">
      <w:pPr>
        <w:pStyle w:val="4"/>
      </w:pPr>
      <w:r>
        <w:t>1.3 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2835"/>
      </w:tblGrid>
      <w:tr w14:paraId="75B2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8E8"/>
          </w:tcPr>
          <w:p w14:paraId="2045BDCE"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w="4535" w:type="dxa"/>
            <w:shd w:val="clear" w:color="auto" w:fill="E8E8E8"/>
          </w:tcPr>
          <w:p w14:paraId="359CF9FF"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  <w:tc>
          <w:tcPr>
            <w:tcW w:w="2835" w:type="dxa"/>
            <w:shd w:val="clear" w:color="auto" w:fill="E8E8E8"/>
          </w:tcPr>
          <w:p w14:paraId="2193E6C3"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</w:tr>
      <w:tr w14:paraId="20E85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CB3868"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w="4535" w:type="dxa"/>
          </w:tcPr>
          <w:p w14:paraId="657A920D">
            <w:r>
              <w:rPr>
                <w:rFonts w:ascii="微软雅黑" w:hAnsi="微软雅黑" w:eastAsia="微软雅黑"/>
                <w:sz w:val="20"/>
              </w:rPr>
              <w:t>Vue 3 + Vite + TypeScript + ECharts 5.6 + Pinia + vue-i18n</w:t>
            </w:r>
          </w:p>
        </w:tc>
        <w:tc>
          <w:tcPr>
            <w:tcW w:w="2835" w:type="dxa"/>
          </w:tcPr>
          <w:p w14:paraId="07B0AEBA">
            <w:r>
              <w:rPr>
                <w:rFonts w:ascii="微软雅黑" w:hAnsi="微软雅黑" w:eastAsia="微软雅黑"/>
                <w:sz w:val="20"/>
              </w:rPr>
              <w:t>Vue 3.5, Vite 6.x</w:t>
            </w:r>
          </w:p>
        </w:tc>
      </w:tr>
      <w:tr w14:paraId="5DBDF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03DE75"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w="4535" w:type="dxa"/>
          </w:tcPr>
          <w:p w14:paraId="7E957FB0">
            <w:r>
              <w:rPr>
                <w:rFonts w:ascii="微软雅黑" w:hAnsi="微软雅黑" w:eastAsia="微软雅黑"/>
                <w:sz w:val="20"/>
              </w:rPr>
              <w:t>Spring Boot + MyBatis + MySQL</w:t>
            </w:r>
          </w:p>
        </w:tc>
        <w:tc>
          <w:tcPr>
            <w:tcW w:w="2835" w:type="dxa"/>
          </w:tcPr>
          <w:p w14:paraId="211B813A">
            <w:r>
              <w:rPr>
                <w:rFonts w:ascii="微软雅黑" w:hAnsi="微软雅黑" w:eastAsia="微软雅黑"/>
                <w:sz w:val="20"/>
              </w:rPr>
              <w:t>Spring Boot 4.0.3, Java 17</w:t>
            </w:r>
          </w:p>
        </w:tc>
      </w:tr>
      <w:tr w14:paraId="0B78F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8D9EAAA">
            <w:r>
              <w:rPr>
                <w:rFonts w:ascii="微软雅黑" w:hAnsi="微软雅黑" w:eastAsia="微软雅黑"/>
                <w:sz w:val="20"/>
              </w:rPr>
              <w:t>推理引擎</w:t>
            </w:r>
          </w:p>
        </w:tc>
        <w:tc>
          <w:tcPr>
            <w:tcW w:w="4535" w:type="dxa"/>
          </w:tcPr>
          <w:p w14:paraId="65B84530">
            <w:r>
              <w:rPr>
                <w:rFonts w:ascii="微软雅黑" w:hAnsi="微软雅黑" w:eastAsia="微软雅黑"/>
                <w:sz w:val="20"/>
              </w:rPr>
              <w:t>FastAPI + PyTorch + XGBoost + SHAP</w:t>
            </w:r>
          </w:p>
        </w:tc>
        <w:tc>
          <w:tcPr>
            <w:tcW w:w="2835" w:type="dxa"/>
          </w:tcPr>
          <w:p w14:paraId="2819569F">
            <w:r>
              <w:rPr>
                <w:rFonts w:ascii="微软雅黑" w:hAnsi="微软雅黑" w:eastAsia="微软雅黑"/>
                <w:sz w:val="20"/>
              </w:rPr>
              <w:t>Python 3.13, FastAPI 0.115+</w:t>
            </w:r>
          </w:p>
        </w:tc>
      </w:tr>
      <w:tr w14:paraId="77F57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F152B8E">
            <w:r>
              <w:rPr>
                <w:rFonts w:ascii="微软雅黑" w:hAnsi="微软雅黑" w:eastAsia="微软雅黑"/>
                <w:sz w:val="20"/>
              </w:rPr>
              <w:t>定时调度</w:t>
            </w:r>
          </w:p>
        </w:tc>
        <w:tc>
          <w:tcPr>
            <w:tcW w:w="4535" w:type="dxa"/>
          </w:tcPr>
          <w:p w14:paraId="7AC39E3B">
            <w:r>
              <w:rPr>
                <w:rFonts w:ascii="微软雅黑" w:hAnsi="微软雅黑" w:eastAsia="微软雅黑"/>
                <w:sz w:val="20"/>
              </w:rPr>
              <w:t>APScheduler</w:t>
            </w:r>
          </w:p>
        </w:tc>
        <w:tc>
          <w:tcPr>
            <w:tcW w:w="2835" w:type="dxa"/>
          </w:tcPr>
          <w:p w14:paraId="6D752587">
            <w:r>
              <w:rPr>
                <w:rFonts w:ascii="微软雅黑" w:hAnsi="微软雅黑" w:eastAsia="微软雅黑"/>
                <w:sz w:val="20"/>
              </w:rPr>
              <w:t>3.10+</w:t>
            </w:r>
          </w:p>
        </w:tc>
      </w:tr>
      <w:tr w14:paraId="7404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833DA07"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w="4535" w:type="dxa"/>
          </w:tcPr>
          <w:p w14:paraId="4D77033A">
            <w:r>
              <w:rPr>
                <w:rFonts w:ascii="微软雅黑" w:hAnsi="微软雅黑" w:eastAsia="微软雅黑"/>
                <w:sz w:val="20"/>
              </w:rPr>
              <w:t>MySQL</w:t>
            </w:r>
          </w:p>
        </w:tc>
        <w:tc>
          <w:tcPr>
            <w:tcW w:w="2835" w:type="dxa"/>
          </w:tcPr>
          <w:p w14:paraId="1021835B">
            <w:r>
              <w:rPr>
                <w:rFonts w:ascii="微软雅黑" w:hAnsi="微软雅黑" w:eastAsia="微软雅黑"/>
                <w:sz w:val="20"/>
              </w:rPr>
              <w:t>8.0</w:t>
            </w:r>
          </w:p>
        </w:tc>
      </w:tr>
      <w:tr w14:paraId="58AA3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84E7627">
            <w:r>
              <w:rPr>
                <w:rFonts w:ascii="微软雅黑" w:hAnsi="微软雅黑" w:eastAsia="微软雅黑"/>
                <w:sz w:val="20"/>
              </w:rPr>
              <w:t>LLM</w:t>
            </w:r>
          </w:p>
        </w:tc>
        <w:tc>
          <w:tcPr>
            <w:tcW w:w="4535" w:type="dxa"/>
          </w:tcPr>
          <w:p w14:paraId="546765D0">
            <w:r>
              <w:rPr>
                <w:rFonts w:ascii="微软雅黑" w:hAnsi="微软雅黑" w:eastAsia="微软雅黑"/>
                <w:sz w:val="20"/>
              </w:rPr>
              <w:t>iFlow API（Qwen3-max）</w:t>
            </w:r>
          </w:p>
        </w:tc>
        <w:tc>
          <w:tcPr>
            <w:tcW w:w="2835" w:type="dxa"/>
          </w:tcPr>
          <w:p w14:paraId="7D6788EB">
            <w:r>
              <w:rPr>
                <w:rFonts w:ascii="微软雅黑" w:hAnsi="微软雅黑" w:eastAsia="微软雅黑"/>
                <w:sz w:val="20"/>
              </w:rPr>
              <w:t>可配置</w:t>
            </w:r>
          </w:p>
        </w:tc>
      </w:tr>
    </w:tbl>
    <w:p w14:paraId="4B8C3D42"/>
    <w:p w14:paraId="612BAFF0">
      <w:r>
        <w:br w:type="page"/>
      </w:r>
    </w:p>
    <w:p w14:paraId="4B44EDB4">
      <w:pPr>
        <w:pStyle w:val="3"/>
      </w:pPr>
      <w:r>
        <w:t>2. 技术方案</w:t>
      </w:r>
    </w:p>
    <w:p w14:paraId="25D9A914">
      <w:pPr>
        <w:pStyle w:val="4"/>
      </w:pPr>
      <w:r>
        <w:t>2.1 数据流</w:t>
      </w:r>
    </w:p>
    <w:p w14:paraId="6721288A">
      <w:pPr>
        <w:ind w:firstLine="425"/>
      </w:pPr>
      <w:r>
        <w:rPr>
          <w:rFonts w:ascii="微软雅黑" w:hAnsi="微软雅黑" w:eastAsia="微软雅黑"/>
        </w:rPr>
        <w:t>系统数据流从外部采集到最终前端渲染，经历以下管线：</w:t>
      </w:r>
    </w:p>
    <w:p w14:paraId="5FE8DCFE">
      <w:pPr>
        <w:shd w:val="clear" w:color="auto" w:fill="F5F5F5"/>
        <w:spacing w:before="80" w:after="80"/>
      </w:pPr>
      <w:r>
        <w:rPr>
          <w:rFonts w:ascii="Consolas" w:hAnsi="Consolas" w:eastAsia="微软雅黑"/>
          <w:sz w:val="18"/>
        </w:rPr>
        <w:t>外部 API ──采集──▶ factor_realtime 表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▼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CSV 历史数据 + DB 最新数据 ──合并──▶ OilRiskEngine（内存 DataFrame）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┌──────────────┼──────────────┐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▼              ▼              ▼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LSTM         XGBoost        Stacking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│              │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└──────────────┼──────────────┘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       ▼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推理结果 JSON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┌──────────────┼──────────────┐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▼              ▼              ▼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risk_index 表   risk_factor 表   alert 表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Java 后端 REST API → Vue 前端渲染</w:t>
      </w:r>
    </w:p>
    <w:p w14:paraId="786A74CE">
      <w:pPr>
        <w:pStyle w:val="4"/>
      </w:pPr>
      <w:r>
        <w:t>2.2 系统设计与实现</w:t>
      </w:r>
    </w:p>
    <w:p w14:paraId="5FFB6AE9">
      <w:pPr>
        <w:pStyle w:val="5"/>
      </w:pPr>
      <w:r>
        <w:t>2.2.1 ML 模型体系</w:t>
      </w:r>
    </w:p>
    <w:p w14:paraId="19E41D42">
      <w:pPr>
        <w:spacing w:before="120"/>
      </w:pPr>
      <w:r>
        <w:rPr>
          <w:rFonts w:ascii="微软雅黑" w:hAnsi="微软雅黑" w:eastAsia="微软雅黑"/>
          <w:b/>
          <w:sz w:val="22"/>
        </w:rPr>
        <w:t>Stacking 集成架构</w:t>
      </w:r>
    </w:p>
    <w:p w14:paraId="77C09B9F">
      <w:pPr>
        <w:shd w:val="clear" w:color="auto" w:fill="F5F5F5"/>
        <w:spacing w:before="80" w:after="80"/>
      </w:pPr>
      <w:r>
        <w:rPr>
          <w:rFonts w:ascii="Consolas" w:hAnsi="Consolas" w:eastAsia="微软雅黑"/>
          <w:sz w:val="18"/>
        </w:rPr>
        <w:t>CSV 原始数据 (400+ 列)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├──▶ 第1层 · LSTM 趋势专家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│     特征: 27维 × 30日窗口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│     输出: pred_price, up_prob → 隐含收益率 lstm_impl_return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├──▶ 第1层 · XGBoost 冲击专家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│     特征: ~50 个冲击相关列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│     输出: risk = max(0, -next_return) → xgb_risk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└──▶ 第2层 · Ridge 元学习器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输入: 7 市场状态 + lstm_impl_return + xgb_risk = 9 维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输出: pred_return_pct (%) → 风险评分 0-100</w:t>
      </w:r>
    </w:p>
    <w:p w14:paraId="7725E678">
      <w:pPr>
        <w:spacing w:before="160"/>
      </w:pPr>
      <w:r>
        <w:rPr>
          <w:rFonts w:ascii="微软雅黑" w:hAnsi="微软雅黑" w:eastAsia="微软雅黑"/>
          <w:b/>
          <w:sz w:val="22"/>
        </w:rPr>
        <w:t>LSTM 趋势专家</w:t>
      </w:r>
    </w:p>
    <w:p w14:paraId="28ABB780">
      <w:pPr>
        <w:ind w:firstLine="425"/>
      </w:pPr>
      <w:r>
        <w:rPr>
          <w:rFonts w:ascii="微软雅黑" w:hAnsi="微软雅黑" w:eastAsia="微软雅黑"/>
        </w:rPr>
        <w:t>任务为预测 5 个交易日后 WTI 收盘价与涨跌方向。使用 27 维特征（价格、日频金融、月频变化量、均线技术、动量波动、方向性指标），30 天滑动窗口输入。网络结构为双层 LSTM（128→64）+ BatchNorm + Dropout(0.2)，双头输出：价格回归头 + 方向分类头。联合损失 Huber + 0.5×BCE，Adam 优化器 lr=5e-4，ReduceLROnPlateau 调度，patience=30 早停。数据按时间序列 70/15/15 严格切分，RobustScaler 缩放。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102"/>
        <w:gridCol w:w="1134"/>
      </w:tblGrid>
      <w:tr w14:paraId="3B650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8E8"/>
          </w:tcPr>
          <w:p w14:paraId="7C78CE83"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w="5102" w:type="dxa"/>
            <w:shd w:val="clear" w:color="auto" w:fill="E8E8E8"/>
          </w:tcPr>
          <w:p w14:paraId="5B34537C">
            <w:r>
              <w:rPr>
                <w:rFonts w:ascii="微软雅黑" w:hAnsi="微软雅黑" w:eastAsia="微软雅黑"/>
                <w:b/>
                <w:sz w:val="20"/>
              </w:rPr>
              <w:t>特征</w:t>
            </w:r>
          </w:p>
        </w:tc>
        <w:tc>
          <w:tcPr>
            <w:tcW w:w="1134" w:type="dxa"/>
            <w:shd w:val="clear" w:color="auto" w:fill="E8E8E8"/>
          </w:tcPr>
          <w:p w14:paraId="2D7DE78A">
            <w:r>
              <w:rPr>
                <w:rFonts w:ascii="微软雅黑" w:hAnsi="微软雅黑" w:eastAsia="微软雅黑"/>
                <w:b/>
                <w:sz w:val="20"/>
              </w:rPr>
              <w:t>数量</w:t>
            </w:r>
          </w:p>
        </w:tc>
      </w:tr>
      <w:tr w14:paraId="3DFF5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713BA1D">
            <w:r>
              <w:rPr>
                <w:rFonts w:ascii="微软雅黑" w:hAnsi="微软雅黑" w:eastAsia="微软雅黑"/>
                <w:sz w:val="20"/>
              </w:rPr>
              <w:t>价格</w:t>
            </w:r>
          </w:p>
        </w:tc>
        <w:tc>
          <w:tcPr>
            <w:tcW w:w="5102" w:type="dxa"/>
          </w:tcPr>
          <w:p w14:paraId="6F3820C6">
            <w:r>
              <w:rPr>
                <w:rFonts w:ascii="微软雅黑" w:hAnsi="微软雅黑" w:eastAsia="微软雅黑"/>
                <w:sz w:val="20"/>
              </w:rPr>
              <w:t>WTI 收盘价</w:t>
            </w:r>
          </w:p>
        </w:tc>
        <w:tc>
          <w:tcPr>
            <w:tcW w:w="1134" w:type="dxa"/>
          </w:tcPr>
          <w:p w14:paraId="49F6CD1B"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 w14:paraId="6D319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DE50ED1">
            <w:r>
              <w:rPr>
                <w:rFonts w:ascii="微软雅黑" w:hAnsi="微软雅黑" w:eastAsia="微软雅黑"/>
                <w:sz w:val="20"/>
              </w:rPr>
              <w:t>日频金融</w:t>
            </w:r>
          </w:p>
        </w:tc>
        <w:tc>
          <w:tcPr>
            <w:tcW w:w="5102" w:type="dxa"/>
          </w:tcPr>
          <w:p w14:paraId="48A1B52C">
            <w:r>
              <w:rPr>
                <w:rFonts w:ascii="微软雅黑" w:hAnsi="微软雅黑" w:eastAsia="微软雅黑"/>
                <w:sz w:val="20"/>
              </w:rPr>
              <w:t>CRB、SP500、TIPS、HY Spread、VIX、OVX、库欣库存</w:t>
            </w:r>
          </w:p>
        </w:tc>
        <w:tc>
          <w:tcPr>
            <w:tcW w:w="1134" w:type="dxa"/>
          </w:tcPr>
          <w:p w14:paraId="088F1BAA"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</w:tr>
      <w:tr w14:paraId="3FE99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B7002AD">
            <w:r>
              <w:rPr>
                <w:rFonts w:ascii="微软雅黑" w:hAnsi="微软雅黑" w:eastAsia="微软雅黑"/>
                <w:sz w:val="20"/>
              </w:rPr>
              <w:t>月频变化量</w:t>
            </w:r>
          </w:p>
        </w:tc>
        <w:tc>
          <w:tcPr>
            <w:tcW w:w="5102" w:type="dxa"/>
          </w:tcPr>
          <w:p w14:paraId="5CEB8D36">
            <w:r>
              <w:rPr>
                <w:rFonts w:ascii="微软雅黑" w:hAnsi="微软雅黑" w:eastAsia="微软雅黑"/>
                <w:sz w:val="20"/>
              </w:rPr>
              <w:t>OPEC/沙特/俄罗斯产量、中国/欧盟 PMI、美国消费者信心（月度差分）</w:t>
            </w:r>
          </w:p>
        </w:tc>
        <w:tc>
          <w:tcPr>
            <w:tcW w:w="1134" w:type="dxa"/>
          </w:tcPr>
          <w:p w14:paraId="78E60BCA"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</w:tr>
      <w:tr w14:paraId="6A7DC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C7463DB">
            <w:r>
              <w:rPr>
                <w:rFonts w:ascii="微软雅黑" w:hAnsi="微软雅黑" w:eastAsia="微软雅黑"/>
                <w:sz w:val="20"/>
              </w:rPr>
              <w:t>均线技术</w:t>
            </w:r>
          </w:p>
        </w:tc>
        <w:tc>
          <w:tcPr>
            <w:tcW w:w="5102" w:type="dxa"/>
          </w:tcPr>
          <w:p w14:paraId="7C319895">
            <w:r>
              <w:rPr>
                <w:rFonts w:ascii="微软雅黑" w:hAnsi="微软雅黑" w:eastAsia="微软雅黑"/>
                <w:sz w:val="20"/>
              </w:rPr>
              <w:t>MA5/20/60 及偏离率</w:t>
            </w:r>
          </w:p>
        </w:tc>
        <w:tc>
          <w:tcPr>
            <w:tcW w:w="1134" w:type="dxa"/>
          </w:tcPr>
          <w:p w14:paraId="4F91F177"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</w:tr>
      <w:tr w14:paraId="2D7D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585E299">
            <w:r>
              <w:rPr>
                <w:rFonts w:ascii="微软雅黑" w:hAnsi="微软雅黑" w:eastAsia="微软雅黑"/>
                <w:sz w:val="20"/>
              </w:rPr>
              <w:t>动量波动</w:t>
            </w:r>
          </w:p>
        </w:tc>
        <w:tc>
          <w:tcPr>
            <w:tcW w:w="5102" w:type="dxa"/>
          </w:tcPr>
          <w:p w14:paraId="01B1FA47">
            <w:r>
              <w:rPr>
                <w:rFonts w:ascii="微软雅黑" w:hAnsi="微软雅黑" w:eastAsia="微软雅黑"/>
                <w:sz w:val="20"/>
              </w:rPr>
              <w:t>5/20 日对数动量、20 日历史波动率、库欣库存 5 日变化</w:t>
            </w:r>
          </w:p>
        </w:tc>
        <w:tc>
          <w:tcPr>
            <w:tcW w:w="1134" w:type="dxa"/>
          </w:tcPr>
          <w:p w14:paraId="0C7A9C26"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</w:tr>
      <w:tr w14:paraId="652D0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99D9538">
            <w:r>
              <w:rPr>
                <w:rFonts w:ascii="微软雅黑" w:hAnsi="微软雅黑" w:eastAsia="微软雅黑"/>
                <w:sz w:val="20"/>
              </w:rPr>
              <w:t>方向性</w:t>
            </w:r>
          </w:p>
        </w:tc>
        <w:tc>
          <w:tcPr>
            <w:tcW w:w="5102" w:type="dxa"/>
          </w:tcPr>
          <w:p w14:paraId="666874CB">
            <w:r>
              <w:rPr>
                <w:rFonts w:ascii="微软雅黑" w:hAnsi="微软雅黑" w:eastAsia="微软雅黑"/>
                <w:sz w:val="20"/>
              </w:rPr>
              <w:t>动量加速度、VIX/OVX 3 日变化率</w:t>
            </w:r>
          </w:p>
        </w:tc>
        <w:tc>
          <w:tcPr>
            <w:tcW w:w="1134" w:type="dxa"/>
          </w:tcPr>
          <w:p w14:paraId="7D4160A3"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</w:tr>
    </w:tbl>
    <w:p w14:paraId="55022BDA"/>
    <w:p w14:paraId="73A1E4CB">
      <w:pPr>
        <w:spacing w:before="160"/>
      </w:pPr>
      <w:r>
        <w:rPr>
          <w:rFonts w:ascii="微软雅黑" w:hAnsi="微软雅黑" w:eastAsia="微软雅黑"/>
          <w:b/>
          <w:sz w:val="22"/>
        </w:rPr>
        <w:t>XGBoost 冲击专家</w:t>
      </w:r>
    </w:p>
    <w:p w14:paraId="1CDA2B3D">
      <w:pPr>
        <w:ind w:firstLine="425"/>
      </w:pPr>
      <w:r>
        <w:rPr>
          <w:rFonts w:ascii="微软雅黑" w:hAnsi="微软雅黑" w:eastAsia="微软雅黑"/>
        </w:rPr>
        <w:t>任务为预测下一个交易日的下跌风险强度 risk = max(0, -next_return)。从全部数值列中按关键词（ovx, vix, hy, spread, credit, risk, sentiment 等）自动筛选约 50 列冲击特征。超参数：n_estimators=600, max_depth=4, lr=0.03, subsample=0.8。评估采用 TimeSeriesSplit 5 折 + Spearman 相关系数 + Top10% 冲击命中率/Lift。</w:t>
      </w:r>
    </w:p>
    <w:p w14:paraId="4F8939DC">
      <w:pPr>
        <w:spacing w:before="160"/>
      </w:pPr>
      <w:r>
        <w:rPr>
          <w:rFonts w:ascii="微软雅黑" w:hAnsi="微软雅黑" w:eastAsia="微软雅黑"/>
          <w:b/>
          <w:sz w:val="22"/>
        </w:rPr>
        <w:t>Ridge 元学习器</w:t>
      </w:r>
    </w:p>
    <w:p w14:paraId="16B415B6">
      <w:pPr>
        <w:ind w:firstLine="425"/>
      </w:pPr>
      <w:r>
        <w:rPr>
          <w:rFonts w:ascii="微软雅黑" w:hAnsi="微软雅黑" w:eastAsia="微软雅黑"/>
        </w:rPr>
        <w:t>输入 9 维特征：7 个市场状态（VIX、OVX、美债10Y、美元指数、新闻情感、地缘评分、标普500）+ LSTM 隐含收益率 + XGBoost 风险得分。StandardScaler 标准化后 Alpha 网格搜索 [1e-4, ..., 100]，验证集 MAE 选优。最终风险评分映射：risk_score = clamp(50 - pred_return_pct × 4, 3, 97)。风险等级：Low [0,40) / Medium [40,70) / High [70,100]。</w:t>
      </w:r>
    </w:p>
    <w:p w14:paraId="7E556E74">
      <w:pPr>
        <w:spacing w:before="160"/>
      </w:pPr>
      <w:r>
        <w:rPr>
          <w:rFonts w:ascii="微软雅黑" w:hAnsi="微软雅黑" w:eastAsia="微软雅黑"/>
          <w:b/>
          <w:sz w:val="22"/>
        </w:rPr>
        <w:t>模型文件清单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3402"/>
      </w:tblGrid>
      <w:tr w14:paraId="4EBB1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8E8E8"/>
          </w:tcPr>
          <w:p w14:paraId="739D2490"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w="1701" w:type="dxa"/>
            <w:shd w:val="clear" w:color="auto" w:fill="E8E8E8"/>
          </w:tcPr>
          <w:p w14:paraId="577DA489">
            <w:r>
              <w:rPr>
                <w:rFonts w:ascii="微软雅黑" w:hAnsi="微软雅黑" w:eastAsia="微软雅黑"/>
                <w:b/>
                <w:sz w:val="20"/>
              </w:rPr>
              <w:t>大小</w:t>
            </w:r>
          </w:p>
        </w:tc>
        <w:tc>
          <w:tcPr>
            <w:tcW w:w="3402" w:type="dxa"/>
            <w:shd w:val="clear" w:color="auto" w:fill="E8E8E8"/>
          </w:tcPr>
          <w:p w14:paraId="38EF91D6"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1442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DD1F1FF">
            <w:r>
              <w:rPr>
                <w:rFonts w:ascii="微软雅黑" w:hAnsi="微软雅黑" w:eastAsia="微软雅黑"/>
                <w:sz w:val="20"/>
              </w:rPr>
              <w:t>best_lstm.pt</w:t>
            </w:r>
          </w:p>
        </w:tc>
        <w:tc>
          <w:tcPr>
            <w:tcW w:w="1701" w:type="dxa"/>
          </w:tcPr>
          <w:p w14:paraId="3CB3632D">
            <w:r>
              <w:rPr>
                <w:rFonts w:ascii="微软雅黑" w:hAnsi="微软雅黑" w:eastAsia="微软雅黑"/>
                <w:sz w:val="20"/>
              </w:rPr>
              <w:t>540 KB</w:t>
            </w:r>
          </w:p>
        </w:tc>
        <w:tc>
          <w:tcPr>
            <w:tcW w:w="3402" w:type="dxa"/>
          </w:tcPr>
          <w:p w14:paraId="770264B4">
            <w:r>
              <w:rPr>
                <w:rFonts w:ascii="微软雅黑" w:hAnsi="微软雅黑" w:eastAsia="微软雅黑"/>
                <w:sz w:val="20"/>
              </w:rPr>
              <w:t>LSTM PyTorch 权重</w:t>
            </w:r>
          </w:p>
        </w:tc>
      </w:tr>
      <w:tr w14:paraId="1478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83DC1B7">
            <w:r>
              <w:rPr>
                <w:rFonts w:ascii="微软雅黑" w:hAnsi="微软雅黑" w:eastAsia="微软雅黑"/>
                <w:sz w:val="20"/>
              </w:rPr>
              <w:t>xgb_wti_shock_model.pkl</w:t>
            </w:r>
          </w:p>
        </w:tc>
        <w:tc>
          <w:tcPr>
            <w:tcW w:w="1701" w:type="dxa"/>
          </w:tcPr>
          <w:p w14:paraId="28A1EE82">
            <w:r>
              <w:rPr>
                <w:rFonts w:ascii="微软雅黑" w:hAnsi="微软雅黑" w:eastAsia="微软雅黑"/>
                <w:sz w:val="20"/>
              </w:rPr>
              <w:t>829 KB</w:t>
            </w:r>
          </w:p>
        </w:tc>
        <w:tc>
          <w:tcPr>
            <w:tcW w:w="3402" w:type="dxa"/>
          </w:tcPr>
          <w:p w14:paraId="40B6C1A0">
            <w:r>
              <w:rPr>
                <w:rFonts w:ascii="微软雅黑" w:hAnsi="微软雅黑" w:eastAsia="微软雅黑"/>
                <w:sz w:val="20"/>
              </w:rPr>
              <w:t>XGBoost 模型</w:t>
            </w:r>
          </w:p>
        </w:tc>
      </w:tr>
      <w:tr w14:paraId="7C49E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5883E92">
            <w:r>
              <w:rPr>
                <w:rFonts w:ascii="微软雅黑" w:hAnsi="微软雅黑" w:eastAsia="微软雅黑"/>
                <w:sz w:val="20"/>
              </w:rPr>
              <w:t>meta_ridge_model.pkl</w:t>
            </w:r>
          </w:p>
        </w:tc>
        <w:tc>
          <w:tcPr>
            <w:tcW w:w="1701" w:type="dxa"/>
          </w:tcPr>
          <w:p w14:paraId="0AAC80A6">
            <w:r>
              <w:rPr>
                <w:rFonts w:ascii="微软雅黑" w:hAnsi="微软雅黑" w:eastAsia="微软雅黑"/>
                <w:sz w:val="20"/>
              </w:rPr>
              <w:t>1.6 KB</w:t>
            </w:r>
          </w:p>
        </w:tc>
        <w:tc>
          <w:tcPr>
            <w:tcW w:w="3402" w:type="dxa"/>
          </w:tcPr>
          <w:p w14:paraId="6A5B4F79">
            <w:r>
              <w:rPr>
                <w:rFonts w:ascii="微软雅黑" w:hAnsi="微软雅黑" w:eastAsia="微软雅黑"/>
                <w:sz w:val="20"/>
              </w:rPr>
              <w:t>Ridge 元学习器</w:t>
            </w:r>
          </w:p>
        </w:tc>
      </w:tr>
      <w:tr w14:paraId="1C125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77F986A">
            <w:r>
              <w:rPr>
                <w:rFonts w:ascii="微软雅黑" w:hAnsi="微软雅黑" w:eastAsia="微软雅黑"/>
                <w:sz w:val="20"/>
              </w:rPr>
              <w:t>feat_scaler.pkl</w:t>
            </w:r>
          </w:p>
        </w:tc>
        <w:tc>
          <w:tcPr>
            <w:tcW w:w="1701" w:type="dxa"/>
          </w:tcPr>
          <w:p w14:paraId="692F6615">
            <w:r>
              <w:rPr>
                <w:rFonts w:ascii="微软雅黑" w:hAnsi="微软雅黑" w:eastAsia="微软雅黑"/>
                <w:sz w:val="20"/>
              </w:rPr>
              <w:t>863 B</w:t>
            </w:r>
          </w:p>
        </w:tc>
        <w:tc>
          <w:tcPr>
            <w:tcW w:w="3402" w:type="dxa"/>
          </w:tcPr>
          <w:p w14:paraId="055789C1">
            <w:r>
              <w:rPr>
                <w:rFonts w:ascii="微软雅黑" w:hAnsi="微软雅黑" w:eastAsia="微软雅黑"/>
                <w:sz w:val="20"/>
              </w:rPr>
              <w:t>RobustScaler 特征缩放器</w:t>
            </w:r>
          </w:p>
        </w:tc>
      </w:tr>
      <w:tr w14:paraId="2BE32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4EAEE75">
            <w:r>
              <w:rPr>
                <w:rFonts w:ascii="微软雅黑" w:hAnsi="微软雅黑" w:eastAsia="微软雅黑"/>
                <w:sz w:val="20"/>
              </w:rPr>
              <w:t>price_scaler.pkl</w:t>
            </w:r>
          </w:p>
        </w:tc>
        <w:tc>
          <w:tcPr>
            <w:tcW w:w="1701" w:type="dxa"/>
          </w:tcPr>
          <w:p w14:paraId="00B3E1FA">
            <w:r>
              <w:rPr>
                <w:rFonts w:ascii="微软雅黑" w:hAnsi="微软雅黑" w:eastAsia="微软雅黑"/>
                <w:sz w:val="20"/>
              </w:rPr>
              <w:t>543 B</w:t>
            </w:r>
          </w:p>
        </w:tc>
        <w:tc>
          <w:tcPr>
            <w:tcW w:w="3402" w:type="dxa"/>
          </w:tcPr>
          <w:p w14:paraId="72100C69">
            <w:r>
              <w:rPr>
                <w:rFonts w:ascii="微软雅黑" w:hAnsi="微软雅黑" w:eastAsia="微软雅黑"/>
                <w:sz w:val="20"/>
              </w:rPr>
              <w:t>RobustScaler 价格缩放器</w:t>
            </w:r>
          </w:p>
        </w:tc>
      </w:tr>
      <w:tr w14:paraId="6FEE4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1C16FFB">
            <w:r>
              <w:rPr>
                <w:rFonts w:ascii="微软雅黑" w:hAnsi="微软雅黑" w:eastAsia="微软雅黑"/>
                <w:sz w:val="20"/>
              </w:rPr>
              <w:t>feature_cols.pkl</w:t>
            </w:r>
          </w:p>
        </w:tc>
        <w:tc>
          <w:tcPr>
            <w:tcW w:w="1701" w:type="dxa"/>
          </w:tcPr>
          <w:p w14:paraId="34472F29">
            <w:r>
              <w:rPr>
                <w:rFonts w:ascii="微软雅黑" w:hAnsi="微软雅黑" w:eastAsia="微软雅黑"/>
                <w:sz w:val="20"/>
              </w:rPr>
              <w:t>278 B</w:t>
            </w:r>
          </w:p>
        </w:tc>
        <w:tc>
          <w:tcPr>
            <w:tcW w:w="3402" w:type="dxa"/>
          </w:tcPr>
          <w:p w14:paraId="326B8384">
            <w:r>
              <w:rPr>
                <w:rFonts w:ascii="微软雅黑" w:hAnsi="微软雅黑" w:eastAsia="微软雅黑"/>
                <w:sz w:val="20"/>
              </w:rPr>
              <w:t>LSTM 特征列名</w:t>
            </w:r>
          </w:p>
        </w:tc>
      </w:tr>
    </w:tbl>
    <w:p w14:paraId="1CBB10D5"/>
    <w:p w14:paraId="47E8C3BF">
      <w:pPr>
        <w:pStyle w:val="5"/>
      </w:pPr>
      <w:r>
        <w:t>2.2.2 Python 推理引擎</w:t>
      </w:r>
    </w:p>
    <w:p w14:paraId="3651374F">
      <w:pPr>
        <w:ind w:firstLine="425"/>
      </w:pPr>
      <w:r>
        <w:rPr>
          <w:rFonts w:ascii="微软雅黑" w:hAnsi="微软雅黑" w:eastAsia="微软雅黑"/>
        </w:rPr>
        <w:t>核心类 OilRiskEngine 位于 python_engine/engine.py，启动时加载全部模型文件和 CSV 数据到内存。初始化流程：加载 scaler → 实例化 LSTM → 加载 XGBoost → 加载 Ridge → 初始化 SHAP TreeExplainer → 读取 CSV 构建 DataFrame。</w:t>
      </w:r>
    </w:p>
    <w:p w14:paraId="547E7D89">
      <w:pPr>
        <w:spacing w:before="160"/>
      </w:pPr>
      <w:r>
        <w:rPr>
          <w:rFonts w:ascii="微软雅黑" w:hAnsi="微软雅黑" w:eastAsia="微软雅黑"/>
          <w:b/>
          <w:sz w:val="22"/>
        </w:rPr>
        <w:t>FastAPI 路由清单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  <w:gridCol w:w="3969"/>
      </w:tblGrid>
      <w:tr w14:paraId="143E0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8E8E8"/>
          </w:tcPr>
          <w:p w14:paraId="46FAD5AE"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2835" w:type="dxa"/>
            <w:shd w:val="clear" w:color="auto" w:fill="E8E8E8"/>
          </w:tcPr>
          <w:p w14:paraId="216038A0"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3969" w:type="dxa"/>
            <w:shd w:val="clear" w:color="auto" w:fill="E8E8E8"/>
          </w:tcPr>
          <w:p w14:paraId="6A1B818C"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4560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44DE24F"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</w:tcPr>
          <w:p w14:paraId="09E0E6AC">
            <w:r>
              <w:rPr>
                <w:rFonts w:ascii="微软雅黑" w:hAnsi="微软雅黑" w:eastAsia="微软雅黑"/>
                <w:sz w:val="20"/>
              </w:rPr>
              <w:t>/health</w:t>
            </w:r>
          </w:p>
        </w:tc>
        <w:tc>
          <w:tcPr>
            <w:tcW w:w="3969" w:type="dxa"/>
          </w:tcPr>
          <w:p w14:paraId="6BD56D7C">
            <w:r>
              <w:rPr>
                <w:rFonts w:ascii="微软雅黑" w:hAnsi="微软雅黑" w:eastAsia="微软雅黑"/>
                <w:sz w:val="20"/>
              </w:rPr>
              <w:t>健康检查，返回模型加载状态</w:t>
            </w:r>
          </w:p>
        </w:tc>
      </w:tr>
      <w:tr w14:paraId="6CD24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EDBECC7"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2835" w:type="dxa"/>
          </w:tcPr>
          <w:p w14:paraId="5268C62D">
            <w:r>
              <w:rPr>
                <w:rFonts w:ascii="微软雅黑" w:hAnsi="微软雅黑" w:eastAsia="微软雅黑"/>
                <w:sz w:val="20"/>
              </w:rPr>
              <w:t>/predict/daily</w:t>
            </w:r>
          </w:p>
        </w:tc>
        <w:tc>
          <w:tcPr>
            <w:tcW w:w="3969" w:type="dxa"/>
          </w:tcPr>
          <w:p w14:paraId="11C6A5E6">
            <w:r>
              <w:rPr>
                <w:rFonts w:ascii="微软雅黑" w:hAnsi="微软雅黑" w:eastAsia="微软雅黑"/>
                <w:sz w:val="20"/>
              </w:rPr>
              <w:t>日预测（reload_from_db → 推理 → 持久化）</w:t>
            </w:r>
          </w:p>
        </w:tc>
      </w:tr>
      <w:tr w14:paraId="44B70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DCD9449"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2835" w:type="dxa"/>
          </w:tcPr>
          <w:p w14:paraId="028FB2D6">
            <w:r>
              <w:rPr>
                <w:rFonts w:ascii="微软雅黑" w:hAnsi="微软雅黑" w:eastAsia="微软雅黑"/>
                <w:sz w:val="20"/>
              </w:rPr>
              <w:t>/predict/backtest</w:t>
            </w:r>
          </w:p>
        </w:tc>
        <w:tc>
          <w:tcPr>
            <w:tcW w:w="3969" w:type="dxa"/>
          </w:tcPr>
          <w:p w14:paraId="0D7C33C1">
            <w:r>
              <w:rPr>
                <w:rFonts w:ascii="微软雅黑" w:hAnsi="微软雅黑" w:eastAsia="微软雅黑"/>
                <w:sz w:val="20"/>
              </w:rPr>
              <w:t>回测（XGBoost / LSTM / Stacking）</w:t>
            </w:r>
          </w:p>
        </w:tc>
      </w:tr>
      <w:tr w14:paraId="00CF9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D660168"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</w:tcPr>
          <w:p w14:paraId="5EC1A503">
            <w:r>
              <w:rPr>
                <w:rFonts w:ascii="微软雅黑" w:hAnsi="微软雅黑" w:eastAsia="微软雅黑"/>
                <w:sz w:val="20"/>
              </w:rPr>
              <w:t>/shap/factors</w:t>
            </w:r>
          </w:p>
        </w:tc>
        <w:tc>
          <w:tcPr>
            <w:tcW w:w="3969" w:type="dxa"/>
          </w:tcPr>
          <w:p w14:paraId="6B439E09">
            <w:r>
              <w:rPr>
                <w:rFonts w:ascii="微软雅黑" w:hAnsi="微软雅黑" w:eastAsia="微软雅黑"/>
                <w:sz w:val="20"/>
              </w:rPr>
              <w:t>全量 SHAP 因子</w:t>
            </w:r>
          </w:p>
        </w:tc>
      </w:tr>
      <w:tr w14:paraId="4012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3AAE692"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2835" w:type="dxa"/>
          </w:tcPr>
          <w:p w14:paraId="09A3E077">
            <w:r>
              <w:rPr>
                <w:rFonts w:ascii="微软雅黑" w:hAnsi="微软雅黑" w:eastAsia="微软雅黑"/>
                <w:sz w:val="20"/>
              </w:rPr>
              <w:t>/collect/trigger</w:t>
            </w:r>
          </w:p>
        </w:tc>
        <w:tc>
          <w:tcPr>
            <w:tcW w:w="3969" w:type="dxa"/>
          </w:tcPr>
          <w:p w14:paraId="604BBBCF">
            <w:r>
              <w:rPr>
                <w:rFonts w:ascii="微软雅黑" w:hAnsi="微软雅黑" w:eastAsia="微软雅黑"/>
                <w:sz w:val="20"/>
              </w:rPr>
              <w:t>手动触发采集</w:t>
            </w:r>
          </w:p>
        </w:tc>
      </w:tr>
      <w:tr w14:paraId="57C11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B9B4A0B"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</w:tcPr>
          <w:p w14:paraId="7D213154">
            <w:r>
              <w:rPr>
                <w:rFonts w:ascii="微软雅黑" w:hAnsi="微软雅黑" w:eastAsia="微软雅黑"/>
                <w:sz w:val="20"/>
              </w:rPr>
              <w:t>/collect/status</w:t>
            </w:r>
          </w:p>
        </w:tc>
        <w:tc>
          <w:tcPr>
            <w:tcW w:w="3969" w:type="dxa"/>
          </w:tcPr>
          <w:p w14:paraId="7DAFDDF9">
            <w:r>
              <w:rPr>
                <w:rFonts w:ascii="微软雅黑" w:hAnsi="微软雅黑" w:eastAsia="微软雅黑"/>
                <w:sz w:val="20"/>
              </w:rPr>
              <w:t>采集状态 + 因子覆盖率</w:t>
            </w:r>
          </w:p>
        </w:tc>
      </w:tr>
      <w:tr w14:paraId="3A92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95A964E"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2835" w:type="dxa"/>
          </w:tcPr>
          <w:p w14:paraId="3F40BAA7">
            <w:r>
              <w:rPr>
                <w:rFonts w:ascii="微软雅黑" w:hAnsi="微软雅黑" w:eastAsia="微软雅黑"/>
                <w:sz w:val="20"/>
              </w:rPr>
              <w:t>/collect/backfill</w:t>
            </w:r>
          </w:p>
        </w:tc>
        <w:tc>
          <w:tcPr>
            <w:tcW w:w="3969" w:type="dxa"/>
          </w:tcPr>
          <w:p w14:paraId="1AE14B9E">
            <w:r>
              <w:rPr>
                <w:rFonts w:ascii="微软雅黑" w:hAnsi="微软雅黑" w:eastAsia="微软雅黑"/>
                <w:sz w:val="20"/>
              </w:rPr>
              <w:t>指定日期范围历史回填</w:t>
            </w:r>
          </w:p>
        </w:tc>
      </w:tr>
      <w:tr w14:paraId="2E46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FE91E9B"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2835" w:type="dxa"/>
          </w:tcPr>
          <w:p w14:paraId="22695B68">
            <w:r>
              <w:rPr>
                <w:rFonts w:ascii="微软雅黑" w:hAnsi="微软雅黑" w:eastAsia="微软雅黑"/>
                <w:sz w:val="20"/>
              </w:rPr>
              <w:t>/collect/auto-backfill</w:t>
            </w:r>
          </w:p>
        </w:tc>
        <w:tc>
          <w:tcPr>
            <w:tcW w:w="3969" w:type="dxa"/>
          </w:tcPr>
          <w:p w14:paraId="7E2B4676">
            <w:r>
              <w:rPr>
                <w:rFonts w:ascii="微软雅黑" w:hAnsi="微软雅黑" w:eastAsia="微软雅黑"/>
                <w:sz w:val="20"/>
              </w:rPr>
              <w:t>自动检测缺口并回填</w:t>
            </w:r>
          </w:p>
        </w:tc>
      </w:tr>
      <w:tr w14:paraId="132D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1652624"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2835" w:type="dxa"/>
          </w:tcPr>
          <w:p w14:paraId="6CE0874E">
            <w:r>
              <w:rPr>
                <w:rFonts w:ascii="微软雅黑" w:hAnsi="微软雅黑" w:eastAsia="微软雅黑"/>
                <w:sz w:val="20"/>
              </w:rPr>
              <w:t>/collect/rebuild-alerts</w:t>
            </w:r>
          </w:p>
        </w:tc>
        <w:tc>
          <w:tcPr>
            <w:tcW w:w="3969" w:type="dxa"/>
          </w:tcPr>
          <w:p w14:paraId="5440C1A3">
            <w:r>
              <w:rPr>
                <w:rFonts w:ascii="微软雅黑" w:hAnsi="微软雅黑" w:eastAsia="微软雅黑"/>
                <w:sz w:val="20"/>
              </w:rPr>
              <w:t>重建全部预警记录</w:t>
            </w:r>
          </w:p>
        </w:tc>
      </w:tr>
    </w:tbl>
    <w:p w14:paraId="1F418459"/>
    <w:p w14:paraId="29C1ECF7">
      <w:pPr>
        <w:spacing w:before="160"/>
      </w:pPr>
      <w:r>
        <w:rPr>
          <w:rFonts w:ascii="微软雅黑" w:hAnsi="微软雅黑" w:eastAsia="微软雅黑"/>
          <w:b/>
          <w:sz w:val="22"/>
        </w:rPr>
        <w:t>SHAP 因子归因</w:t>
      </w:r>
    </w:p>
    <w:p w14:paraId="42CE7DCB">
      <w:pPr>
        <w:ind w:firstLine="425"/>
      </w:pPr>
      <w:r>
        <w:rPr>
          <w:rFonts w:ascii="微软雅黑" w:hAnsi="微软雅黑" w:eastAsia="微软雅黑"/>
        </w:rPr>
        <w:t>使用 shap.TreeExplainer 对 XGBoost 计算 SHAP 值，按 |shap_value| 降序排列，每个因子自动分类为五个类别（SUPPLY_DEMAND / MACRO / FINANCIAL / GEOPOLITICAL / SENTIMENT），中文名通过映射表或正则自动提取。</w:t>
      </w:r>
    </w:p>
    <w:p w14:paraId="70D0925F">
      <w:pPr>
        <w:pStyle w:val="5"/>
      </w:pPr>
      <w:r>
        <w:t>2.2.3 实时因子采集系统</w:t>
      </w:r>
    </w:p>
    <w:p w14:paraId="3028E3F3">
      <w:pPr>
        <w:shd w:val="clear" w:color="auto" w:fill="F5F5F5"/>
        <w:spacing w:before="80" w:after="80"/>
      </w:pPr>
      <w:r>
        <w:rPr>
          <w:rFonts w:ascii="Consolas" w:hAnsi="Consolas" w:eastAsia="微软雅黑"/>
          <w:sz w:val="18"/>
        </w:rPr>
        <w:t>APScheduler (AsyncIO)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├── 每日 06:00 ── 日频采集 (yfinance + FRED)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├── 每周四 06:00 ── 周频采集 (EIA)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├── 每月 2 日 06:00 ── 月频采集 (OPEC/PMI)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└── 每日 12:00 ── GDELT 地缘/情绪采集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▼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4 个采集器 → registry.py (~60 因子) → factor_realtime 表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▼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engine.reload_from_db() → 合并最新数据 → 三模型推理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  <w:gridCol w:w="1134"/>
        <w:gridCol w:w="2835"/>
      </w:tblGrid>
      <w:tr w14:paraId="61000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8E8E8"/>
          </w:tcPr>
          <w:p w14:paraId="738BD859"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w="2835" w:type="dxa"/>
            <w:shd w:val="clear" w:color="auto" w:fill="E8E8E8"/>
          </w:tcPr>
          <w:p w14:paraId="2CD501BF"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w="1134" w:type="dxa"/>
            <w:shd w:val="clear" w:color="auto" w:fill="E8E8E8"/>
          </w:tcPr>
          <w:p w14:paraId="6E3D2083">
            <w:r>
              <w:rPr>
                <w:rFonts w:ascii="微软雅黑" w:hAnsi="微软雅黑" w:eastAsia="微软雅黑"/>
                <w:b/>
                <w:sz w:val="20"/>
              </w:rPr>
              <w:t>数量</w:t>
            </w:r>
          </w:p>
        </w:tc>
        <w:tc>
          <w:tcPr>
            <w:tcW w:w="2835" w:type="dxa"/>
            <w:shd w:val="clear" w:color="auto" w:fill="E8E8E8"/>
          </w:tcPr>
          <w:p w14:paraId="0079A0C4">
            <w:r>
              <w:rPr>
                <w:rFonts w:ascii="微软雅黑" w:hAnsi="微软雅黑" w:eastAsia="微软雅黑"/>
                <w:b/>
                <w:sz w:val="20"/>
              </w:rPr>
              <w:t>数据源</w:t>
            </w:r>
          </w:p>
        </w:tc>
      </w:tr>
      <w:tr w14:paraId="0598B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5F8B301"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w="2835" w:type="dxa"/>
          </w:tcPr>
          <w:p w14:paraId="043DF089">
            <w:r>
              <w:rPr>
                <w:rFonts w:ascii="微软雅黑" w:hAnsi="微软雅黑" w:eastAsia="微软雅黑"/>
                <w:sz w:val="20"/>
              </w:rPr>
              <w:t>三模型共用核心因子</w:t>
            </w:r>
          </w:p>
        </w:tc>
        <w:tc>
          <w:tcPr>
            <w:tcW w:w="1134" w:type="dxa"/>
          </w:tcPr>
          <w:p w14:paraId="401DE06A">
            <w:r>
              <w:rPr>
                <w:rFonts w:ascii="微软雅黑" w:hAnsi="微软雅黑" w:eastAsia="微软雅黑"/>
                <w:sz w:val="20"/>
              </w:rPr>
              <w:t>~8</w:t>
            </w:r>
          </w:p>
        </w:tc>
        <w:tc>
          <w:tcPr>
            <w:tcW w:w="2835" w:type="dxa"/>
          </w:tcPr>
          <w:p w14:paraId="1F69822F">
            <w:r>
              <w:rPr>
                <w:rFonts w:ascii="微软雅黑" w:hAnsi="微软雅黑" w:eastAsia="微软雅黑"/>
                <w:sz w:val="20"/>
              </w:rPr>
              <w:t>yfinance + FRED</w:t>
            </w:r>
          </w:p>
        </w:tc>
      </w:tr>
      <w:tr w14:paraId="6B4E0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7221ADF"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w="2835" w:type="dxa"/>
          </w:tcPr>
          <w:p w14:paraId="522589E8">
            <w:r>
              <w:rPr>
                <w:rFonts w:ascii="微软雅黑" w:hAnsi="微软雅黑" w:eastAsia="微软雅黑"/>
                <w:sz w:val="20"/>
              </w:rPr>
              <w:t>XGBoost/Stacking 使用</w:t>
            </w:r>
          </w:p>
        </w:tc>
        <w:tc>
          <w:tcPr>
            <w:tcW w:w="1134" w:type="dxa"/>
          </w:tcPr>
          <w:p w14:paraId="037B897B">
            <w:r>
              <w:rPr>
                <w:rFonts w:ascii="微软雅黑" w:hAnsi="微软雅黑" w:eastAsia="微软雅黑"/>
                <w:sz w:val="20"/>
              </w:rPr>
              <w:t>~9</w:t>
            </w:r>
          </w:p>
        </w:tc>
        <w:tc>
          <w:tcPr>
            <w:tcW w:w="2835" w:type="dxa"/>
          </w:tcPr>
          <w:p w14:paraId="2E07E33D">
            <w:r>
              <w:rPr>
                <w:rFonts w:ascii="微软雅黑" w:hAnsi="微软雅黑" w:eastAsia="微软雅黑"/>
                <w:sz w:val="20"/>
              </w:rPr>
              <w:t>yfinance + FRED</w:t>
            </w:r>
          </w:p>
        </w:tc>
      </w:tr>
      <w:tr w14:paraId="01CE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29EECB8"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w="2835" w:type="dxa"/>
          </w:tcPr>
          <w:p w14:paraId="2E881EA6">
            <w:r>
              <w:rPr>
                <w:rFonts w:ascii="微软雅黑" w:hAnsi="微软雅黑" w:eastAsia="微软雅黑"/>
                <w:sz w:val="20"/>
              </w:rPr>
              <w:t>周/月频因子</w:t>
            </w:r>
          </w:p>
        </w:tc>
        <w:tc>
          <w:tcPr>
            <w:tcW w:w="1134" w:type="dxa"/>
          </w:tcPr>
          <w:p w14:paraId="490C85B9">
            <w:r>
              <w:rPr>
                <w:rFonts w:ascii="微软雅黑" w:hAnsi="微软雅黑" w:eastAsia="微软雅黑"/>
                <w:sz w:val="20"/>
              </w:rPr>
              <w:t>~10</w:t>
            </w:r>
          </w:p>
        </w:tc>
        <w:tc>
          <w:tcPr>
            <w:tcW w:w="2835" w:type="dxa"/>
          </w:tcPr>
          <w:p w14:paraId="05456BD5">
            <w:r>
              <w:rPr>
                <w:rFonts w:ascii="微软雅黑" w:hAnsi="微软雅黑" w:eastAsia="微软雅黑"/>
                <w:sz w:val="20"/>
              </w:rPr>
              <w:t>EIA + FRED + akshare</w:t>
            </w:r>
          </w:p>
        </w:tc>
      </w:tr>
      <w:tr w14:paraId="15890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69BB785">
            <w:r>
              <w:rPr>
                <w:rFonts w:ascii="微软雅黑" w:hAnsi="微软雅黑" w:eastAsia="微软雅黑"/>
                <w:sz w:val="20"/>
              </w:rPr>
              <w:t>P3</w:t>
            </w:r>
          </w:p>
        </w:tc>
        <w:tc>
          <w:tcPr>
            <w:tcW w:w="2835" w:type="dxa"/>
          </w:tcPr>
          <w:p w14:paraId="7BBF715B">
            <w:r>
              <w:rPr>
                <w:rFonts w:ascii="微软雅黑" w:hAnsi="微软雅黑" w:eastAsia="微软雅黑"/>
                <w:sz w:val="20"/>
              </w:rPr>
              <w:t>地缘/情绪替代因子</w:t>
            </w:r>
          </w:p>
        </w:tc>
        <w:tc>
          <w:tcPr>
            <w:tcW w:w="1134" w:type="dxa"/>
          </w:tcPr>
          <w:p w14:paraId="4888C804">
            <w:r>
              <w:rPr>
                <w:rFonts w:ascii="微软雅黑" w:hAnsi="微软雅黑" w:eastAsia="微软雅黑"/>
                <w:sz w:val="20"/>
              </w:rPr>
              <w:t>~12</w:t>
            </w:r>
          </w:p>
        </w:tc>
        <w:tc>
          <w:tcPr>
            <w:tcW w:w="2835" w:type="dxa"/>
          </w:tcPr>
          <w:p w14:paraId="6E4A5F86">
            <w:r>
              <w:rPr>
                <w:rFonts w:ascii="微软雅黑" w:hAnsi="微软雅黑" w:eastAsia="微软雅黑"/>
                <w:sz w:val="20"/>
              </w:rPr>
              <w:t>GDELT</w:t>
            </w:r>
          </w:p>
        </w:tc>
      </w:tr>
    </w:tbl>
    <w:p w14:paraId="20846EA5"/>
    <w:p w14:paraId="01B7B355">
      <w:pPr>
        <w:spacing w:before="160"/>
      </w:pPr>
      <w:r>
        <w:rPr>
          <w:rFonts w:ascii="微软雅黑" w:hAnsi="微软雅黑" w:eastAsia="微软雅黑"/>
          <w:b/>
          <w:sz w:val="22"/>
        </w:rPr>
        <w:t>数据合并策略</w:t>
      </w:r>
    </w:p>
    <w:p w14:paraId="7EB109B3">
      <w:pPr>
        <w:ind w:firstLine="425"/>
      </w:pPr>
      <w:r>
        <w:rPr>
          <w:rFonts w:ascii="微软雅黑" w:hAnsi="微软雅黑" w:eastAsia="微软雅黑"/>
        </w:rPr>
        <w:t>历史 CSV (2015~截止日) + factor_realtime 表 (截止日之后) → pd.concat → 按日期去重(keep=last) → sort_index → ffill/bfill → 重算技术指标 → 三模型推理。月频因子在日频 DataFrame 中通过 ffill 处理，与训练时一致。DB 连接失败时自动回退 CSV 模式，保证服务不中断。</w:t>
      </w:r>
    </w:p>
    <w:p w14:paraId="5F31FF72">
      <w:pPr>
        <w:pStyle w:val="5"/>
      </w:pPr>
      <w:r>
        <w:t>2.2.4 Java 后端服务</w:t>
      </w:r>
    </w:p>
    <w:p w14:paraId="43F3BB4A">
      <w:pPr>
        <w:spacing w:before="120"/>
      </w:pPr>
      <w:r>
        <w:rPr>
          <w:rFonts w:ascii="微软雅黑" w:hAnsi="微软雅黑" w:eastAsia="微软雅黑"/>
          <w:b/>
          <w:sz w:val="22"/>
        </w:rPr>
        <w:t>分层架构</w:t>
      </w:r>
    </w:p>
    <w:p w14:paraId="11F45087">
      <w:pPr>
        <w:shd w:val="clear" w:color="auto" w:fill="F5F5F5"/>
        <w:spacing w:before="80" w:after="80"/>
      </w:pPr>
      <w:r>
        <w:rPr>
          <w:rFonts w:ascii="Consolas" w:hAnsi="Consolas" w:eastAsia="微软雅黑"/>
          <w:sz w:val="18"/>
        </w:rPr>
        <w:t>Controller (7 个) → Service (7 对) → Mapper (3 个) → MySQL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→ RestTemplate   → Python 引擎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                            → LLM API        → iFlow/Qwen</w:t>
      </w:r>
    </w:p>
    <w:p w14:paraId="5C748E61">
      <w:pPr>
        <w:spacing w:before="160"/>
      </w:pPr>
      <w:r>
        <w:rPr>
          <w:rFonts w:ascii="微软雅黑" w:hAnsi="微软雅黑" w:eastAsia="微软雅黑"/>
          <w:b/>
          <w:sz w:val="22"/>
        </w:rPr>
        <w:t>REST API 清单</w:t>
      </w:r>
    </w:p>
    <w:p w14:paraId="70A4C039">
      <w:pPr>
        <w:spacing w:before="120"/>
      </w:pPr>
      <w:r>
        <w:rPr>
          <w:rFonts w:ascii="微软雅黑" w:hAnsi="微软雅黑" w:eastAsia="微软雅黑"/>
          <w:b/>
          <w:sz w:val="20"/>
        </w:rPr>
        <w:t>风险数据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  <w:gridCol w:w="3969"/>
      </w:tblGrid>
      <w:tr w14:paraId="0359A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8E8E8"/>
          </w:tcPr>
          <w:p w14:paraId="5B8C8123"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2835" w:type="dxa"/>
            <w:shd w:val="clear" w:color="auto" w:fill="E8E8E8"/>
          </w:tcPr>
          <w:p w14:paraId="068B6E4B"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3969" w:type="dxa"/>
            <w:shd w:val="clear" w:color="auto" w:fill="E8E8E8"/>
          </w:tcPr>
          <w:p w14:paraId="63416F27"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874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2B31E96"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</w:tcPr>
          <w:p w14:paraId="05261B5D">
            <w:r>
              <w:rPr>
                <w:rFonts w:ascii="微软雅黑" w:hAnsi="微软雅黑" w:eastAsia="微软雅黑"/>
                <w:sz w:val="20"/>
              </w:rPr>
              <w:t>/api/risk/current</w:t>
            </w:r>
          </w:p>
        </w:tc>
        <w:tc>
          <w:tcPr>
            <w:tcW w:w="3969" w:type="dxa"/>
          </w:tcPr>
          <w:p w14:paraId="75D03803">
            <w:r>
              <w:rPr>
                <w:rFonts w:ascii="微软雅黑" w:hAnsi="微软雅黑" w:eastAsia="微软雅黑"/>
                <w:sz w:val="20"/>
              </w:rPr>
              <w:t>当前风险指数 + Top5 因子</w:t>
            </w:r>
          </w:p>
        </w:tc>
      </w:tr>
      <w:tr w14:paraId="7DDC6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27755CB"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</w:tcPr>
          <w:p w14:paraId="25E1CF21">
            <w:r>
              <w:rPr>
                <w:rFonts w:ascii="微软雅黑" w:hAnsi="微软雅黑" w:eastAsia="微软雅黑"/>
                <w:sz w:val="20"/>
              </w:rPr>
              <w:t>/api/factors/timeseries</w:t>
            </w:r>
          </w:p>
        </w:tc>
        <w:tc>
          <w:tcPr>
            <w:tcW w:w="3969" w:type="dxa"/>
          </w:tcPr>
          <w:p w14:paraId="59124B46">
            <w:r>
              <w:rPr>
                <w:rFonts w:ascii="微软雅黑" w:hAnsi="微软雅黑" w:eastAsia="微软雅黑"/>
                <w:sz w:val="20"/>
              </w:rPr>
              <w:t>油价 + 风险指数时序（含预警标记）</w:t>
            </w:r>
          </w:p>
        </w:tc>
      </w:tr>
      <w:tr w14:paraId="1FF27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4FC32C1"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2835" w:type="dxa"/>
          </w:tcPr>
          <w:p w14:paraId="7F74CAB3">
            <w:r>
              <w:rPr>
                <w:rFonts w:ascii="微软雅黑" w:hAnsi="微软雅黑" w:eastAsia="微软雅黑"/>
                <w:sz w:val="20"/>
              </w:rPr>
              <w:t>/api/predict/daily</w:t>
            </w:r>
          </w:p>
        </w:tc>
        <w:tc>
          <w:tcPr>
            <w:tcW w:w="3969" w:type="dxa"/>
          </w:tcPr>
          <w:p w14:paraId="2D2F60DF">
            <w:r>
              <w:rPr>
                <w:rFonts w:ascii="微软雅黑" w:hAnsi="微软雅黑" w:eastAsia="微软雅黑"/>
                <w:sz w:val="20"/>
              </w:rPr>
              <w:t>触发 Python 引擎日预测</w:t>
            </w:r>
          </w:p>
        </w:tc>
      </w:tr>
      <w:tr w14:paraId="038DE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41E13FC"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</w:tcPr>
          <w:p w14:paraId="7F28C28C">
            <w:r>
              <w:rPr>
                <w:rFonts w:ascii="微软雅黑" w:hAnsi="微软雅黑" w:eastAsia="微软雅黑"/>
                <w:sz w:val="20"/>
              </w:rPr>
              <w:t>/api/risk/signals</w:t>
            </w:r>
          </w:p>
        </w:tc>
        <w:tc>
          <w:tcPr>
            <w:tcW w:w="3969" w:type="dxa"/>
          </w:tcPr>
          <w:p w14:paraId="19BDCB8B">
            <w:r>
              <w:rPr>
                <w:rFonts w:ascii="微软雅黑" w:hAnsi="微软雅黑" w:eastAsia="微软雅黑"/>
                <w:sz w:val="20"/>
              </w:rPr>
              <w:t>三模型信号（LSTM/XGBoost/Stacking）</w:t>
            </w:r>
          </w:p>
        </w:tc>
      </w:tr>
      <w:tr w14:paraId="0FE58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387635E"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</w:tcPr>
          <w:p w14:paraId="07EB07EA">
            <w:r>
              <w:rPr>
                <w:rFonts w:ascii="微软雅黑" w:hAnsi="微软雅黑" w:eastAsia="微软雅黑"/>
                <w:sz w:val="20"/>
              </w:rPr>
              <w:t>/api/risk/ai-summary</w:t>
            </w:r>
          </w:p>
        </w:tc>
        <w:tc>
          <w:tcPr>
            <w:tcW w:w="3969" w:type="dxa"/>
          </w:tcPr>
          <w:p w14:paraId="32033DD5">
            <w:r>
              <w:rPr>
                <w:rFonts w:ascii="微软雅黑" w:hAnsi="微软雅黑" w:eastAsia="微软雅黑"/>
                <w:sz w:val="20"/>
              </w:rPr>
              <w:t>SSE 流式 AI 风险摘要</w:t>
            </w:r>
          </w:p>
        </w:tc>
      </w:tr>
    </w:tbl>
    <w:p w14:paraId="53B13AB1"/>
    <w:p w14:paraId="20A64878">
      <w:pPr>
        <w:spacing w:before="120"/>
      </w:pPr>
      <w:r>
        <w:rPr>
          <w:rFonts w:ascii="微软雅黑" w:hAnsi="微软雅黑" w:eastAsia="微软雅黑"/>
          <w:b/>
          <w:sz w:val="20"/>
        </w:rPr>
        <w:t>因子分析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  <w:gridCol w:w="3969"/>
      </w:tblGrid>
      <w:tr w14:paraId="25486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8E8E8"/>
          </w:tcPr>
          <w:p w14:paraId="4EBB651C"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2835" w:type="dxa"/>
            <w:shd w:val="clear" w:color="auto" w:fill="E8E8E8"/>
          </w:tcPr>
          <w:p w14:paraId="7141F726"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3969" w:type="dxa"/>
            <w:shd w:val="clear" w:color="auto" w:fill="E8E8E8"/>
          </w:tcPr>
          <w:p w14:paraId="2B8AA2D3"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989F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D60B579"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</w:tcPr>
          <w:p w14:paraId="3268E4DB">
            <w:r>
              <w:rPr>
                <w:rFonts w:ascii="微软雅黑" w:hAnsi="微软雅黑" w:eastAsia="微软雅黑"/>
                <w:sz w:val="20"/>
              </w:rPr>
              <w:t>/api/risk/radar?date=</w:t>
            </w:r>
          </w:p>
        </w:tc>
        <w:tc>
          <w:tcPr>
            <w:tcW w:w="3969" w:type="dxa"/>
          </w:tcPr>
          <w:p w14:paraId="383FFED7">
            <w:r>
              <w:rPr>
                <w:rFonts w:ascii="微软雅黑" w:hAnsi="微软雅黑" w:eastAsia="微软雅黑"/>
                <w:sz w:val="20"/>
              </w:rPr>
              <w:t>五类因子雷达图评分</w:t>
            </w:r>
          </w:p>
        </w:tc>
      </w:tr>
      <w:tr w14:paraId="20790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5723CA2"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</w:tcPr>
          <w:p w14:paraId="55283137">
            <w:r>
              <w:rPr>
                <w:rFonts w:ascii="微软雅黑" w:hAnsi="微软雅黑" w:eastAsia="微软雅黑"/>
                <w:sz w:val="20"/>
              </w:rPr>
              <w:t>/api/explain/{date}</w:t>
            </w:r>
          </w:p>
        </w:tc>
        <w:tc>
          <w:tcPr>
            <w:tcW w:w="3969" w:type="dxa"/>
          </w:tcPr>
          <w:p w14:paraId="250956DE">
            <w:r>
              <w:rPr>
                <w:rFonts w:ascii="微软雅黑" w:hAnsi="微软雅黑" w:eastAsia="微软雅黑"/>
                <w:sz w:val="20"/>
              </w:rPr>
              <w:t>指定日期 SHAP 因子贡献</w:t>
            </w:r>
          </w:p>
        </w:tc>
      </w:tr>
      <w:tr w14:paraId="29022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7EAD900"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w="2835" w:type="dxa"/>
          </w:tcPr>
          <w:p w14:paraId="60FF530C">
            <w:r>
              <w:rPr>
                <w:rFonts w:ascii="微软雅黑" w:hAnsi="微软雅黑" w:eastAsia="微软雅黑"/>
                <w:sz w:val="20"/>
              </w:rPr>
              <w:t>/api/config/weights</w:t>
            </w:r>
          </w:p>
        </w:tc>
        <w:tc>
          <w:tcPr>
            <w:tcW w:w="3969" w:type="dxa"/>
          </w:tcPr>
          <w:p w14:paraId="2F1AC5A0">
            <w:r>
              <w:rPr>
                <w:rFonts w:ascii="微软雅黑" w:hAnsi="微软雅黑" w:eastAsia="微软雅黑"/>
                <w:sz w:val="20"/>
              </w:rPr>
              <w:t>更新因子类别权重 → 重算</w:t>
            </w:r>
          </w:p>
        </w:tc>
      </w:tr>
    </w:tbl>
    <w:p w14:paraId="0D3D077B"/>
    <w:p w14:paraId="7458D619">
      <w:pPr>
        <w:spacing w:before="120"/>
      </w:pPr>
      <w:r>
        <w:rPr>
          <w:rFonts w:ascii="微软雅黑" w:hAnsi="微软雅黑" w:eastAsia="微软雅黑"/>
          <w:b/>
          <w:sz w:val="20"/>
        </w:rPr>
        <w:t>预警管理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  <w:gridCol w:w="3969"/>
      </w:tblGrid>
      <w:tr w14:paraId="0C5C6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8E8E8"/>
          </w:tcPr>
          <w:p w14:paraId="27C0CE43"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2835" w:type="dxa"/>
            <w:shd w:val="clear" w:color="auto" w:fill="E8E8E8"/>
          </w:tcPr>
          <w:p w14:paraId="36B464A1"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3969" w:type="dxa"/>
            <w:shd w:val="clear" w:color="auto" w:fill="E8E8E8"/>
          </w:tcPr>
          <w:p w14:paraId="7372D94C"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3A2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5B2FCF2"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</w:tcPr>
          <w:p w14:paraId="505DC866">
            <w:r>
              <w:rPr>
                <w:rFonts w:ascii="微软雅黑" w:hAnsi="微软雅黑" w:eastAsia="微软雅黑"/>
                <w:sz w:val="20"/>
              </w:rPr>
              <w:t>/api/alerts</w:t>
            </w:r>
          </w:p>
        </w:tc>
        <w:tc>
          <w:tcPr>
            <w:tcW w:w="3969" w:type="dxa"/>
          </w:tcPr>
          <w:p w14:paraId="5B9C0544">
            <w:r>
              <w:rPr>
                <w:rFonts w:ascii="微软雅黑" w:hAnsi="微软雅黑" w:eastAsia="微软雅黑"/>
                <w:sz w:val="20"/>
              </w:rPr>
              <w:t>分页预警列表（含筛选/排序）</w:t>
            </w:r>
          </w:p>
        </w:tc>
      </w:tr>
      <w:tr w14:paraId="791EF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444CC16"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</w:tcPr>
          <w:p w14:paraId="45E606BD">
            <w:r>
              <w:rPr>
                <w:rFonts w:ascii="微软雅黑" w:hAnsi="微软雅黑" w:eastAsia="微软雅黑"/>
                <w:sz w:val="20"/>
              </w:rPr>
              <w:t>/api/alerts/{id}</w:t>
            </w:r>
          </w:p>
        </w:tc>
        <w:tc>
          <w:tcPr>
            <w:tcW w:w="3969" w:type="dxa"/>
          </w:tcPr>
          <w:p w14:paraId="7055728D">
            <w:r>
              <w:rPr>
                <w:rFonts w:ascii="微软雅黑" w:hAnsi="微软雅黑" w:eastAsia="微软雅黑"/>
                <w:sz w:val="20"/>
              </w:rPr>
              <w:t>预警详情 + 触发规则链</w:t>
            </w:r>
          </w:p>
        </w:tc>
      </w:tr>
      <w:tr w14:paraId="193F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3FEC8E3"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</w:tcPr>
          <w:p w14:paraId="60778DA1">
            <w:r>
              <w:rPr>
                <w:rFonts w:ascii="微软雅黑" w:hAnsi="微软雅黑" w:eastAsia="微软雅黑"/>
                <w:sz w:val="20"/>
              </w:rPr>
              <w:t>/api/report/{alertId}</w:t>
            </w:r>
          </w:p>
        </w:tc>
        <w:tc>
          <w:tcPr>
            <w:tcW w:w="3969" w:type="dxa"/>
          </w:tcPr>
          <w:p w14:paraId="114C8AC0">
            <w:r>
              <w:rPr>
                <w:rFonts w:ascii="微软雅黑" w:hAnsi="微软雅黑" w:eastAsia="微软雅黑"/>
                <w:sz w:val="20"/>
              </w:rPr>
              <w:t>SSE 流式 AI 报告</w:t>
            </w:r>
          </w:p>
        </w:tc>
      </w:tr>
    </w:tbl>
    <w:p w14:paraId="76037C50"/>
    <w:p w14:paraId="6C5D476F">
      <w:pPr>
        <w:spacing w:before="120"/>
      </w:pPr>
      <w:r>
        <w:rPr>
          <w:rFonts w:ascii="微软雅黑" w:hAnsi="微软雅黑" w:eastAsia="微软雅黑"/>
          <w:b/>
          <w:sz w:val="20"/>
        </w:rPr>
        <w:t>系统管理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  <w:gridCol w:w="3969"/>
      </w:tblGrid>
      <w:tr w14:paraId="385EA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8E8E8"/>
          </w:tcPr>
          <w:p w14:paraId="406DE79E"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2835" w:type="dxa"/>
            <w:shd w:val="clear" w:color="auto" w:fill="E8E8E8"/>
          </w:tcPr>
          <w:p w14:paraId="3F7BA0E0"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3969" w:type="dxa"/>
            <w:shd w:val="clear" w:color="auto" w:fill="E8E8E8"/>
          </w:tcPr>
          <w:p w14:paraId="03C4D8E1"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1395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47AB40F"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2835" w:type="dxa"/>
          </w:tcPr>
          <w:p w14:paraId="36C11437">
            <w:r>
              <w:rPr>
                <w:rFonts w:ascii="微软雅黑" w:hAnsi="微软雅黑" w:eastAsia="微软雅黑"/>
                <w:sz w:val="20"/>
              </w:rPr>
              <w:t>/api/predict/backtest</w:t>
            </w:r>
          </w:p>
        </w:tc>
        <w:tc>
          <w:tcPr>
            <w:tcW w:w="3969" w:type="dxa"/>
          </w:tcPr>
          <w:p w14:paraId="37BF2998">
            <w:r>
              <w:rPr>
                <w:rFonts w:ascii="微软雅黑" w:hAnsi="微软雅黑" w:eastAsia="微软雅黑"/>
                <w:sz w:val="20"/>
              </w:rPr>
              <w:t>模型回测</w:t>
            </w:r>
          </w:p>
        </w:tc>
      </w:tr>
      <w:tr w14:paraId="00AAD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14A7315"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w="2835" w:type="dxa"/>
          </w:tcPr>
          <w:p w14:paraId="300E37DA">
            <w:r>
              <w:rPr>
                <w:rFonts w:ascii="微软雅黑" w:hAnsi="微软雅黑" w:eastAsia="微软雅黑"/>
                <w:sz w:val="20"/>
              </w:rPr>
              <w:t>/api/system/status</w:t>
            </w:r>
          </w:p>
        </w:tc>
        <w:tc>
          <w:tcPr>
            <w:tcW w:w="3969" w:type="dxa"/>
          </w:tcPr>
          <w:p w14:paraId="49176848">
            <w:r>
              <w:rPr>
                <w:rFonts w:ascii="微软雅黑" w:hAnsi="微软雅黑" w:eastAsia="微软雅黑"/>
                <w:sz w:val="20"/>
              </w:rPr>
              <w:t>系统状态</w:t>
            </w:r>
          </w:p>
        </w:tc>
      </w:tr>
      <w:tr w14:paraId="0D142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2C5D6A6"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w="2835" w:type="dxa"/>
          </w:tcPr>
          <w:p w14:paraId="51F46A86">
            <w:r>
              <w:rPr>
                <w:rFonts w:ascii="微软雅黑" w:hAnsi="微软雅黑" w:eastAsia="微软雅黑"/>
                <w:sz w:val="20"/>
              </w:rPr>
              <w:t>/api/collect/trigger</w:t>
            </w:r>
          </w:p>
        </w:tc>
        <w:tc>
          <w:tcPr>
            <w:tcW w:w="3969" w:type="dxa"/>
          </w:tcPr>
          <w:p w14:paraId="71761B73">
            <w:r>
              <w:rPr>
                <w:rFonts w:ascii="微软雅黑" w:hAnsi="微软雅黑" w:eastAsia="微软雅黑"/>
                <w:sz w:val="20"/>
              </w:rPr>
              <w:t>手动触发采集</w:t>
            </w:r>
          </w:p>
        </w:tc>
      </w:tr>
      <w:tr w14:paraId="4E329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DED9790">
            <w:r>
              <w:rPr>
                <w:rFonts w:ascii="微软雅黑" w:hAnsi="微软雅黑" w:eastAsia="微软雅黑"/>
                <w:sz w:val="20"/>
              </w:rPr>
              <w:t>GET/PUT</w:t>
            </w:r>
          </w:p>
        </w:tc>
        <w:tc>
          <w:tcPr>
            <w:tcW w:w="2835" w:type="dxa"/>
          </w:tcPr>
          <w:p w14:paraId="16884FDA">
            <w:r>
              <w:rPr>
                <w:rFonts w:ascii="微软雅黑" w:hAnsi="微软雅黑" w:eastAsia="微软雅黑"/>
                <w:sz w:val="20"/>
              </w:rPr>
              <w:t>/api/config/llm</w:t>
            </w:r>
          </w:p>
        </w:tc>
        <w:tc>
          <w:tcPr>
            <w:tcW w:w="3969" w:type="dxa"/>
          </w:tcPr>
          <w:p w14:paraId="36800897">
            <w:r>
              <w:rPr>
                <w:rFonts w:ascii="微软雅黑" w:hAnsi="微软雅黑" w:eastAsia="微软雅黑"/>
                <w:sz w:val="20"/>
              </w:rPr>
              <w:t>LLM 配置读写</w:t>
            </w:r>
          </w:p>
        </w:tc>
      </w:tr>
    </w:tbl>
    <w:p w14:paraId="6FF54BA4"/>
    <w:p w14:paraId="5036C0CF">
      <w:pPr>
        <w:spacing w:before="160"/>
      </w:pPr>
      <w:r>
        <w:rPr>
          <w:rFonts w:ascii="微软雅黑" w:hAnsi="微软雅黑" w:eastAsia="微软雅黑"/>
          <w:b/>
          <w:sz w:val="22"/>
        </w:rPr>
        <w:t>核心业务逻辑</w:t>
      </w:r>
    </w:p>
    <w:p w14:paraId="1046CF1E">
      <w:pPr>
        <w:pStyle w:val="16"/>
      </w:pPr>
      <w:r>
        <w:rPr>
          <w:rFonts w:ascii="微软雅黑" w:hAnsi="微软雅黑" w:eastAsia="微软雅黑"/>
          <w:sz w:val="22"/>
        </w:rPr>
        <w:t>因子评分（雷达图）：按 5 个类别分组因子 → 各类别平均 |SHAP| → 乘类别权重 → 归一化 0-100。</w:t>
      </w:r>
    </w:p>
    <w:p w14:paraId="2EFF5BAA">
      <w:pPr>
        <w:pStyle w:val="16"/>
      </w:pPr>
      <w:r>
        <w:rPr>
          <w:rFonts w:ascii="微软雅黑" w:hAnsi="微软雅黑" w:eastAsia="微软雅黑"/>
          <w:sz w:val="22"/>
        </w:rPr>
        <w:t>权重调节：用户拖动滑块 → debounce 300ms → PUT 新权重 → 重算 adjustedIndex → 前端动画过渡更新。</w:t>
      </w:r>
    </w:p>
    <w:p w14:paraId="3112A641">
      <w:pPr>
        <w:pStyle w:val="16"/>
      </w:pPr>
      <w:r>
        <w:rPr>
          <w:rFonts w:ascii="微软雅黑" w:hAnsi="微软雅黑" w:eastAsia="微软雅黑"/>
          <w:sz w:val="22"/>
        </w:rPr>
        <w:t>AI 报告：检查缓存 → 有则 SSE 返回 → 无则组装 Prompt → 调用 LLM streaming → 逐 token 推送 → 写入缓存。</w:t>
      </w:r>
    </w:p>
    <w:p w14:paraId="43EC57CD">
      <w:pPr>
        <w:pStyle w:val="16"/>
      </w:pPr>
      <w:r>
        <w:rPr>
          <w:rFonts w:ascii="微软雅黑" w:hAnsi="微软雅黑" w:eastAsia="微软雅黑"/>
          <w:sz w:val="22"/>
        </w:rPr>
        <w:t>LTTB 降采样：时序数据超 2000 点时自动应用 Largest-Triangle-Three-Buckets 算法，保留视觉特征。</w:t>
      </w:r>
    </w:p>
    <w:p w14:paraId="71D3505F">
      <w:pPr>
        <w:pStyle w:val="5"/>
      </w:pPr>
      <w:r>
        <w:t>2.2.5 数据库设计</w:t>
      </w:r>
    </w:p>
    <w:p w14:paraId="3CD8DAFA">
      <w:pPr>
        <w:spacing w:before="120"/>
      </w:pPr>
      <w:r>
        <w:rPr>
          <w:rFonts w:ascii="微软雅黑" w:hAnsi="微软雅黑" w:eastAsia="微软雅黑"/>
          <w:b/>
          <w:sz w:val="22"/>
        </w:rPr>
        <w:t>业务表（3 张）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268"/>
      </w:tblGrid>
      <w:tr w14:paraId="0CDC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8E8"/>
          </w:tcPr>
          <w:p w14:paraId="32BBB471">
            <w:r>
              <w:rPr>
                <w:rFonts w:ascii="微软雅黑" w:hAnsi="微软雅黑" w:eastAsia="微软雅黑"/>
                <w:b/>
                <w:sz w:val="20"/>
              </w:rPr>
              <w:t>表名</w:t>
            </w:r>
          </w:p>
        </w:tc>
        <w:tc>
          <w:tcPr>
            <w:tcW w:w="3969" w:type="dxa"/>
            <w:shd w:val="clear" w:color="auto" w:fill="E8E8E8"/>
          </w:tcPr>
          <w:p w14:paraId="28E88C62">
            <w:r>
              <w:rPr>
                <w:rFonts w:ascii="微软雅黑" w:hAnsi="微软雅黑" w:eastAsia="微软雅黑"/>
                <w:b/>
                <w:sz w:val="20"/>
              </w:rPr>
              <w:t>主要字段</w:t>
            </w:r>
          </w:p>
        </w:tc>
        <w:tc>
          <w:tcPr>
            <w:tcW w:w="2268" w:type="dxa"/>
            <w:shd w:val="clear" w:color="auto" w:fill="E8E8E8"/>
          </w:tcPr>
          <w:p w14:paraId="761DB285"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ED4B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48DA79E">
            <w:r>
              <w:rPr>
                <w:rFonts w:ascii="微软雅黑" w:hAnsi="微软雅黑" w:eastAsia="微软雅黑"/>
                <w:sz w:val="20"/>
              </w:rPr>
              <w:t>risk_index</w:t>
            </w:r>
          </w:p>
        </w:tc>
        <w:tc>
          <w:tcPr>
            <w:tcW w:w="3969" w:type="dxa"/>
          </w:tcPr>
          <w:p w14:paraId="224F94B6">
            <w:r>
              <w:rPr>
                <w:rFonts w:ascii="微软雅黑" w:hAnsi="微软雅黑" w:eastAsia="微软雅黑"/>
                <w:sz w:val="20"/>
              </w:rPr>
              <w:t>date(UNIQUE), risk_index(0-100), risk_level, oil_price</w:t>
            </w:r>
          </w:p>
        </w:tc>
        <w:tc>
          <w:tcPr>
            <w:tcW w:w="2268" w:type="dxa"/>
          </w:tcPr>
          <w:p w14:paraId="03197467">
            <w:r>
              <w:rPr>
                <w:rFonts w:ascii="微软雅黑" w:hAnsi="微软雅黑" w:eastAsia="微软雅黑"/>
                <w:sz w:val="20"/>
              </w:rPr>
              <w:t>每日风险指数</w:t>
            </w:r>
          </w:p>
        </w:tc>
      </w:tr>
      <w:tr w14:paraId="740AB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FB91DE0">
            <w:r>
              <w:rPr>
                <w:rFonts w:ascii="微软雅黑" w:hAnsi="微软雅黑" w:eastAsia="微软雅黑"/>
                <w:sz w:val="20"/>
              </w:rPr>
              <w:t>alert</w:t>
            </w:r>
          </w:p>
        </w:tc>
        <w:tc>
          <w:tcPr>
            <w:tcW w:w="3969" w:type="dxa"/>
          </w:tcPr>
          <w:p w14:paraId="2E650886">
            <w:r>
              <w:rPr>
                <w:rFonts w:ascii="微软雅黑" w:hAnsi="微软雅黑" w:eastAsia="微软雅黑"/>
                <w:sz w:val="20"/>
              </w:rPr>
              <w:t>date, level, risk_index, trigger_type/factor, summary, detail(JSON), ai_report</w:t>
            </w:r>
          </w:p>
        </w:tc>
        <w:tc>
          <w:tcPr>
            <w:tcW w:w="2268" w:type="dxa"/>
          </w:tcPr>
          <w:p w14:paraId="3C9EB6A5">
            <w:r>
              <w:rPr>
                <w:rFonts w:ascii="微软雅黑" w:hAnsi="微软雅黑" w:eastAsia="微软雅黑"/>
                <w:sz w:val="20"/>
              </w:rPr>
              <w:t>预警记录</w:t>
            </w:r>
          </w:p>
        </w:tc>
      </w:tr>
      <w:tr w14:paraId="430F4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F7E33B">
            <w:r>
              <w:rPr>
                <w:rFonts w:ascii="微软雅黑" w:hAnsi="微软雅黑" w:eastAsia="微软雅黑"/>
                <w:sz w:val="20"/>
              </w:rPr>
              <w:t>risk_factor</w:t>
            </w:r>
          </w:p>
        </w:tc>
        <w:tc>
          <w:tcPr>
            <w:tcW w:w="3969" w:type="dxa"/>
          </w:tcPr>
          <w:p w14:paraId="132E5761">
            <w:r>
              <w:rPr>
                <w:rFonts w:ascii="微软雅黑" w:hAnsi="微软雅黑" w:eastAsia="微软雅黑"/>
                <w:sz w:val="20"/>
              </w:rPr>
              <w:t>date, factor_name, category, value, shap_value</w:t>
            </w:r>
          </w:p>
        </w:tc>
        <w:tc>
          <w:tcPr>
            <w:tcW w:w="2268" w:type="dxa"/>
          </w:tcPr>
          <w:p w14:paraId="6608BBC6">
            <w:r>
              <w:rPr>
                <w:rFonts w:ascii="微软雅黑" w:hAnsi="微软雅黑" w:eastAsia="微软雅黑"/>
                <w:sz w:val="20"/>
              </w:rPr>
              <w:t>风险因子（SHAP）</w:t>
            </w:r>
          </w:p>
        </w:tc>
      </w:tr>
    </w:tbl>
    <w:p w14:paraId="3E483A3C"/>
    <w:p w14:paraId="442A2EF0">
      <w:pPr>
        <w:spacing w:before="120"/>
      </w:pPr>
      <w:r>
        <w:rPr>
          <w:rFonts w:ascii="微软雅黑" w:hAnsi="微软雅黑" w:eastAsia="微软雅黑"/>
          <w:b/>
          <w:sz w:val="22"/>
        </w:rPr>
        <w:t>采集表（3 张）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268"/>
      </w:tblGrid>
      <w:tr w14:paraId="0FF92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8E8"/>
          </w:tcPr>
          <w:p w14:paraId="5043AB05">
            <w:r>
              <w:rPr>
                <w:rFonts w:ascii="微软雅黑" w:hAnsi="微软雅黑" w:eastAsia="微软雅黑"/>
                <w:b/>
                <w:sz w:val="20"/>
              </w:rPr>
              <w:t>表名</w:t>
            </w:r>
          </w:p>
        </w:tc>
        <w:tc>
          <w:tcPr>
            <w:tcW w:w="3969" w:type="dxa"/>
            <w:shd w:val="clear" w:color="auto" w:fill="E8E8E8"/>
          </w:tcPr>
          <w:p w14:paraId="6DB2347E">
            <w:r>
              <w:rPr>
                <w:rFonts w:ascii="微软雅黑" w:hAnsi="微软雅黑" w:eastAsia="微软雅黑"/>
                <w:b/>
                <w:sz w:val="20"/>
              </w:rPr>
              <w:t>主要字段</w:t>
            </w:r>
          </w:p>
        </w:tc>
        <w:tc>
          <w:tcPr>
            <w:tcW w:w="2268" w:type="dxa"/>
            <w:shd w:val="clear" w:color="auto" w:fill="E8E8E8"/>
          </w:tcPr>
          <w:p w14:paraId="4060CAF5"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153C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18ECCCF">
            <w:r>
              <w:rPr>
                <w:rFonts w:ascii="微软雅黑" w:hAnsi="微软雅黑" w:eastAsia="微软雅黑"/>
                <w:sz w:val="20"/>
              </w:rPr>
              <w:t>factor_realtime</w:t>
            </w:r>
          </w:p>
        </w:tc>
        <w:tc>
          <w:tcPr>
            <w:tcW w:w="3969" w:type="dxa"/>
          </w:tcPr>
          <w:p w14:paraId="787DDA6C">
            <w:r>
              <w:rPr>
                <w:rFonts w:ascii="微软雅黑" w:hAnsi="微软雅黑" w:eastAsia="微软雅黑"/>
                <w:sz w:val="20"/>
              </w:rPr>
              <w:t>date, factor_key(UNIQUE), column_name, value, source, frequency</w:t>
            </w:r>
          </w:p>
        </w:tc>
        <w:tc>
          <w:tcPr>
            <w:tcW w:w="2268" w:type="dxa"/>
          </w:tcPr>
          <w:p w14:paraId="32B15C85">
            <w:r>
              <w:rPr>
                <w:rFonts w:ascii="微软雅黑" w:hAnsi="微软雅黑" w:eastAsia="微软雅黑"/>
                <w:sz w:val="20"/>
              </w:rPr>
              <w:t>实时因子数据</w:t>
            </w:r>
          </w:p>
        </w:tc>
      </w:tr>
      <w:tr w14:paraId="4BF32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E40E86A">
            <w:r>
              <w:rPr>
                <w:rFonts w:ascii="微软雅黑" w:hAnsi="微软雅黑" w:eastAsia="微软雅黑"/>
                <w:sz w:val="20"/>
              </w:rPr>
              <w:t>collection_log</w:t>
            </w:r>
          </w:p>
        </w:tc>
        <w:tc>
          <w:tcPr>
            <w:tcW w:w="3969" w:type="dxa"/>
          </w:tcPr>
          <w:p w14:paraId="71C078AF">
            <w:r>
              <w:rPr>
                <w:rFonts w:ascii="微软雅黑" w:hAnsi="微软雅黑" w:eastAsia="微软雅黑"/>
                <w:sz w:val="20"/>
              </w:rPr>
              <w:t>run_date, source, status(SUCCESS/PARTIAL/FAILED), factors_total/ok/failed</w:t>
            </w:r>
          </w:p>
        </w:tc>
        <w:tc>
          <w:tcPr>
            <w:tcW w:w="2268" w:type="dxa"/>
          </w:tcPr>
          <w:p w14:paraId="48E882E0">
            <w:r>
              <w:rPr>
                <w:rFonts w:ascii="微软雅黑" w:hAnsi="微软雅黑" w:eastAsia="微软雅黑"/>
                <w:sz w:val="20"/>
              </w:rPr>
              <w:t>采集日志</w:t>
            </w:r>
          </w:p>
        </w:tc>
      </w:tr>
      <w:tr w14:paraId="2B7CB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B2FFFB">
            <w:r>
              <w:rPr>
                <w:rFonts w:ascii="微软雅黑" w:hAnsi="微软雅黑" w:eastAsia="微软雅黑"/>
                <w:sz w:val="20"/>
              </w:rPr>
              <w:t>system_state</w:t>
            </w:r>
          </w:p>
        </w:tc>
        <w:tc>
          <w:tcPr>
            <w:tcW w:w="3969" w:type="dxa"/>
          </w:tcPr>
          <w:p w14:paraId="604A6965">
            <w:r>
              <w:rPr>
                <w:rFonts w:ascii="微软雅黑" w:hAnsi="微软雅黑" w:eastAsia="微软雅黑"/>
                <w:sz w:val="20"/>
              </w:rPr>
              <w:t>state_key(PK), state_value</w:t>
            </w:r>
          </w:p>
        </w:tc>
        <w:tc>
          <w:tcPr>
            <w:tcW w:w="2268" w:type="dxa"/>
          </w:tcPr>
          <w:p w14:paraId="1B874931">
            <w:r>
              <w:rPr>
                <w:rFonts w:ascii="微软雅黑" w:hAnsi="微软雅黑" w:eastAsia="微软雅黑"/>
                <w:sz w:val="20"/>
              </w:rPr>
              <w:t>系统状态 KV 存储</w:t>
            </w:r>
          </w:p>
        </w:tc>
      </w:tr>
    </w:tbl>
    <w:p w14:paraId="4566069F"/>
    <w:p w14:paraId="4ED49446">
      <w:pPr>
        <w:pStyle w:val="5"/>
      </w:pPr>
      <w:r>
        <w:t>2.2.6 前端设计</w:t>
      </w:r>
    </w:p>
    <w:p w14:paraId="07C44E00">
      <w:pPr>
        <w:spacing w:before="120"/>
      </w:pPr>
      <w:r>
        <w:rPr>
          <w:rFonts w:ascii="微软雅黑" w:hAnsi="微软雅黑" w:eastAsia="微软雅黑"/>
          <w:b/>
          <w:sz w:val="22"/>
        </w:rPr>
        <w:t>页面路由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4535"/>
      </w:tblGrid>
      <w:tr w14:paraId="583DD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8E8E8"/>
          </w:tcPr>
          <w:p w14:paraId="4FFEB65B"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2268" w:type="dxa"/>
            <w:shd w:val="clear" w:color="auto" w:fill="E8E8E8"/>
          </w:tcPr>
          <w:p w14:paraId="7095C401">
            <w:r>
              <w:rPr>
                <w:rFonts w:ascii="微软雅黑" w:hAnsi="微软雅黑" w:eastAsia="微软雅黑"/>
                <w:b/>
                <w:sz w:val="20"/>
              </w:rPr>
              <w:t>视图</w:t>
            </w:r>
          </w:p>
        </w:tc>
        <w:tc>
          <w:tcPr>
            <w:tcW w:w="4535" w:type="dxa"/>
            <w:shd w:val="clear" w:color="auto" w:fill="E8E8E8"/>
          </w:tcPr>
          <w:p w14:paraId="32BAE45C"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</w:tr>
      <w:tr w14:paraId="39270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2B5E41F">
            <w:r>
              <w:rPr>
                <w:rFonts w:ascii="微软雅黑" w:hAnsi="微软雅黑" w:eastAsia="微软雅黑"/>
                <w:sz w:val="20"/>
              </w:rPr>
              <w:t>/</w:t>
            </w:r>
          </w:p>
        </w:tc>
        <w:tc>
          <w:tcPr>
            <w:tcW w:w="2268" w:type="dxa"/>
          </w:tcPr>
          <w:p w14:paraId="474E2658">
            <w:r>
              <w:rPr>
                <w:rFonts w:ascii="微软雅黑" w:hAnsi="微软雅黑" w:eastAsia="微软雅黑"/>
                <w:sz w:val="20"/>
              </w:rPr>
              <w:t>RiskOverview.vue</w:t>
            </w:r>
          </w:p>
        </w:tc>
        <w:tc>
          <w:tcPr>
            <w:tcW w:w="4535" w:type="dxa"/>
          </w:tcPr>
          <w:p w14:paraId="7DDE6C80">
            <w:r>
              <w:rPr>
                <w:rFonts w:ascii="微软雅黑" w:hAnsi="微软雅黑" w:eastAsia="微软雅黑"/>
                <w:sz w:val="20"/>
              </w:rPr>
              <w:t>仪表盘：风险仪表、雷达图、价格趋势、预警卡片、AI 摘要、模型信号</w:t>
            </w:r>
          </w:p>
        </w:tc>
      </w:tr>
      <w:tr w14:paraId="796BD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9BA31E1">
            <w:r>
              <w:rPr>
                <w:rFonts w:ascii="微软雅黑" w:hAnsi="微软雅黑" w:eastAsia="微软雅黑"/>
                <w:sz w:val="20"/>
              </w:rPr>
              <w:t>/factors</w:t>
            </w:r>
          </w:p>
        </w:tc>
        <w:tc>
          <w:tcPr>
            <w:tcW w:w="2268" w:type="dxa"/>
          </w:tcPr>
          <w:p w14:paraId="07EAE1A2">
            <w:r>
              <w:rPr>
                <w:rFonts w:ascii="微软雅黑" w:hAnsi="微软雅黑" w:eastAsia="微软雅黑"/>
                <w:sz w:val="20"/>
              </w:rPr>
              <w:t>FactorAnalysis.vue</w:t>
            </w:r>
          </w:p>
        </w:tc>
        <w:tc>
          <w:tcPr>
            <w:tcW w:w="4535" w:type="dxa"/>
          </w:tcPr>
          <w:p w14:paraId="57791F22">
            <w:r>
              <w:rPr>
                <w:rFonts w:ascii="微软雅黑" w:hAnsi="微软雅黑" w:eastAsia="微软雅黑"/>
                <w:sz w:val="20"/>
              </w:rPr>
              <w:t>因子分析：雷达图、SHAP 条形图、权重调节滑块</w:t>
            </w:r>
          </w:p>
        </w:tc>
      </w:tr>
      <w:tr w14:paraId="453E1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34A26C0">
            <w:r>
              <w:rPr>
                <w:rFonts w:ascii="微软雅黑" w:hAnsi="微软雅黑" w:eastAsia="微软雅黑"/>
                <w:sz w:val="20"/>
              </w:rPr>
              <w:t>/alerts</w:t>
            </w:r>
          </w:p>
        </w:tc>
        <w:tc>
          <w:tcPr>
            <w:tcW w:w="2268" w:type="dxa"/>
          </w:tcPr>
          <w:p w14:paraId="151257F7">
            <w:r>
              <w:rPr>
                <w:rFonts w:ascii="微软雅黑" w:hAnsi="微软雅黑" w:eastAsia="微软雅黑"/>
                <w:sz w:val="20"/>
              </w:rPr>
              <w:t>AlertRecords.vue</w:t>
            </w:r>
          </w:p>
        </w:tc>
        <w:tc>
          <w:tcPr>
            <w:tcW w:w="4535" w:type="dxa"/>
          </w:tcPr>
          <w:p w14:paraId="35537176">
            <w:r>
              <w:rPr>
                <w:rFonts w:ascii="微软雅黑" w:hAnsi="微软雅黑" w:eastAsia="微软雅黑"/>
                <w:sz w:val="20"/>
              </w:rPr>
              <w:t>预警记录：分页表格、级别筛选、触发规则详情、AI 报告</w:t>
            </w:r>
          </w:p>
        </w:tc>
      </w:tr>
      <w:tr w14:paraId="7B09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1216A56">
            <w:r>
              <w:rPr>
                <w:rFonts w:ascii="微软雅黑" w:hAnsi="微软雅黑" w:eastAsia="微软雅黑"/>
                <w:sz w:val="20"/>
              </w:rPr>
              <w:t>/backtest</w:t>
            </w:r>
          </w:p>
        </w:tc>
        <w:tc>
          <w:tcPr>
            <w:tcW w:w="2268" w:type="dxa"/>
          </w:tcPr>
          <w:p w14:paraId="2C062BF1">
            <w:r>
              <w:rPr>
                <w:rFonts w:ascii="微软雅黑" w:hAnsi="微软雅黑" w:eastAsia="微软雅黑"/>
                <w:sz w:val="20"/>
              </w:rPr>
              <w:t>ModelBacktest.vue</w:t>
            </w:r>
          </w:p>
        </w:tc>
        <w:tc>
          <w:tcPr>
            <w:tcW w:w="4535" w:type="dxa"/>
          </w:tcPr>
          <w:p w14:paraId="7092DCC5">
            <w:r>
              <w:rPr>
                <w:rFonts w:ascii="微软雅黑" w:hAnsi="微软雅黑" w:eastAsia="微软雅黑"/>
                <w:sz w:val="20"/>
              </w:rPr>
              <w:t>模型回测：日期选择、模型切换、多模型叠加对比</w:t>
            </w:r>
          </w:p>
        </w:tc>
      </w:tr>
    </w:tbl>
    <w:p w14:paraId="335B6921"/>
    <w:p w14:paraId="426FAA57">
      <w:pPr>
        <w:spacing w:before="120"/>
      </w:pPr>
      <w:r>
        <w:rPr>
          <w:rFonts w:ascii="微软雅黑" w:hAnsi="微软雅黑" w:eastAsia="微软雅黑"/>
          <w:b/>
          <w:sz w:val="22"/>
        </w:rPr>
        <w:t>关键特性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5137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8E8"/>
          </w:tcPr>
          <w:p w14:paraId="17D4A6AB">
            <w:r>
              <w:rPr>
                <w:rFonts w:ascii="微软雅黑" w:hAnsi="微软雅黑" w:eastAsia="微软雅黑"/>
                <w:b/>
                <w:sz w:val="20"/>
              </w:rPr>
              <w:t>特性</w:t>
            </w:r>
          </w:p>
        </w:tc>
        <w:tc>
          <w:tcPr>
            <w:tcW w:w="5669" w:type="dxa"/>
            <w:shd w:val="clear" w:color="auto" w:fill="E8E8E8"/>
          </w:tcPr>
          <w:p w14:paraId="2B8DB2AE">
            <w:r>
              <w:rPr>
                <w:rFonts w:ascii="微软雅黑" w:hAnsi="微软雅黑" w:eastAsia="微软雅黑"/>
                <w:b/>
                <w:sz w:val="20"/>
              </w:rPr>
              <w:t>实现方式</w:t>
            </w:r>
          </w:p>
        </w:tc>
      </w:tr>
      <w:tr w14:paraId="6DCE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2268" w:type="dxa"/>
          </w:tcPr>
          <w:p w14:paraId="7A61516B">
            <w:r>
              <w:rPr>
                <w:rFonts w:ascii="微软雅黑" w:hAnsi="微软雅黑" w:eastAsia="微软雅黑"/>
                <w:sz w:val="20"/>
              </w:rPr>
              <w:t>流式 AI 报告</w:t>
            </w:r>
          </w:p>
        </w:tc>
        <w:tc>
          <w:tcPr>
            <w:tcW w:w="5669" w:type="dxa"/>
          </w:tcPr>
          <w:p w14:paraId="416FC5F7">
            <w:r>
              <w:rPr>
                <w:rFonts w:ascii="微软雅黑" w:hAnsi="微软雅黑" w:eastAsia="微软雅黑"/>
                <w:sz w:val="20"/>
              </w:rPr>
              <w:t>EventSource 接收 SSE，逐 token 打字机效果</w:t>
            </w:r>
          </w:p>
        </w:tc>
      </w:tr>
      <w:tr w14:paraId="1AE22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355579D">
            <w:r>
              <w:rPr>
                <w:rFonts w:ascii="微软雅黑" w:hAnsi="微软雅黑" w:eastAsia="微软雅黑"/>
                <w:sz w:val="20"/>
              </w:rPr>
              <w:t>国际化</w:t>
            </w:r>
          </w:p>
        </w:tc>
        <w:tc>
          <w:tcPr>
            <w:tcW w:w="5669" w:type="dxa"/>
          </w:tcPr>
          <w:p w14:paraId="61E29228">
            <w:r>
              <w:rPr>
                <w:rFonts w:ascii="微软雅黑" w:hAnsi="微软雅黑" w:eastAsia="微软雅黑"/>
                <w:sz w:val="20"/>
              </w:rPr>
              <w:t>vue-i18n，中英文实时切换，图表标签跟随</w:t>
            </w:r>
          </w:p>
        </w:tc>
      </w:tr>
      <w:tr w14:paraId="45EDB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C0937D3">
            <w:r>
              <w:rPr>
                <w:rFonts w:ascii="微软雅黑" w:hAnsi="微软雅黑" w:eastAsia="微软雅黑"/>
                <w:sz w:val="20"/>
              </w:rPr>
              <w:t>主题切换</w:t>
            </w:r>
          </w:p>
        </w:tc>
        <w:tc>
          <w:tcPr>
            <w:tcW w:w="5669" w:type="dxa"/>
          </w:tcPr>
          <w:p w14:paraId="60E891B9">
            <w:r>
              <w:rPr>
                <w:rFonts w:ascii="微软雅黑" w:hAnsi="微软雅黑" w:eastAsia="微软雅黑"/>
                <w:sz w:val="20"/>
              </w:rPr>
              <w:t>CSS 变量 + ECharts dark/light 双套主题配置</w:t>
            </w:r>
          </w:p>
        </w:tc>
      </w:tr>
      <w:tr w14:paraId="681F8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3A0A1FA">
            <w:r>
              <w:rPr>
                <w:rFonts w:ascii="微软雅黑" w:hAnsi="微软雅黑" w:eastAsia="微软雅黑"/>
                <w:sz w:val="20"/>
              </w:rPr>
              <w:t>dataZoom</w:t>
            </w:r>
          </w:p>
        </w:tc>
        <w:tc>
          <w:tcPr>
            <w:tcW w:w="5669" w:type="dxa"/>
          </w:tcPr>
          <w:p w14:paraId="4FBF30F3">
            <w:r>
              <w:rPr>
                <w:rFonts w:ascii="微软雅黑" w:hAnsi="微软雅黑" w:eastAsia="微软雅黑"/>
                <w:sz w:val="20"/>
              </w:rPr>
              <w:t>响应式变量防重置 + updatingFromZoom 防重入标志</w:t>
            </w:r>
          </w:p>
        </w:tc>
      </w:tr>
      <w:tr w14:paraId="4A05F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60D6B8B">
            <w:r>
              <w:rPr>
                <w:rFonts w:ascii="微软雅黑" w:hAnsi="微软雅黑" w:eastAsia="微软雅黑"/>
                <w:sz w:val="20"/>
              </w:rPr>
              <w:t>权重滑块</w:t>
            </w:r>
          </w:p>
        </w:tc>
        <w:tc>
          <w:tcPr>
            <w:tcW w:w="5669" w:type="dxa"/>
          </w:tcPr>
          <w:p w14:paraId="7905C5ED">
            <w:r>
              <w:rPr>
                <w:rFonts w:ascii="微软雅黑" w:hAnsi="微软雅黑" w:eastAsia="微软雅黑"/>
                <w:sz w:val="20"/>
              </w:rPr>
              <w:t>debounce 300ms + ECharts transition 800ms 动画过渡</w:t>
            </w:r>
          </w:p>
        </w:tc>
      </w:tr>
    </w:tbl>
    <w:p w14:paraId="7F8B0AE7"/>
    <w:p w14:paraId="43B3D956">
      <w:pPr>
        <w:pStyle w:val="4"/>
      </w:pPr>
      <w:r>
        <w:t>2.3 数据校验与容错</w:t>
      </w:r>
    </w:p>
    <w:p w14:paraId="30A271E1">
      <w:pPr>
        <w:spacing w:before="120"/>
      </w:pPr>
      <w:r>
        <w:rPr>
          <w:rFonts w:ascii="微软雅黑" w:hAnsi="微软雅黑" w:eastAsia="微软雅黑"/>
          <w:b/>
          <w:sz w:val="22"/>
        </w:rPr>
        <w:t>采集校验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402"/>
      </w:tblGrid>
      <w:tr w14:paraId="5A528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8E8"/>
          </w:tcPr>
          <w:p w14:paraId="6410DA7A">
            <w:r>
              <w:rPr>
                <w:rFonts w:ascii="微软雅黑" w:hAnsi="微软雅黑" w:eastAsia="微软雅黑"/>
                <w:b/>
                <w:sz w:val="20"/>
              </w:rPr>
              <w:t>校验项</w:t>
            </w:r>
          </w:p>
        </w:tc>
        <w:tc>
          <w:tcPr>
            <w:tcW w:w="2835" w:type="dxa"/>
            <w:shd w:val="clear" w:color="auto" w:fill="E8E8E8"/>
          </w:tcPr>
          <w:p w14:paraId="663DBC89"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  <w:tc>
          <w:tcPr>
            <w:tcW w:w="3402" w:type="dxa"/>
            <w:shd w:val="clear" w:color="auto" w:fill="E8E8E8"/>
          </w:tcPr>
          <w:p w14:paraId="666FAB9E">
            <w:r>
              <w:rPr>
                <w:rFonts w:ascii="微软雅黑" w:hAnsi="微软雅黑" w:eastAsia="微软雅黑"/>
                <w:b/>
                <w:sz w:val="20"/>
              </w:rPr>
              <w:t>处理</w:t>
            </w:r>
          </w:p>
        </w:tc>
      </w:tr>
      <w:tr w14:paraId="2BA9B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D6C56E">
            <w:r>
              <w:rPr>
                <w:rFonts w:ascii="微软雅黑" w:hAnsi="微软雅黑" w:eastAsia="微软雅黑"/>
                <w:sz w:val="20"/>
              </w:rPr>
              <w:t>非空检查</w:t>
            </w:r>
          </w:p>
        </w:tc>
        <w:tc>
          <w:tcPr>
            <w:tcW w:w="2835" w:type="dxa"/>
          </w:tcPr>
          <w:p w14:paraId="6F710612">
            <w:r>
              <w:rPr>
                <w:rFonts w:ascii="微软雅黑" w:hAnsi="微软雅黑" w:eastAsia="微软雅黑"/>
                <w:sz w:val="20"/>
              </w:rPr>
              <w:t>P0 因子不可为空</w:t>
            </w:r>
          </w:p>
        </w:tc>
        <w:tc>
          <w:tcPr>
            <w:tcW w:w="3402" w:type="dxa"/>
          </w:tcPr>
          <w:p w14:paraId="1623AA23">
            <w:r>
              <w:rPr>
                <w:rFonts w:ascii="微软雅黑" w:hAnsi="微软雅黑" w:eastAsia="微软雅黑"/>
                <w:sz w:val="20"/>
              </w:rPr>
              <w:t>重试 3 次 → 失败沿用前一日值</w:t>
            </w:r>
          </w:p>
        </w:tc>
      </w:tr>
      <w:tr w14:paraId="03989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417993C">
            <w:r>
              <w:rPr>
                <w:rFonts w:ascii="微软雅黑" w:hAnsi="微软雅黑" w:eastAsia="微软雅黑"/>
                <w:sz w:val="20"/>
              </w:rPr>
              <w:t>合理范围</w:t>
            </w:r>
          </w:p>
        </w:tc>
        <w:tc>
          <w:tcPr>
            <w:tcW w:w="2835" w:type="dxa"/>
          </w:tcPr>
          <w:p w14:paraId="75BE14BD">
            <w:r>
              <w:rPr>
                <w:rFonts w:ascii="微软雅黑" w:hAnsi="微软雅黑" w:eastAsia="微软雅黑"/>
                <w:sz w:val="20"/>
              </w:rPr>
              <w:t>WTI ∈ [10,200]，VIX ∈ [5,90]</w:t>
            </w:r>
          </w:p>
        </w:tc>
        <w:tc>
          <w:tcPr>
            <w:tcW w:w="3402" w:type="dxa"/>
          </w:tcPr>
          <w:p w14:paraId="29A4F60D">
            <w:r>
              <w:rPr>
                <w:rFonts w:ascii="微软雅黑" w:hAnsi="微软雅黑" w:eastAsia="微软雅黑"/>
                <w:sz w:val="20"/>
              </w:rPr>
              <w:t>超范围不入库，记告警</w:t>
            </w:r>
          </w:p>
        </w:tc>
      </w:tr>
      <w:tr w14:paraId="39038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1A9311F">
            <w:r>
              <w:rPr>
                <w:rFonts w:ascii="微软雅黑" w:hAnsi="微软雅黑" w:eastAsia="微软雅黑"/>
                <w:sz w:val="20"/>
              </w:rPr>
              <w:t>日偏差</w:t>
            </w:r>
          </w:p>
        </w:tc>
        <w:tc>
          <w:tcPr>
            <w:tcW w:w="2835" w:type="dxa"/>
          </w:tcPr>
          <w:p w14:paraId="602E2D39">
            <w:r>
              <w:rPr>
                <w:rFonts w:ascii="微软雅黑" w:hAnsi="微软雅黑" w:eastAsia="微软雅黑"/>
                <w:sz w:val="20"/>
              </w:rPr>
              <w:t>与前日变化 &gt; 20%</w:t>
            </w:r>
          </w:p>
        </w:tc>
        <w:tc>
          <w:tcPr>
            <w:tcW w:w="3402" w:type="dxa"/>
          </w:tcPr>
          <w:p w14:paraId="1093F87B">
            <w:r>
              <w:rPr>
                <w:rFonts w:ascii="微软雅黑" w:hAnsi="微软雅黑" w:eastAsia="微软雅黑"/>
                <w:sz w:val="20"/>
              </w:rPr>
              <w:t>入库但标记「待核查」</w:t>
            </w:r>
          </w:p>
        </w:tc>
      </w:tr>
      <w:tr w14:paraId="017B3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43E9EDD">
            <w:r>
              <w:rPr>
                <w:rFonts w:ascii="微软雅黑" w:hAnsi="微软雅黑" w:eastAsia="微软雅黑"/>
                <w:sz w:val="20"/>
              </w:rPr>
              <w:t>交易日判断</w:t>
            </w:r>
          </w:p>
        </w:tc>
        <w:tc>
          <w:tcPr>
            <w:tcW w:w="2835" w:type="dxa"/>
          </w:tcPr>
          <w:p w14:paraId="1AFE5F84">
            <w:r>
              <w:rPr>
                <w:rFonts w:ascii="微软雅黑" w:hAnsi="微软雅黑" w:eastAsia="微软雅黑"/>
                <w:sz w:val="20"/>
              </w:rPr>
              <w:t>跳过周末和美国公休</w:t>
            </w:r>
          </w:p>
        </w:tc>
        <w:tc>
          <w:tcPr>
            <w:tcW w:w="3402" w:type="dxa"/>
          </w:tcPr>
          <w:p w14:paraId="754C270E">
            <w:r>
              <w:rPr>
                <w:rFonts w:ascii="微软雅黑" w:hAnsi="微软雅黑" w:eastAsia="微软雅黑"/>
                <w:sz w:val="20"/>
              </w:rPr>
              <w:t>pandas_market_calendars</w:t>
            </w:r>
          </w:p>
        </w:tc>
      </w:tr>
    </w:tbl>
    <w:p w14:paraId="335BBA97"/>
    <w:p w14:paraId="1ED55701">
      <w:pPr>
        <w:spacing w:before="120"/>
      </w:pPr>
      <w:r>
        <w:rPr>
          <w:rFonts w:ascii="微软雅黑" w:hAnsi="微软雅黑" w:eastAsia="微软雅黑"/>
          <w:b/>
          <w:sz w:val="22"/>
        </w:rPr>
        <w:t>推理容错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441AA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8E8"/>
          </w:tcPr>
          <w:p w14:paraId="74F45F65"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w="5669" w:type="dxa"/>
            <w:shd w:val="clear" w:color="auto" w:fill="E8E8E8"/>
          </w:tcPr>
          <w:p w14:paraId="595B56FB">
            <w:r>
              <w:rPr>
                <w:rFonts w:ascii="微软雅黑" w:hAnsi="微软雅黑" w:eastAsia="微软雅黑"/>
                <w:b/>
                <w:sz w:val="20"/>
              </w:rPr>
              <w:t>处理</w:t>
            </w:r>
          </w:p>
        </w:tc>
      </w:tr>
      <w:tr w14:paraId="63FED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FA60D0F">
            <w:r>
              <w:rPr>
                <w:rFonts w:ascii="微软雅黑" w:hAnsi="微软雅黑" w:eastAsia="微软雅黑"/>
                <w:sz w:val="20"/>
              </w:rPr>
              <w:t>部分因子缺失</w:t>
            </w:r>
          </w:p>
        </w:tc>
        <w:tc>
          <w:tcPr>
            <w:tcW w:w="5669" w:type="dxa"/>
          </w:tcPr>
          <w:p w14:paraId="2801A8B9">
            <w:r>
              <w:rPr>
                <w:rFonts w:ascii="微软雅黑" w:hAnsi="微软雅黑" w:eastAsia="微软雅黑"/>
                <w:sz w:val="20"/>
              </w:rPr>
              <w:t>P0 沿用前日 + 标记；P2/P3 ffill 填充</w:t>
            </w:r>
          </w:p>
        </w:tc>
      </w:tr>
      <w:tr w14:paraId="356DB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8D5502">
            <w:r>
              <w:rPr>
                <w:rFonts w:ascii="微软雅黑" w:hAnsi="微软雅黑" w:eastAsia="微软雅黑"/>
                <w:sz w:val="20"/>
              </w:rPr>
              <w:t>全部采集失败</w:t>
            </w:r>
          </w:p>
        </w:tc>
        <w:tc>
          <w:tcPr>
            <w:tcW w:w="5669" w:type="dxa"/>
          </w:tcPr>
          <w:p w14:paraId="4E9B19E8">
            <w:r>
              <w:rPr>
                <w:rFonts w:ascii="微软雅黑" w:hAnsi="微软雅黑" w:eastAsia="微软雅黑"/>
                <w:sz w:val="20"/>
              </w:rPr>
              <w:t>不推理，保留上次结果</w:t>
            </w:r>
          </w:p>
        </w:tc>
      </w:tr>
      <w:tr w14:paraId="61331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E07860C">
            <w:r>
              <w:rPr>
                <w:rFonts w:ascii="微软雅黑" w:hAnsi="微软雅黑" w:eastAsia="微软雅黑"/>
                <w:sz w:val="20"/>
              </w:rPr>
              <w:t>推理异常</w:t>
            </w:r>
          </w:p>
        </w:tc>
        <w:tc>
          <w:tcPr>
            <w:tcW w:w="5669" w:type="dxa"/>
          </w:tcPr>
          <w:p w14:paraId="41F920D3">
            <w:r>
              <w:rPr>
                <w:rFonts w:ascii="微软雅黑" w:hAnsi="微软雅黑" w:eastAsia="微软雅黑"/>
                <w:sz w:val="20"/>
              </w:rPr>
              <w:t>捕获回退，记错误日志</w:t>
            </w:r>
          </w:p>
        </w:tc>
      </w:tr>
      <w:tr w14:paraId="1F7F8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7433574">
            <w:r>
              <w:rPr>
                <w:rFonts w:ascii="微软雅黑" w:hAnsi="微软雅黑" w:eastAsia="微软雅黑"/>
                <w:sz w:val="20"/>
              </w:rPr>
              <w:t>DB 连接失败</w:t>
            </w:r>
          </w:p>
        </w:tc>
        <w:tc>
          <w:tcPr>
            <w:tcW w:w="5669" w:type="dxa"/>
          </w:tcPr>
          <w:p w14:paraId="38404312">
            <w:r>
              <w:rPr>
                <w:rFonts w:ascii="微软雅黑" w:hAnsi="微软雅黑" w:eastAsia="微软雅黑"/>
                <w:sz w:val="20"/>
              </w:rPr>
              <w:t>回退 CSV 模式</w:t>
            </w:r>
          </w:p>
        </w:tc>
      </w:tr>
      <w:tr w14:paraId="377E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A7C33E5">
            <w:r>
              <w:rPr>
                <w:rFonts w:ascii="微软雅黑" w:hAnsi="微软雅黑" w:eastAsia="微软雅黑"/>
                <w:sz w:val="20"/>
              </w:rPr>
              <w:t>LLM 不可用</w:t>
            </w:r>
          </w:p>
        </w:tc>
        <w:tc>
          <w:tcPr>
            <w:tcW w:w="5669" w:type="dxa"/>
          </w:tcPr>
          <w:p w14:paraId="4278F5F7">
            <w:r>
              <w:rPr>
                <w:rFonts w:ascii="微软雅黑" w:hAnsi="微软雅黑" w:eastAsia="微软雅黑"/>
                <w:sz w:val="20"/>
              </w:rPr>
              <w:t>返回 Mock 模板</w:t>
            </w:r>
          </w:p>
        </w:tc>
      </w:tr>
    </w:tbl>
    <w:p w14:paraId="75F97ED4"/>
    <w:p w14:paraId="75FD8723">
      <w:pPr>
        <w:spacing w:before="120"/>
      </w:pPr>
      <w:r>
        <w:rPr>
          <w:rFonts w:ascii="微软雅黑" w:hAnsi="微软雅黑" w:eastAsia="微软雅黑"/>
          <w:b/>
          <w:sz w:val="22"/>
        </w:rPr>
        <w:t>安全防护</w:t>
      </w:r>
    </w:p>
    <w:p w14:paraId="3B949841">
      <w:pPr>
        <w:pStyle w:val="16"/>
      </w:pPr>
      <w:r>
        <w:rPr>
          <w:rFonts w:ascii="微软雅黑" w:hAnsi="微软雅黑" w:eastAsia="微软雅黑"/>
          <w:sz w:val="22"/>
        </w:rPr>
        <w:t>SQL 注入：后端对 sort/order/level 参数做白名单校验</w:t>
      </w:r>
    </w:p>
    <w:p w14:paraId="5553F90E">
      <w:pPr>
        <w:pStyle w:val="16"/>
      </w:pPr>
      <w:r>
        <w:rPr>
          <w:rFonts w:ascii="微软雅黑" w:hAnsi="微软雅黑" w:eastAsia="微软雅黑"/>
          <w:sz w:val="22"/>
        </w:rPr>
        <w:t>参数校验：Pydantic (Python) + Spring Validation (Java)</w:t>
      </w:r>
    </w:p>
    <w:p w14:paraId="024DBA77">
      <w:pPr>
        <w:pStyle w:val="16"/>
      </w:pPr>
      <w:r>
        <w:rPr>
          <w:rFonts w:ascii="微软雅黑" w:hAnsi="微软雅黑" w:eastAsia="微软雅黑"/>
          <w:sz w:val="22"/>
        </w:rPr>
        <w:t>API Key 脱敏：LLM 配置 GET 接口对 Key 做掩码处理</w:t>
      </w:r>
    </w:p>
    <w:p w14:paraId="1B1D6D7A">
      <w:pPr>
        <w:pStyle w:val="4"/>
      </w:pPr>
      <w:r>
        <w:t>2.4 部署与配置</w:t>
      </w:r>
    </w:p>
    <w:p w14:paraId="7F903E26">
      <w:pPr>
        <w:spacing w:before="120"/>
      </w:pPr>
      <w:r>
        <w:rPr>
          <w:rFonts w:ascii="微软雅黑" w:hAnsi="微软雅黑" w:eastAsia="微软雅黑"/>
          <w:b/>
          <w:sz w:val="22"/>
        </w:rPr>
        <w:t>启动顺序</w:t>
      </w:r>
    </w:p>
    <w:p w14:paraId="2A84212E">
      <w:pPr>
        <w:shd w:val="clear" w:color="auto" w:fill="F5F5F5"/>
        <w:spacing w:before="80" w:after="80"/>
      </w:pPr>
      <w:r>
        <w:rPr>
          <w:rFonts w:ascii="Consolas" w:hAnsi="Consolas" w:eastAsia="微软雅黑"/>
          <w:sz w:val="18"/>
        </w:rPr>
        <w:t>1. MySQL         确保 oilrisk 数据库存在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2. Python 引擎   cd python_engine &amp;&amp; uvicorn app:app --host 0.0.0.0 --port 5000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3. Java 后端     mvnw spring-boot:run  (或 IDE 运行)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4. 前端          cd frontend &amp;&amp; npm install &amp;&amp; npm run dev</w:t>
      </w:r>
    </w:p>
    <w:p w14:paraId="37961206">
      <w:pPr>
        <w:spacing w:before="160"/>
      </w:pPr>
      <w:r>
        <w:rPr>
          <w:rFonts w:ascii="微软雅黑" w:hAnsi="微软雅黑" w:eastAsia="微软雅黑"/>
          <w:b/>
          <w:sz w:val="22"/>
        </w:rPr>
        <w:t>后端配置 (application.properties)</w:t>
      </w:r>
    </w:p>
    <w:p w14:paraId="3DD7940F">
      <w:pPr>
        <w:shd w:val="clear" w:color="auto" w:fill="F5F5F5"/>
        <w:spacing w:before="80" w:after="80"/>
      </w:pPr>
      <w:r>
        <w:rPr>
          <w:rFonts w:ascii="Consolas" w:hAnsi="Consolas" w:eastAsia="微软雅黑"/>
          <w:sz w:val="18"/>
        </w:rPr>
        <w:t>server.port=8080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spring.datasource.url=jdbc:mysql://localhost:3306/oilrisk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spring.datasource.username=root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spring.datasource.password=******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spring.sql.init.mode=never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python.engine.url=http://localhost:5000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llm.api.url=https://apis.iflow.cn/v1/chat/completions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llm.api.model=qwen3-max</w:t>
      </w:r>
    </w:p>
    <w:p w14:paraId="69FF22A5">
      <w:pPr>
        <w:spacing w:before="160"/>
      </w:pPr>
      <w:r>
        <w:rPr>
          <w:rFonts w:ascii="微软雅黑" w:hAnsi="微软雅黑" w:eastAsia="微软雅黑"/>
          <w:b/>
          <w:sz w:val="22"/>
        </w:rPr>
        <w:t>Python 环境变量</w:t>
      </w:r>
    </w:p>
    <w:p w14:paraId="4C6DB108">
      <w:pPr>
        <w:shd w:val="clear" w:color="auto" w:fill="F5F5F5"/>
        <w:spacing w:before="80" w:after="80"/>
      </w:pPr>
      <w:r>
        <w:rPr>
          <w:rFonts w:ascii="Consolas" w:hAnsi="Consolas" w:eastAsia="微软雅黑"/>
          <w:sz w:val="18"/>
        </w:rPr>
        <w:t>FRED_API_KEY=...              # FRED 数据 API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EIA_API_KEY=...               # EIA 能源数据 API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HTTPS_PROXY=http://127.0.0.1:7897  # 代理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DB_HOST=localhost / DB_PORT=3306 / DB_NAME=oilrisk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COLLECT_ON_STARTUP=false      # 启动时是否立即采集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BACKFILL_ON_STARTUP=true      # 启动时自动检测缺口并回填</w:t>
      </w:r>
    </w:p>
    <w:p w14:paraId="36719597">
      <w:pPr>
        <w:spacing w:before="160"/>
      </w:pPr>
      <w:r>
        <w:rPr>
          <w:rFonts w:ascii="微软雅黑" w:hAnsi="微软雅黑" w:eastAsia="微软雅黑"/>
          <w:b/>
          <w:sz w:val="22"/>
        </w:rPr>
        <w:t>关键依赖</w:t>
      </w:r>
    </w:p>
    <w:p w14:paraId="50FFF306">
      <w:pPr>
        <w:shd w:val="clear" w:color="auto" w:fill="F5F5F5"/>
        <w:spacing w:before="80" w:after="80"/>
      </w:pPr>
      <w:r>
        <w:rPr>
          <w:rFonts w:ascii="Consolas" w:hAnsi="Consolas" w:eastAsia="微软雅黑"/>
          <w:sz w:val="18"/>
        </w:rPr>
        <w:t>fastapi&gt;=0.115.0  uvicorn&gt;=0.30.0  pandas&gt;=2.2.0  numpy&gt;=1.26.0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scikit-learn&gt;=1.5  torch&gt;=2.5.0  xgboost&gt;=2.1.0  shap&gt;=0.46.0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yfinance&gt;=0.2.36  fredapi&gt;=0.5.1  apscheduler&gt;=3.10.4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pymysql&gt;=1.1.0  sqlalchemy&gt;=2.0.0  python-dotenv&gt;=1.0.0</w:t>
      </w:r>
    </w:p>
    <w:p w14:paraId="2549497F">
      <w:r>
        <w:br w:type="page"/>
      </w:r>
    </w:p>
    <w:p w14:paraId="44FDA9E0">
      <w:pPr>
        <w:pStyle w:val="3"/>
      </w:pPr>
      <w:r>
        <w:t>3. 用户手册</w:t>
      </w:r>
    </w:p>
    <w:p w14:paraId="465CA3DB">
      <w:pPr>
        <w:pStyle w:val="4"/>
      </w:pPr>
      <w:r>
        <w:t>3.1 系统启动</w:t>
      </w:r>
    </w:p>
    <w:p w14:paraId="76D1AC1E">
      <w:pPr>
        <w:ind w:firstLine="425"/>
      </w:pPr>
      <w:r>
        <w:rPr>
          <w:rFonts w:ascii="微软雅黑" w:hAnsi="微软雅黑" w:eastAsia="微软雅黑"/>
        </w:rPr>
        <w:t>按照 2.4 节描述的启动顺序依次启动 MySQL → Python 引擎 → Java 后端 → 前端开发服务器。全部启动完成后，浏览器访问 http://localhost:5173 即可进入系统。系统默认展示近两年数据（2024-至今），可通过顶部时间范围按钮切换为 1y/2y/5y/all。</w:t>
      </w:r>
    </w:p>
    <w:p w14:paraId="7D0C4200">
      <w:pPr>
        <w:pStyle w:val="4"/>
      </w:pPr>
      <w:r>
        <w:t>3.2 核心功能操作</w:t>
      </w:r>
    </w:p>
    <w:p w14:paraId="61AB9F24">
      <w:pPr>
        <w:pStyle w:val="5"/>
      </w:pPr>
      <w:r>
        <w:t>3.2.1 风险总览仪表盘</w:t>
      </w:r>
    </w:p>
    <w:p w14:paraId="0EC7E5CC">
      <w:pPr>
        <w:jc w:val="center"/>
      </w:pPr>
      <w:r>
        <w:drawing>
          <wp:inline distT="0" distB="0" distL="114300" distR="114300">
            <wp:extent cx="5029200" cy="273050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A14C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 1  风险总览仪表盘</w:t>
      </w:r>
    </w:p>
    <w:p w14:paraId="53676DB5">
      <w:pPr>
        <w:ind w:firstLine="425"/>
      </w:pPr>
      <w:r>
        <w:rPr>
          <w:rFonts w:ascii="微软雅黑" w:hAnsi="微软雅黑" w:eastAsia="微软雅黑"/>
        </w:rPr>
        <w:t>风险总览页是系统的核心入口，提供全局风险态势的一站式感知：</w:t>
      </w:r>
    </w:p>
    <w:p w14:paraId="49BAB9F8">
      <w:pPr>
        <w:pStyle w:val="16"/>
      </w:pPr>
      <w:r>
        <w:rPr>
          <w:rFonts w:ascii="微软雅黑" w:hAnsi="微软雅黑" w:eastAsia="微软雅黑"/>
          <w:sz w:val="22"/>
        </w:rPr>
        <w:t>风险仪表盘（左上）：以 0-100 环形仪表展示当前综合风险评分，颜色随级别变化（绿/黄/红）。</w:t>
      </w:r>
    </w:p>
    <w:p w14:paraId="1D4E4338">
      <w:pPr>
        <w:pStyle w:val="16"/>
      </w:pPr>
      <w:r>
        <w:rPr>
          <w:rFonts w:ascii="微软雅黑" w:hAnsi="微软雅黑" w:eastAsia="微软雅黑"/>
          <w:sz w:val="22"/>
        </w:rPr>
        <w:t>油价-风险趋势双轴图（右上）：叠加展示 WTI 油价走势与风险指数时序曲线，标注预警散点标记，支持 dataZoom 缩放浏览。</w:t>
      </w:r>
    </w:p>
    <w:p w14:paraId="5FA9E4C3">
      <w:pPr>
        <w:pStyle w:val="16"/>
      </w:pPr>
      <w:r>
        <w:rPr>
          <w:rFonts w:ascii="微软雅黑" w:hAnsi="微软雅黑" w:eastAsia="微软雅黑"/>
          <w:sz w:val="22"/>
        </w:rPr>
        <w:t>五维因子雷达图（左中）：供需、宏观、金融、地缘、情绪五类因子的综合评分，直观显示风险驱动来源。</w:t>
      </w:r>
    </w:p>
    <w:p w14:paraId="1021A572">
      <w:pPr>
        <w:pStyle w:val="16"/>
      </w:pPr>
      <w:r>
        <w:rPr>
          <w:rFonts w:ascii="微软雅黑" w:hAnsi="微软雅黑" w:eastAsia="微软雅黑"/>
          <w:sz w:val="22"/>
        </w:rPr>
        <w:t>Top5 因子贡献条形图（左下）：基于 SHAP 值的前 5 个关键驱动因子及其贡献度。</w:t>
      </w:r>
    </w:p>
    <w:p w14:paraId="60A487EE">
      <w:pPr>
        <w:pStyle w:val="16"/>
      </w:pPr>
      <w:r>
        <w:rPr>
          <w:rFonts w:ascii="微软雅黑" w:hAnsi="微软雅黑" w:eastAsia="微软雅黑"/>
          <w:sz w:val="22"/>
        </w:rPr>
        <w:t>三模型信号面板（右中）：分别展示 LSTM 预测价格/方向/概率、XGBoost 风险值、Stacking 综合收益率及置信区间。</w:t>
      </w:r>
    </w:p>
    <w:p w14:paraId="71C54D4E">
      <w:pPr>
        <w:pStyle w:val="16"/>
      </w:pPr>
      <w:r>
        <w:rPr>
          <w:rFonts w:ascii="微软雅黑" w:hAnsi="微软雅黑" w:eastAsia="微软雅黑"/>
          <w:sz w:val="22"/>
        </w:rPr>
        <w:t>AI 风险摘要（底部）：基于 LLM 的自然语言风险分析，SSE 流式逐字输出。</w:t>
      </w:r>
    </w:p>
    <w:p w14:paraId="45400061">
      <w:pPr>
        <w:pStyle w:val="5"/>
      </w:pPr>
      <w:r>
        <w:t>3.2.2 因子分析</w:t>
      </w:r>
    </w:p>
    <w:p w14:paraId="5FB8A1C5">
      <w:pPr>
        <w:jc w:val="center"/>
      </w:pPr>
      <w:r>
        <w:drawing>
          <wp:inline distT="0" distB="0" distL="114300" distR="114300">
            <wp:extent cx="5029200" cy="3253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A149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 2  因子分析页</w:t>
      </w:r>
    </w:p>
    <w:p w14:paraId="6C49760C">
      <w:pPr>
        <w:ind w:firstLine="425"/>
      </w:pPr>
      <w:r>
        <w:rPr>
          <w:rFonts w:ascii="微软雅黑" w:hAnsi="微软雅黑" w:eastAsia="微软雅黑"/>
        </w:rPr>
        <w:t>因子分析页用于深入理解风险评分背后的驱动因素，支持用户交互式探索：</w:t>
      </w:r>
    </w:p>
    <w:p w14:paraId="7D5FD95A">
      <w:pPr>
        <w:pStyle w:val="16"/>
      </w:pPr>
      <w:r>
        <w:rPr>
          <w:rFonts w:ascii="微软雅黑" w:hAnsi="微软雅黑" w:eastAsia="微软雅黑"/>
          <w:sz w:val="22"/>
        </w:rPr>
        <w:t>SHAP 因子堆叠面积图（顶部）：按时间轴展示各类因子对风险指数的累积贡献，可观察因子结构随时间的演变。</w:t>
      </w:r>
    </w:p>
    <w:p w14:paraId="08B52D6F">
      <w:pPr>
        <w:pStyle w:val="16"/>
      </w:pPr>
      <w:r>
        <w:rPr>
          <w:rFonts w:ascii="微软雅黑" w:hAnsi="微软雅黑" w:eastAsia="微软雅黑"/>
          <w:sz w:val="22"/>
        </w:rPr>
        <w:t>Top10 SHAP 贡献条形图（左下）：正负双色水平条形图，红色表示推高风险的因子，绿色表示降低风险的因子。</w:t>
      </w:r>
    </w:p>
    <w:p w14:paraId="5F47FF15">
      <w:pPr>
        <w:pStyle w:val="16"/>
      </w:pPr>
      <w:r>
        <w:rPr>
          <w:rFonts w:ascii="微软雅黑" w:hAnsi="微软雅黑" w:eastAsia="微软雅黑"/>
          <w:sz w:val="22"/>
        </w:rPr>
        <w:t>五维雷达图 + 风险评分公式 + 因子类别权重滑块（右下）：用户可拖动滑块调整五类因子的权重比例，debounce 300ms 后实时触发重算，雷达图和评分动画过渡更新。</w:t>
      </w:r>
    </w:p>
    <w:p w14:paraId="68639E3D">
      <w:pPr>
        <w:pStyle w:val="5"/>
      </w:pPr>
      <w:r>
        <w:t>3.2.3 预警记录</w:t>
      </w:r>
    </w:p>
    <w:p w14:paraId="6A373013">
      <w:pPr>
        <w:jc w:val="center"/>
      </w:pPr>
      <w:r>
        <w:drawing>
          <wp:inline distT="0" distB="0" distL="114300" distR="114300">
            <wp:extent cx="5029200" cy="2560320"/>
            <wp:effectExtent l="0" t="0" r="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91FA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 3  预警记录页</w:t>
      </w:r>
    </w:p>
    <w:p w14:paraId="2BB19445">
      <w:pPr>
        <w:ind w:firstLine="425"/>
      </w:pPr>
      <w:r>
        <w:rPr>
          <w:rFonts w:ascii="微软雅黑" w:hAnsi="微软雅黑" w:eastAsia="微软雅黑"/>
        </w:rPr>
        <w:t>预警记录页集中管理系统生成的所有风险预警，支持回溯和深入分析：</w:t>
      </w:r>
    </w:p>
    <w:p w14:paraId="614F1DA2">
      <w:pPr>
        <w:pStyle w:val="16"/>
      </w:pPr>
      <w:r>
        <w:rPr>
          <w:rFonts w:ascii="微软雅黑" w:hAnsi="微软雅黑" w:eastAsia="微软雅黑"/>
          <w:sz w:val="22"/>
        </w:rPr>
        <w:t>级别筛选标签（顶部）：All / High / Medium / Low 快速切换。</w:t>
      </w:r>
    </w:p>
    <w:p w14:paraId="33EC3736">
      <w:pPr>
        <w:pStyle w:val="16"/>
      </w:pPr>
      <w:r>
        <w:rPr>
          <w:rFonts w:ascii="微软雅黑" w:hAnsi="微软雅黑" w:eastAsia="微软雅黑"/>
          <w:sz w:val="22"/>
        </w:rPr>
        <w:t>预警列表表格：展示日期、等级、风险指数、触发因子、摘要等关键字段，支持分页浏览和排序。</w:t>
      </w:r>
    </w:p>
    <w:p w14:paraId="58BEA81B">
      <w:pPr>
        <w:pStyle w:val="16"/>
      </w:pPr>
      <w:r>
        <w:rPr>
          <w:rFonts w:ascii="微软雅黑" w:hAnsi="微软雅黑" w:eastAsia="微软雅黑"/>
          <w:sz w:val="22"/>
        </w:rPr>
        <w:t>触发规则详情（展开行）：点击预警行可展开查看完整触发规则链（阈值/趋势/异动触发）及具体参数。</w:t>
      </w:r>
    </w:p>
    <w:p w14:paraId="0C1F78CC">
      <w:pPr>
        <w:pStyle w:val="16"/>
      </w:pPr>
      <w:r>
        <w:rPr>
          <w:rFonts w:ascii="微软雅黑" w:hAnsi="微软雅黑" w:eastAsia="微软雅黑"/>
          <w:sz w:val="22"/>
        </w:rPr>
        <w:t>AI 报告生成：点击「重新生成」按钮调用 LLM 生成详细分析报告，SSE 流式输出，结果自动缓存。</w:t>
      </w:r>
    </w:p>
    <w:p w14:paraId="4540024A">
      <w:pPr>
        <w:pStyle w:val="5"/>
      </w:pPr>
      <w:r>
        <w:t>3.2.4 模型回测</w:t>
      </w:r>
    </w:p>
    <w:p w14:paraId="0F429F3C">
      <w:pPr>
        <w:jc w:val="center"/>
      </w:pPr>
      <w:r>
        <w:drawing>
          <wp:inline distT="0" distB="0" distL="114300" distR="114300">
            <wp:extent cx="5029200" cy="27031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0D0A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 4  模型回测页</w:t>
      </w:r>
    </w:p>
    <w:p w14:paraId="5B06A580">
      <w:pPr>
        <w:ind w:firstLine="425"/>
      </w:pPr>
      <w:r>
        <w:rPr>
          <w:rFonts w:ascii="微软雅黑" w:hAnsi="微软雅黑" w:eastAsia="微软雅黑"/>
        </w:rPr>
        <w:t>模型回测页用于验证预测模型在历史数据上的表现，帮助评估模型可靠性：</w:t>
      </w:r>
    </w:p>
    <w:p w14:paraId="473EBEFE">
      <w:pPr>
        <w:pStyle w:val="16"/>
      </w:pPr>
      <w:r>
        <w:rPr>
          <w:rFonts w:ascii="微软雅黑" w:hAnsi="微软雅黑" w:eastAsia="微软雅黑"/>
          <w:sz w:val="22"/>
        </w:rPr>
        <w:t>参数配置区（顶部）：选择起始/结束日期和模</w:t>
      </w:r>
      <w:bookmarkStart w:id="0" w:name="_GoBack"/>
      <w:bookmarkEnd w:id="0"/>
      <w:r>
        <w:rPr>
          <w:rFonts w:ascii="微软雅黑" w:hAnsi="微软雅黑" w:eastAsia="微软雅黑"/>
          <w:sz w:val="22"/>
        </w:rPr>
        <w:t>型类型（XGBoost / LSTM / Stacking），支持多模型同时勾选对比。</w:t>
      </w:r>
    </w:p>
    <w:p w14:paraId="359B664A">
      <w:pPr>
        <w:pStyle w:val="16"/>
      </w:pPr>
      <w:r>
        <w:rPr>
          <w:rFonts w:ascii="微软雅黑" w:hAnsi="微软雅黑" w:eastAsia="微软雅黑"/>
          <w:sz w:val="22"/>
        </w:rPr>
        <w:t>预测值对比折线图（中部）：实际风险指数（实线）与各模型预测值（彩色折线）叠加展示，鼠标悬浮可查看精确数值。</w:t>
      </w:r>
    </w:p>
    <w:p w14:paraId="5625F1C1">
      <w:pPr>
        <w:pStyle w:val="16"/>
      </w:pPr>
      <w:r>
        <w:rPr>
          <w:rFonts w:ascii="微软雅黑" w:hAnsi="微软雅黑" w:eastAsia="微软雅黑"/>
          <w:sz w:val="22"/>
        </w:rPr>
        <w:t>性能指标卡片（底部）：命中率、追踪率、平均绝对误差、方向准确率四项核心评估指标。</w:t>
      </w:r>
    </w:p>
    <w:p w14:paraId="2E00CFF7">
      <w:r>
        <w:br w:type="page"/>
      </w:r>
    </w:p>
    <w:p w14:paraId="262431AB">
      <w:pPr>
        <w:pStyle w:val="4"/>
      </w:pPr>
      <w:r>
        <w:t>附录：关键技术决策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2ADA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8E8"/>
          </w:tcPr>
          <w:p w14:paraId="647DDE5C">
            <w:r>
              <w:rPr>
                <w:rFonts w:ascii="微软雅黑" w:hAnsi="微软雅黑" w:eastAsia="微软雅黑"/>
                <w:b/>
                <w:sz w:val="20"/>
              </w:rPr>
              <w:t>决策</w:t>
            </w:r>
          </w:p>
        </w:tc>
        <w:tc>
          <w:tcPr>
            <w:tcW w:w="5669" w:type="dxa"/>
            <w:shd w:val="clear" w:color="auto" w:fill="E8E8E8"/>
          </w:tcPr>
          <w:p w14:paraId="1C011004"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DDA9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E730CB2">
            <w:r>
              <w:rPr>
                <w:rFonts w:ascii="微软雅黑" w:hAnsi="微软雅黑" w:eastAsia="微软雅黑"/>
                <w:sz w:val="20"/>
              </w:rPr>
              <w:t>Stacking 而非单模型</w:t>
            </w:r>
          </w:p>
        </w:tc>
        <w:tc>
          <w:tcPr>
            <w:tcW w:w="5669" w:type="dxa"/>
          </w:tcPr>
          <w:p w14:paraId="40C42507">
            <w:r>
              <w:rPr>
                <w:rFonts w:ascii="微软雅黑" w:hAnsi="微软雅黑" w:eastAsia="微软雅黑"/>
                <w:sz w:val="20"/>
              </w:rPr>
              <w:t>LSTM 擅长趋势，XGBoost 擅长极端冲击，Ridge 融合两者 + 市场状态</w:t>
            </w:r>
          </w:p>
        </w:tc>
      </w:tr>
      <w:tr w14:paraId="514D6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31DEE85">
            <w:r>
              <w:rPr>
                <w:rFonts w:ascii="微软雅黑" w:hAnsi="微软雅黑" w:eastAsia="微软雅黑"/>
                <w:sz w:val="20"/>
              </w:rPr>
              <w:t>SHAP 而非 Gain</w:t>
            </w:r>
          </w:p>
        </w:tc>
        <w:tc>
          <w:tcPr>
            <w:tcW w:w="5669" w:type="dxa"/>
          </w:tcPr>
          <w:p w14:paraId="66491C67">
            <w:r>
              <w:rPr>
                <w:rFonts w:ascii="微软雅黑" w:hAnsi="微软雅黑" w:eastAsia="微软雅黑"/>
                <w:sz w:val="20"/>
              </w:rPr>
              <w:t>SHAP 提供方向性归因（正/负贡献），Gain 仅衡量特征使用频率</w:t>
            </w:r>
          </w:p>
        </w:tc>
      </w:tr>
      <w:tr w14:paraId="45040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0B77793">
            <w:r>
              <w:rPr>
                <w:rFonts w:ascii="微软雅黑" w:hAnsi="微软雅黑" w:eastAsia="微软雅黑"/>
                <w:sz w:val="20"/>
              </w:rPr>
              <w:t>RobustScaler</w:t>
            </w:r>
          </w:p>
        </w:tc>
        <w:tc>
          <w:tcPr>
            <w:tcW w:w="5669" w:type="dxa"/>
          </w:tcPr>
          <w:p w14:paraId="0F2BF182">
            <w:r>
              <w:rPr>
                <w:rFonts w:ascii="微软雅黑" w:hAnsi="微软雅黑" w:eastAsia="微软雅黑"/>
                <w:sz w:val="20"/>
              </w:rPr>
              <w:t>金融数据含异常值（如油价负值事件），比 StandardScaler 更稳健</w:t>
            </w:r>
          </w:p>
        </w:tc>
      </w:tr>
      <w:tr w14:paraId="26D6E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A9C7331">
            <w:r>
              <w:rPr>
                <w:rFonts w:ascii="微软雅黑" w:hAnsi="微软雅黑" w:eastAsia="微软雅黑"/>
                <w:sz w:val="20"/>
              </w:rPr>
              <w:t>时序严格切分</w:t>
            </w:r>
          </w:p>
        </w:tc>
        <w:tc>
          <w:tcPr>
            <w:tcW w:w="5669" w:type="dxa"/>
          </w:tcPr>
          <w:p w14:paraId="0B38E2F2">
            <w:r>
              <w:rPr>
                <w:rFonts w:ascii="微软雅黑" w:hAnsi="微软雅黑" w:eastAsia="微软雅黑"/>
                <w:sz w:val="20"/>
              </w:rPr>
              <w:t>70/15/15 按时间顺序，不 shuffle，防止未来信息泄漏</w:t>
            </w:r>
          </w:p>
        </w:tc>
      </w:tr>
      <w:tr w14:paraId="5D0E9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79713CC">
            <w:r>
              <w:rPr>
                <w:rFonts w:ascii="微软雅黑" w:hAnsi="微软雅黑" w:eastAsia="微软雅黑"/>
                <w:sz w:val="20"/>
              </w:rPr>
              <w:t>cls_weight=0.5</w:t>
            </w:r>
          </w:p>
        </w:tc>
        <w:tc>
          <w:tcPr>
            <w:tcW w:w="5669" w:type="dxa"/>
          </w:tcPr>
          <w:p w14:paraId="24B471BA">
            <w:r>
              <w:rPr>
                <w:rFonts w:ascii="微软雅黑" w:hAnsi="微软雅黑" w:eastAsia="微软雅黑"/>
                <w:sz w:val="20"/>
              </w:rPr>
              <w:t>LSTM 分类权重经 [0.1, 0.5, 1.0] 实验，0.5 为平衡点</w:t>
            </w:r>
          </w:p>
        </w:tc>
      </w:tr>
      <w:tr w14:paraId="3BA44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C6F9F89">
            <w:r>
              <w:rPr>
                <w:rFonts w:ascii="微软雅黑" w:hAnsi="微软雅黑" w:eastAsia="微软雅黑"/>
                <w:sz w:val="20"/>
              </w:rPr>
              <w:t>LTTB 降采样</w:t>
            </w:r>
          </w:p>
        </w:tc>
        <w:tc>
          <w:tcPr>
            <w:tcW w:w="5669" w:type="dxa"/>
          </w:tcPr>
          <w:p w14:paraId="07787D4A">
            <w:r>
              <w:rPr>
                <w:rFonts w:ascii="微软雅黑" w:hAnsi="微软雅黑" w:eastAsia="微软雅黑"/>
                <w:sz w:val="20"/>
              </w:rPr>
              <w:t>&gt;2000 点时自动降采样，保留视觉特征同时避免前端卡顿</w:t>
            </w:r>
          </w:p>
        </w:tc>
      </w:tr>
      <w:tr w14:paraId="72C0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363282">
            <w:r>
              <w:rPr>
                <w:rFonts w:ascii="微软雅黑" w:hAnsi="微软雅黑" w:eastAsia="微软雅黑"/>
                <w:sz w:val="20"/>
              </w:rPr>
              <w:t>AI 报告缓存</w:t>
            </w:r>
          </w:p>
        </w:tc>
        <w:tc>
          <w:tcPr>
            <w:tcW w:w="5669" w:type="dxa"/>
          </w:tcPr>
          <w:p w14:paraId="7A58BE65">
            <w:r>
              <w:rPr>
                <w:rFonts w:ascii="微软雅黑" w:hAnsi="微软雅黑" w:eastAsia="微软雅黑"/>
                <w:sz w:val="20"/>
              </w:rPr>
              <w:t>LLM 生成后存入 alert.ai_report 字段，避免重复调用</w:t>
            </w:r>
          </w:p>
        </w:tc>
      </w:tr>
      <w:tr w14:paraId="31913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EFF5386">
            <w:r>
              <w:rPr>
                <w:rFonts w:ascii="微软雅黑" w:hAnsi="微软雅黑" w:eastAsia="微软雅黑"/>
                <w:sz w:val="20"/>
              </w:rPr>
              <w:t>LLM 可选 + DB 降级</w:t>
            </w:r>
          </w:p>
        </w:tc>
        <w:tc>
          <w:tcPr>
            <w:tcW w:w="5669" w:type="dxa"/>
          </w:tcPr>
          <w:p w14:paraId="3FEB49B3">
            <w:r>
              <w:rPr>
                <w:rFonts w:ascii="微软雅黑" w:hAnsi="微软雅黑" w:eastAsia="微软雅黑"/>
                <w:sz w:val="20"/>
              </w:rPr>
              <w:t>无 API Key 回退 Mock；DB 失败回退 CSV 模式</w:t>
            </w:r>
          </w:p>
        </w:tc>
      </w:tr>
      <w:tr w14:paraId="190DA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0CC7377">
            <w:r>
              <w:rPr>
                <w:rFonts w:ascii="微软雅黑" w:hAnsi="微软雅黑" w:eastAsia="微软雅黑"/>
                <w:sz w:val="20"/>
              </w:rPr>
              <w:t>schema.sql IF NOT EXISTS</w:t>
            </w:r>
          </w:p>
        </w:tc>
        <w:tc>
          <w:tcPr>
            <w:tcW w:w="5669" w:type="dxa"/>
          </w:tcPr>
          <w:p w14:paraId="4EC44837">
            <w:r>
              <w:rPr>
                <w:rFonts w:ascii="微软雅黑" w:hAnsi="微软雅黑" w:eastAsia="微软雅黑"/>
                <w:sz w:val="20"/>
              </w:rPr>
              <w:t>避免重启时 DROP 表导致数据丢失</w:t>
            </w:r>
          </w:p>
        </w:tc>
      </w:tr>
    </w:tbl>
    <w:p w14:paraId="13FF922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akuric.(font)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kuric.(font)">
    <w:panose1 w:val="02000500000000000000"/>
    <w:charset w:val="00"/>
    <w:family w:val="auto"/>
    <w:pitch w:val="default"/>
    <w:sig w:usb0="80000043" w:usb1="40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F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A2E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A2E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A2E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1058</Words>
  <Characters>1716</Characters>
  <Lines>0</Lines>
  <Paragraphs>0</Paragraphs>
  <TotalTime>1</TotalTime>
  <ScaleCrop>false</ScaleCrop>
  <LinksUpToDate>false</LinksUpToDate>
  <CharactersWithSpaces>2902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刘伯禹</cp:lastModifiedBy>
  <dcterms:modified xsi:type="dcterms:W3CDTF">2026-03-18T04:12:06Z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eyJoZGlkIjoiMDZkMGY2ZThhYTdmOTY1YWQ3NjJmMmYzYWEwNGI2YzIiLCJ1c2VySWQiOiIxNjYwMDg2ODA4In0=</vt:lpwstr>
  </property>
  <property fmtid="{D5CDD505-2E9C-101B-9397-08002B2CF9AE}" pid="3" name="KSOProductBuildVer">
    <vt:lpwstr>2052-12.1.0.24657</vt:lpwstr>
  </property>
  <property fmtid="{D5CDD505-2E9C-101B-9397-08002B2CF9AE}" pid="4" name="ICV">
    <vt:lpwstr>40D79540A49C4D9EA09D08ADFF2C1C14_12</vt:lpwstr>
  </property>
</Properties>
</file>