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463" w:firstLineChars="2600"/>
        <w:rPr>
          <w:b/>
          <w:bCs/>
        </w:rPr>
      </w:pPr>
      <w:r>
        <w:rPr>
          <w:rFonts w:hint="eastAsia"/>
          <w:b/>
          <w:bCs/>
        </w:rPr>
        <w:t xml:space="preserve">表 </w:t>
      </w:r>
      <w:r>
        <w:rPr>
          <w:b/>
          <w:bCs/>
        </w:rPr>
        <w:t xml:space="preserve">5-1 </w:t>
      </w:r>
      <w:r>
        <w:rPr>
          <w:rFonts w:hint="eastAsia"/>
          <w:b/>
          <w:bCs/>
        </w:rPr>
        <w:t>风险登记册</w:t>
      </w:r>
    </w:p>
    <w:p>
      <w:pPr>
        <w:rPr>
          <w:b/>
          <w:bCs/>
          <w:sz w:val="27"/>
          <w:u w:val="single"/>
        </w:rPr>
      </w:pPr>
      <w:r>
        <w:rPr>
          <w:rFonts w:hint="eastAsia"/>
          <w:b/>
          <w:bCs/>
        </w:rPr>
        <w:t>项目名称：</w:t>
      </w:r>
      <w:r>
        <w:rPr>
          <w:rFonts w:hint="eastAsia"/>
          <w:u w:val="thick"/>
        </w:rPr>
        <w:t>软件缺陷分析与预测系统</w:t>
      </w:r>
      <w:r>
        <w:rPr>
          <w:b/>
          <w:bCs/>
          <w:sz w:val="27"/>
        </w:rPr>
        <w:t xml:space="preserve">       </w:t>
      </w:r>
      <w:r>
        <w:rPr>
          <w:rFonts w:hint="eastAsia"/>
          <w:b/>
          <w:bCs/>
        </w:rPr>
        <w:t>准备日期：</w:t>
      </w:r>
      <w:r>
        <w:rPr>
          <w:rFonts w:hint="eastAsia"/>
          <w:u w:val="thick"/>
        </w:rPr>
        <w:t>2022.08.31 - 2022.10.19</w:t>
      </w:r>
    </w:p>
    <w:p>
      <w:pPr>
        <w:rPr>
          <w:b/>
          <w:bCs/>
        </w:rPr>
      </w:pPr>
    </w:p>
    <w:tbl>
      <w:tblPr>
        <w:tblStyle w:val="6"/>
        <w:tblW w:w="15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2070"/>
        <w:gridCol w:w="1785"/>
        <w:gridCol w:w="1024"/>
        <w:gridCol w:w="993"/>
        <w:gridCol w:w="992"/>
        <w:gridCol w:w="921"/>
        <w:gridCol w:w="1845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920" w:type="dxa"/>
            <w:vMerge w:val="restart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风险编号</w:t>
            </w:r>
          </w:p>
        </w:tc>
        <w:tc>
          <w:tcPr>
            <w:tcW w:w="2070" w:type="dxa"/>
            <w:vMerge w:val="restart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风险描述</w:t>
            </w:r>
          </w:p>
        </w:tc>
        <w:tc>
          <w:tcPr>
            <w:tcW w:w="1785" w:type="dxa"/>
            <w:vMerge w:val="restart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概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率</w:t>
            </w:r>
          </w:p>
        </w:tc>
        <w:tc>
          <w:tcPr>
            <w:tcW w:w="3930" w:type="dxa"/>
            <w:gridSpan w:val="4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影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响</w:t>
            </w:r>
          </w:p>
        </w:tc>
        <w:tc>
          <w:tcPr>
            <w:tcW w:w="1845" w:type="dxa"/>
            <w:vMerge w:val="restart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等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级</w:t>
            </w:r>
          </w:p>
        </w:tc>
        <w:tc>
          <w:tcPr>
            <w:tcW w:w="3630" w:type="dxa"/>
            <w:vMerge w:val="restart"/>
          </w:tcPr>
          <w:p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应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  <w:jc w:val="center"/>
        </w:trPr>
        <w:tc>
          <w:tcPr>
            <w:tcW w:w="1920" w:type="dxa"/>
            <w:vMerge w:val="continue"/>
          </w:tcPr>
          <w:p>
            <w:pPr>
              <w:spacing w:line="480" w:lineRule="auto"/>
              <w:jc w:val="center"/>
            </w:pPr>
          </w:p>
        </w:tc>
        <w:tc>
          <w:tcPr>
            <w:tcW w:w="2070" w:type="dxa"/>
            <w:vMerge w:val="continue"/>
          </w:tcPr>
          <w:p>
            <w:pPr>
              <w:jc w:val="center"/>
            </w:pPr>
          </w:p>
        </w:tc>
        <w:tc>
          <w:tcPr>
            <w:tcW w:w="1785" w:type="dxa"/>
            <w:vMerge w:val="continue"/>
          </w:tcPr>
          <w:p>
            <w:pPr>
              <w:jc w:val="center"/>
            </w:pPr>
          </w:p>
        </w:tc>
        <w:tc>
          <w:tcPr>
            <w:tcW w:w="1024" w:type="dxa"/>
          </w:tcPr>
          <w:p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范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围</w:t>
            </w:r>
          </w:p>
        </w:tc>
        <w:tc>
          <w:tcPr>
            <w:tcW w:w="993" w:type="dxa"/>
          </w:tcPr>
          <w:p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 量</w:t>
            </w:r>
          </w:p>
        </w:tc>
        <w:tc>
          <w:tcPr>
            <w:tcW w:w="992" w:type="dxa"/>
          </w:tcPr>
          <w:p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 度</w:t>
            </w:r>
          </w:p>
        </w:tc>
        <w:tc>
          <w:tcPr>
            <w:tcW w:w="921" w:type="dxa"/>
          </w:tcPr>
          <w:p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1845" w:type="dxa"/>
            <w:vMerge w:val="continue"/>
          </w:tcPr>
          <w:p>
            <w:pPr>
              <w:jc w:val="center"/>
            </w:pPr>
          </w:p>
        </w:tc>
        <w:tc>
          <w:tcPr>
            <w:tcW w:w="3630" w:type="dxa"/>
            <w:vMerge w:val="continue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确定唯一编号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描述风险事件或条件。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确定事件或条件出现的可能性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93" w:type="dxa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21" w:type="dxa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845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如果采用打分评价，用概率乘以影响确定风险等级。如果使用相对等级，则比较两个等级（如高—低或中—高）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描述规划好的风险或条件应对策略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资金不足，超出预算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2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留存预备资金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设备损坏或其他原因所导致的程序丢失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2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中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源程序定期在不同设备上备份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920" w:type="dxa"/>
          </w:tcPr>
          <w:p>
            <w:pPr>
              <w:jc w:val="center"/>
            </w:pPr>
            <w:r>
              <w:rPr>
                <w:rFonts w:hint="eastAsia" w:ascii="楷体" w:hAnsi="楷体" w:eastAsia="楷体"/>
              </w:rPr>
              <w:t>3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项目不能</w:t>
            </w:r>
            <w:r>
              <w:rPr>
                <w:rFonts w:hint="eastAsia" w:ascii="楷体" w:hAnsi="楷体" w:eastAsia="楷体"/>
                <w:lang w:val="en-US" w:eastAsia="zh-CN"/>
              </w:rPr>
              <w:t>在</w:t>
            </w:r>
            <w:r>
              <w:rPr>
                <w:rFonts w:hint="eastAsia" w:ascii="楷体" w:hAnsi="楷体" w:eastAsia="楷体"/>
              </w:rPr>
              <w:t>甲方处正常运行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非常</w:t>
            </w:r>
            <w:r>
              <w:rPr>
                <w:rFonts w:hint="eastAsia" w:ascii="楷体" w:hAnsi="楷体" w:eastAsia="楷体"/>
              </w:rPr>
              <w:t>低</w:t>
            </w:r>
            <w:bookmarkStart w:id="0" w:name="_GoBack"/>
            <w:bookmarkEnd w:id="0"/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高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2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在交付日期前与甲方对接，留出时间进行调式和修改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92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甲方未按照合同履行责任，如结清尾款等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非常</w:t>
            </w: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2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中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合同中对双方责任进行明确划分。项目开始前收取定金，合同中规定违约方所需支付的违约金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920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系统开发人员因不可抗力因素无法继续参与项目进程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2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每位开发人员尽自己所能多了解项目每一部分，发生特殊情况时可尝试补救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920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项目组内成员产生较大的矛盾，以至于影响项目正常的研发进程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低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2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项目经理尽量协调团队之间的氛围；适当举行一些团建活动促进团队成员之间关系进展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920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项目研发速度严重落后于原定计划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非常</w:t>
            </w: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2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项目经理及时监控项目进度，发现迹象后可通过商讨适当延长开发人员工作时间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920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未能按时实现所有的功能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低</w:t>
            </w:r>
          </w:p>
        </w:tc>
        <w:tc>
          <w:tcPr>
            <w:tcW w:w="102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高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2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与甲方谈判，阐释项目的技术难点，申请更多项目资金</w:t>
            </w:r>
          </w:p>
        </w:tc>
      </w:tr>
    </w:tbl>
    <w:p/>
    <w:p/>
    <w:p>
      <w:pPr>
        <w:spacing w:line="480" w:lineRule="auto"/>
        <w:jc w:val="center"/>
      </w:pPr>
      <w:r>
        <w:rPr>
          <w:rFonts w:hint="eastAsia"/>
          <w:b/>
          <w:bCs/>
        </w:rPr>
        <w:t>第1次更新（修订）后的风险情况</w:t>
      </w:r>
    </w:p>
    <w:tbl>
      <w:tblPr>
        <w:tblStyle w:val="6"/>
        <w:tblW w:w="13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651"/>
        <w:gridCol w:w="914"/>
        <w:gridCol w:w="914"/>
        <w:gridCol w:w="914"/>
        <w:gridCol w:w="914"/>
        <w:gridCol w:w="1828"/>
        <w:gridCol w:w="1869"/>
        <w:gridCol w:w="1826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631" w:type="dxa"/>
            <w:vMerge w:val="restart"/>
          </w:tcPr>
          <w:p>
            <w:pPr>
              <w:spacing w:line="360" w:lineRule="auto"/>
              <w:ind w:left="3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风险编号</w:t>
            </w:r>
          </w:p>
        </w:tc>
        <w:tc>
          <w:tcPr>
            <w:tcW w:w="1651" w:type="dxa"/>
            <w:vMerge w:val="restart"/>
          </w:tcPr>
          <w:p>
            <w:pPr>
              <w:spacing w:line="360" w:lineRule="auto"/>
              <w:ind w:left="3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修订后的概率</w:t>
            </w:r>
          </w:p>
        </w:tc>
        <w:tc>
          <w:tcPr>
            <w:tcW w:w="3656" w:type="dxa"/>
            <w:gridSpan w:val="4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修订后的影响</w:t>
            </w:r>
          </w:p>
        </w:tc>
        <w:tc>
          <w:tcPr>
            <w:tcW w:w="1828" w:type="dxa"/>
            <w:vMerge w:val="restart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修订后的等级</w:t>
            </w:r>
          </w:p>
        </w:tc>
        <w:tc>
          <w:tcPr>
            <w:tcW w:w="1869" w:type="dxa"/>
            <w:vMerge w:val="restart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责任方</w:t>
            </w:r>
          </w:p>
        </w:tc>
        <w:tc>
          <w:tcPr>
            <w:tcW w:w="1826" w:type="dxa"/>
            <w:vMerge w:val="restart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措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施</w:t>
            </w:r>
          </w:p>
        </w:tc>
        <w:tc>
          <w:tcPr>
            <w:tcW w:w="1487" w:type="dxa"/>
            <w:vMerge w:val="restart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说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631" w:type="dxa"/>
            <w:vMerge w:val="continue"/>
          </w:tcPr>
          <w:p>
            <w:pPr>
              <w:spacing w:line="360" w:lineRule="auto"/>
              <w:ind w:left="30"/>
              <w:jc w:val="center"/>
              <w:rPr>
                <w:rFonts w:ascii="楷体" w:hAnsi="楷体" w:eastAsia="楷体"/>
              </w:rPr>
            </w:pPr>
          </w:p>
        </w:tc>
        <w:tc>
          <w:tcPr>
            <w:tcW w:w="1651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  <w:tc>
          <w:tcPr>
            <w:tcW w:w="914" w:type="dxa"/>
          </w:tcPr>
          <w:p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范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围</w:t>
            </w:r>
          </w:p>
        </w:tc>
        <w:tc>
          <w:tcPr>
            <w:tcW w:w="914" w:type="dxa"/>
          </w:tcPr>
          <w:p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 量</w:t>
            </w:r>
          </w:p>
        </w:tc>
        <w:tc>
          <w:tcPr>
            <w:tcW w:w="914" w:type="dxa"/>
          </w:tcPr>
          <w:p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进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度</w:t>
            </w:r>
          </w:p>
        </w:tc>
        <w:tc>
          <w:tcPr>
            <w:tcW w:w="914" w:type="dxa"/>
          </w:tcPr>
          <w:p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成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1828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  <w:tc>
          <w:tcPr>
            <w:tcW w:w="1869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  <w:tc>
          <w:tcPr>
            <w:tcW w:w="1826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  <w:tc>
          <w:tcPr>
            <w:tcW w:w="1487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3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上表所确定的唯一编号</w:t>
            </w:r>
          </w:p>
        </w:tc>
        <w:tc>
          <w:tcPr>
            <w:tcW w:w="1651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确定实施应对策略后风险事件或条件出现的可能性</w:t>
            </w:r>
          </w:p>
        </w:tc>
        <w:tc>
          <w:tcPr>
            <w:tcW w:w="91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91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91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914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828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确定应对措施实施后的风险等级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识别管理相关风险的责任人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</w:p>
        </w:tc>
        <w:tc>
          <w:tcPr>
            <w:tcW w:w="1487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提供所有对于风险事件或条件有帮助的说明或附加信息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1</w:t>
            </w:r>
          </w:p>
        </w:tc>
        <w:tc>
          <w:tcPr>
            <w:tcW w:w="165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1869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张鑫成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留存预备资金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充足的预备资金可有效降低该风险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2</w:t>
            </w:r>
          </w:p>
        </w:tc>
        <w:tc>
          <w:tcPr>
            <w:tcW w:w="165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中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张鑫成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源程序定期在不同设备上备份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多次备份可有效降低该风险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3</w:t>
            </w:r>
          </w:p>
        </w:tc>
        <w:tc>
          <w:tcPr>
            <w:tcW w:w="165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非常</w:t>
            </w: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高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张鑫成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在交付日期前与甲方对接，留出时间进行调式和修改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适当的提前量与对接可在该风险发生后及时补救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4</w:t>
            </w:r>
          </w:p>
        </w:tc>
        <w:tc>
          <w:tcPr>
            <w:tcW w:w="165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非常</w:t>
            </w: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 xml:space="preserve">       </w:t>
            </w:r>
            <w:r>
              <w:rPr>
                <w:rFonts w:hint="eastAsia" w:ascii="楷体" w:hAnsi="楷体" w:eastAsia="楷体"/>
                <w:lang w:val="en-US" w:eastAsia="zh-CN"/>
              </w:rPr>
              <w:t>中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张鑫成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合同中对双方责任进行明确划分。项目开始前收取定金，合同中规定违约方所需支付的违约金。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明确的合同划分可降低一定该风险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5</w:t>
            </w:r>
          </w:p>
        </w:tc>
        <w:tc>
          <w:tcPr>
            <w:tcW w:w="165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张鑫成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每位开发人员尽自己所能多了解项目每一部分，发生特殊情况时可尝试补救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开发人员足够的准备可以降低该风险发生后的损失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6</w:t>
            </w:r>
          </w:p>
        </w:tc>
        <w:tc>
          <w:tcPr>
            <w:tcW w:w="165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低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张鑫成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项目经理尽量协调团队之间的氛围；适当举行一些团建活动促进团队成员之间关系进展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团队关系融洽可很大程度上降低该风险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  <w:vAlign w:val="top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7</w:t>
            </w:r>
          </w:p>
        </w:tc>
        <w:tc>
          <w:tcPr>
            <w:tcW w:w="165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中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高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中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中</w:t>
            </w:r>
          </w:p>
        </w:tc>
        <w:tc>
          <w:tcPr>
            <w:tcW w:w="1869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张鑫成</w:t>
            </w:r>
          </w:p>
        </w:tc>
        <w:tc>
          <w:tcPr>
            <w:tcW w:w="1826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项目经理与开发人员商讨后适当延长开发人员工作时间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适当提升工作量以追赶进度可一定程度上减少风险发生后损失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8</w:t>
            </w:r>
          </w:p>
        </w:tc>
        <w:tc>
          <w:tcPr>
            <w:tcW w:w="1651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低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中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914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中</w:t>
            </w:r>
          </w:p>
        </w:tc>
        <w:tc>
          <w:tcPr>
            <w:tcW w:w="1828" w:type="dxa"/>
            <w:vAlign w:val="top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</w:rPr>
              <w:t>高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张鑫成</w:t>
            </w:r>
          </w:p>
        </w:tc>
        <w:tc>
          <w:tcPr>
            <w:tcW w:w="1826" w:type="dxa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与甲方谈判，阐释项目的技术难点，申请更多项目资金</w:t>
            </w:r>
          </w:p>
        </w:tc>
        <w:tc>
          <w:tcPr>
            <w:tcW w:w="1487" w:type="dxa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通过沟通并获得帮助后可一定程度降低该风险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480" w:lineRule="auto"/>
        <w:jc w:val="center"/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2</w:t>
      </w:r>
      <w:r>
        <w:rPr>
          <w:rFonts w:hint="eastAsia"/>
          <w:b/>
          <w:bCs/>
        </w:rPr>
        <w:t>次更新（修订）后的风险情况</w:t>
      </w:r>
    </w:p>
    <w:tbl>
      <w:tblPr>
        <w:tblStyle w:val="6"/>
        <w:tblW w:w="13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651"/>
        <w:gridCol w:w="914"/>
        <w:gridCol w:w="914"/>
        <w:gridCol w:w="914"/>
        <w:gridCol w:w="914"/>
        <w:gridCol w:w="1828"/>
        <w:gridCol w:w="1869"/>
        <w:gridCol w:w="1826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631" w:type="dxa"/>
            <w:vMerge w:val="restart"/>
          </w:tcPr>
          <w:p>
            <w:pPr>
              <w:spacing w:line="360" w:lineRule="auto"/>
              <w:ind w:left="3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风险编号</w:t>
            </w:r>
          </w:p>
        </w:tc>
        <w:tc>
          <w:tcPr>
            <w:tcW w:w="1651" w:type="dxa"/>
            <w:vMerge w:val="restart"/>
          </w:tcPr>
          <w:p>
            <w:pPr>
              <w:spacing w:line="360" w:lineRule="auto"/>
              <w:ind w:left="3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修订后的概率</w:t>
            </w:r>
          </w:p>
        </w:tc>
        <w:tc>
          <w:tcPr>
            <w:tcW w:w="3656" w:type="dxa"/>
            <w:gridSpan w:val="4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修订后的影响</w:t>
            </w:r>
          </w:p>
        </w:tc>
        <w:tc>
          <w:tcPr>
            <w:tcW w:w="1828" w:type="dxa"/>
            <w:vMerge w:val="restart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修订后的等级</w:t>
            </w:r>
          </w:p>
        </w:tc>
        <w:tc>
          <w:tcPr>
            <w:tcW w:w="1869" w:type="dxa"/>
            <w:vMerge w:val="restart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责任方</w:t>
            </w:r>
          </w:p>
        </w:tc>
        <w:tc>
          <w:tcPr>
            <w:tcW w:w="1826" w:type="dxa"/>
            <w:vMerge w:val="restart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措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施</w:t>
            </w:r>
          </w:p>
        </w:tc>
        <w:tc>
          <w:tcPr>
            <w:tcW w:w="1487" w:type="dxa"/>
            <w:vMerge w:val="restart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说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631" w:type="dxa"/>
            <w:vMerge w:val="continue"/>
          </w:tcPr>
          <w:p>
            <w:pPr>
              <w:spacing w:line="360" w:lineRule="auto"/>
              <w:ind w:left="30"/>
              <w:jc w:val="center"/>
              <w:rPr>
                <w:rFonts w:ascii="楷体" w:hAnsi="楷体" w:eastAsia="楷体"/>
              </w:rPr>
            </w:pPr>
          </w:p>
        </w:tc>
        <w:tc>
          <w:tcPr>
            <w:tcW w:w="1651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  <w:tc>
          <w:tcPr>
            <w:tcW w:w="914" w:type="dxa"/>
          </w:tcPr>
          <w:p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范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围</w:t>
            </w:r>
          </w:p>
        </w:tc>
        <w:tc>
          <w:tcPr>
            <w:tcW w:w="914" w:type="dxa"/>
          </w:tcPr>
          <w:p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 量</w:t>
            </w:r>
          </w:p>
        </w:tc>
        <w:tc>
          <w:tcPr>
            <w:tcW w:w="914" w:type="dxa"/>
          </w:tcPr>
          <w:p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进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度</w:t>
            </w:r>
          </w:p>
        </w:tc>
        <w:tc>
          <w:tcPr>
            <w:tcW w:w="914" w:type="dxa"/>
          </w:tcPr>
          <w:p>
            <w:pPr>
              <w:spacing w:line="360" w:lineRule="auto"/>
              <w:ind w:left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成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1828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  <w:tc>
          <w:tcPr>
            <w:tcW w:w="1869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  <w:tc>
          <w:tcPr>
            <w:tcW w:w="1826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  <w:tc>
          <w:tcPr>
            <w:tcW w:w="1487" w:type="dxa"/>
            <w:vMerge w:val="continue"/>
          </w:tcPr>
          <w:p>
            <w:pPr>
              <w:spacing w:line="360" w:lineRule="auto"/>
              <w:ind w:left="3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31" w:type="dxa"/>
          </w:tcPr>
          <w:p>
            <w:pPr>
              <w:ind w:left="30"/>
              <w:jc w:val="center"/>
            </w:pPr>
            <w:r>
              <w:rPr>
                <w:rFonts w:hint="eastAsia" w:ascii="楷体" w:hAnsi="楷体" w:eastAsia="楷体"/>
              </w:rPr>
              <w:t>上表所确定的唯一编号</w:t>
            </w:r>
          </w:p>
        </w:tc>
        <w:tc>
          <w:tcPr>
            <w:tcW w:w="1651" w:type="dxa"/>
          </w:tcPr>
          <w:p>
            <w:pPr>
              <w:ind w:left="30"/>
              <w:jc w:val="center"/>
            </w:pPr>
            <w:r>
              <w:rPr>
                <w:rFonts w:hint="eastAsia" w:ascii="楷体" w:hAnsi="楷体" w:eastAsia="楷体"/>
              </w:rPr>
              <w:t>确定实施应对策略后风险事件或条件出现的可能性</w:t>
            </w: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1828" w:type="dxa"/>
          </w:tcPr>
          <w:p>
            <w:pPr>
              <w:ind w:left="30"/>
              <w:jc w:val="center"/>
            </w:pPr>
            <w:r>
              <w:rPr>
                <w:rFonts w:hint="eastAsia" w:ascii="楷体" w:hAnsi="楷体" w:eastAsia="楷体"/>
              </w:rPr>
              <w:t>确定应对措施实施后的风险等级</w:t>
            </w:r>
          </w:p>
        </w:tc>
        <w:tc>
          <w:tcPr>
            <w:tcW w:w="1869" w:type="dxa"/>
          </w:tcPr>
          <w:p>
            <w:pPr>
              <w:ind w:left="30"/>
              <w:jc w:val="center"/>
            </w:pPr>
            <w:r>
              <w:rPr>
                <w:rFonts w:hint="eastAsia" w:ascii="楷体" w:hAnsi="楷体" w:eastAsia="楷体"/>
              </w:rPr>
              <w:t>识别管理相关风险的责任人</w:t>
            </w:r>
          </w:p>
        </w:tc>
        <w:tc>
          <w:tcPr>
            <w:tcW w:w="1826" w:type="dxa"/>
          </w:tcPr>
          <w:p>
            <w:pPr>
              <w:ind w:left="30"/>
              <w:jc w:val="center"/>
            </w:pPr>
          </w:p>
        </w:tc>
        <w:tc>
          <w:tcPr>
            <w:tcW w:w="1487" w:type="dxa"/>
          </w:tcPr>
          <w:p>
            <w:pPr>
              <w:ind w:left="30"/>
              <w:jc w:val="center"/>
            </w:pPr>
            <w:r>
              <w:rPr>
                <w:rFonts w:hint="eastAsia" w:ascii="楷体" w:hAnsi="楷体" w:eastAsia="楷体"/>
              </w:rPr>
              <w:t>提供所有对于风险事件或条件有帮助的说明或附加信息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631" w:type="dxa"/>
          </w:tcPr>
          <w:p>
            <w:pPr>
              <w:ind w:left="30"/>
              <w:jc w:val="center"/>
            </w:pPr>
          </w:p>
        </w:tc>
        <w:tc>
          <w:tcPr>
            <w:tcW w:w="1651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1828" w:type="dxa"/>
          </w:tcPr>
          <w:p>
            <w:pPr>
              <w:ind w:left="30"/>
              <w:jc w:val="center"/>
            </w:pPr>
          </w:p>
        </w:tc>
        <w:tc>
          <w:tcPr>
            <w:tcW w:w="1869" w:type="dxa"/>
          </w:tcPr>
          <w:p>
            <w:pPr>
              <w:ind w:left="30"/>
              <w:jc w:val="center"/>
            </w:pPr>
          </w:p>
        </w:tc>
        <w:tc>
          <w:tcPr>
            <w:tcW w:w="1826" w:type="dxa"/>
          </w:tcPr>
          <w:p>
            <w:pPr>
              <w:ind w:left="30"/>
              <w:jc w:val="center"/>
            </w:pPr>
          </w:p>
        </w:tc>
        <w:tc>
          <w:tcPr>
            <w:tcW w:w="1487" w:type="dxa"/>
          </w:tcPr>
          <w:p>
            <w:pPr>
              <w:ind w:left="3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ind w:left="30"/>
              <w:jc w:val="center"/>
            </w:pPr>
          </w:p>
        </w:tc>
        <w:tc>
          <w:tcPr>
            <w:tcW w:w="1651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1828" w:type="dxa"/>
          </w:tcPr>
          <w:p>
            <w:pPr>
              <w:ind w:left="30"/>
              <w:jc w:val="center"/>
            </w:pPr>
          </w:p>
        </w:tc>
        <w:tc>
          <w:tcPr>
            <w:tcW w:w="1869" w:type="dxa"/>
          </w:tcPr>
          <w:p>
            <w:pPr>
              <w:ind w:left="30"/>
              <w:jc w:val="center"/>
            </w:pPr>
          </w:p>
        </w:tc>
        <w:tc>
          <w:tcPr>
            <w:tcW w:w="1826" w:type="dxa"/>
          </w:tcPr>
          <w:p>
            <w:pPr>
              <w:ind w:left="30"/>
              <w:jc w:val="center"/>
            </w:pPr>
          </w:p>
        </w:tc>
        <w:tc>
          <w:tcPr>
            <w:tcW w:w="1487" w:type="dxa"/>
          </w:tcPr>
          <w:p>
            <w:pPr>
              <w:ind w:left="3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ind w:left="30"/>
              <w:jc w:val="center"/>
            </w:pPr>
          </w:p>
        </w:tc>
        <w:tc>
          <w:tcPr>
            <w:tcW w:w="1651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1828" w:type="dxa"/>
          </w:tcPr>
          <w:p>
            <w:pPr>
              <w:ind w:left="30"/>
              <w:jc w:val="center"/>
            </w:pPr>
          </w:p>
        </w:tc>
        <w:tc>
          <w:tcPr>
            <w:tcW w:w="1869" w:type="dxa"/>
          </w:tcPr>
          <w:p>
            <w:pPr>
              <w:ind w:left="30"/>
              <w:jc w:val="center"/>
            </w:pPr>
          </w:p>
        </w:tc>
        <w:tc>
          <w:tcPr>
            <w:tcW w:w="1826" w:type="dxa"/>
          </w:tcPr>
          <w:p>
            <w:pPr>
              <w:ind w:left="30"/>
              <w:jc w:val="center"/>
            </w:pPr>
          </w:p>
        </w:tc>
        <w:tc>
          <w:tcPr>
            <w:tcW w:w="1487" w:type="dxa"/>
          </w:tcPr>
          <w:p>
            <w:pPr>
              <w:ind w:left="3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631" w:type="dxa"/>
          </w:tcPr>
          <w:p>
            <w:pPr>
              <w:ind w:left="30"/>
              <w:jc w:val="center"/>
            </w:pPr>
          </w:p>
        </w:tc>
        <w:tc>
          <w:tcPr>
            <w:tcW w:w="1651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914" w:type="dxa"/>
          </w:tcPr>
          <w:p>
            <w:pPr>
              <w:ind w:left="30"/>
              <w:jc w:val="center"/>
            </w:pPr>
          </w:p>
        </w:tc>
        <w:tc>
          <w:tcPr>
            <w:tcW w:w="1828" w:type="dxa"/>
          </w:tcPr>
          <w:p>
            <w:pPr>
              <w:ind w:left="30"/>
              <w:jc w:val="center"/>
            </w:pPr>
          </w:p>
        </w:tc>
        <w:tc>
          <w:tcPr>
            <w:tcW w:w="1869" w:type="dxa"/>
          </w:tcPr>
          <w:p>
            <w:pPr>
              <w:ind w:left="30"/>
              <w:jc w:val="center"/>
            </w:pPr>
          </w:p>
        </w:tc>
        <w:tc>
          <w:tcPr>
            <w:tcW w:w="1826" w:type="dxa"/>
          </w:tcPr>
          <w:p>
            <w:pPr>
              <w:ind w:left="30"/>
              <w:jc w:val="center"/>
            </w:pPr>
          </w:p>
        </w:tc>
        <w:tc>
          <w:tcPr>
            <w:tcW w:w="1487" w:type="dxa"/>
          </w:tcPr>
          <w:p>
            <w:pPr>
              <w:ind w:left="30"/>
              <w:jc w:val="center"/>
            </w:pPr>
          </w:p>
        </w:tc>
      </w:tr>
    </w:tbl>
    <w:p>
      <w:pPr>
        <w:spacing w:line="480" w:lineRule="auto"/>
        <w:jc w:val="center"/>
        <w:rPr>
          <w:b/>
          <w:bCs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yZmU5NDM2YmNjZDE2ZTg0OWYyZGZiMmE4M2E0OWQifQ=="/>
  </w:docVars>
  <w:rsids>
    <w:rsidRoot w:val="00CF7809"/>
    <w:rsid w:val="00076451"/>
    <w:rsid w:val="000C4B69"/>
    <w:rsid w:val="000D5124"/>
    <w:rsid w:val="0012158D"/>
    <w:rsid w:val="001216A9"/>
    <w:rsid w:val="0014774F"/>
    <w:rsid w:val="00177B95"/>
    <w:rsid w:val="002B12F7"/>
    <w:rsid w:val="003006B2"/>
    <w:rsid w:val="003E4B24"/>
    <w:rsid w:val="00482D16"/>
    <w:rsid w:val="0049732C"/>
    <w:rsid w:val="004C0BA0"/>
    <w:rsid w:val="004C3E0B"/>
    <w:rsid w:val="004F2962"/>
    <w:rsid w:val="005069B5"/>
    <w:rsid w:val="005320AB"/>
    <w:rsid w:val="005948C5"/>
    <w:rsid w:val="00597644"/>
    <w:rsid w:val="006C427C"/>
    <w:rsid w:val="007D5C4B"/>
    <w:rsid w:val="0089653D"/>
    <w:rsid w:val="008C2C5D"/>
    <w:rsid w:val="008E4134"/>
    <w:rsid w:val="009D47DE"/>
    <w:rsid w:val="00A9250E"/>
    <w:rsid w:val="00B65978"/>
    <w:rsid w:val="00CC4648"/>
    <w:rsid w:val="00CF7809"/>
    <w:rsid w:val="00D45534"/>
    <w:rsid w:val="00E30CC1"/>
    <w:rsid w:val="00E72DB0"/>
    <w:rsid w:val="00EA58DD"/>
    <w:rsid w:val="00EB2C75"/>
    <w:rsid w:val="00EB39AA"/>
    <w:rsid w:val="00EC3E81"/>
    <w:rsid w:val="00EF5557"/>
    <w:rsid w:val="00F03015"/>
    <w:rsid w:val="00F1208F"/>
    <w:rsid w:val="00F3208E"/>
    <w:rsid w:val="00FB335A"/>
    <w:rsid w:val="114F1794"/>
    <w:rsid w:val="28454C8B"/>
    <w:rsid w:val="37AB1316"/>
    <w:rsid w:val="39ED37B5"/>
    <w:rsid w:val="3A85401D"/>
    <w:rsid w:val="45A26B9A"/>
    <w:rsid w:val="59320477"/>
    <w:rsid w:val="607B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2"/>
    <w:semiHidden/>
    <w:unhideWhenUsed/>
    <w:qFormat/>
    <w:uiPriority w:val="99"/>
    <w:rPr>
      <w:b/>
      <w:bCs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文字 字符"/>
    <w:basedOn w:val="7"/>
    <w:link w:val="2"/>
    <w:semiHidden/>
    <w:qFormat/>
    <w:uiPriority w:val="99"/>
  </w:style>
  <w:style w:type="character" w:customStyle="1" w:styleId="12">
    <w:name w:val="批注主题 字符"/>
    <w:basedOn w:val="1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1260</Words>
  <Characters>1280</Characters>
  <Lines>7</Lines>
  <Paragraphs>2</Paragraphs>
  <TotalTime>11</TotalTime>
  <ScaleCrop>false</ScaleCrop>
  <LinksUpToDate>false</LinksUpToDate>
  <CharactersWithSpaces>1347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2022-03-26T15:03:00Z</dcterms:created>
  <dc:creator>DELL</dc:creator>
  <cp:lastModifiedBy>ZXC</cp:lastModifiedBy>
  <dcterms:modified xsi:type="dcterms:W3CDTF">2022-10-06T13:40:43Z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0F810017F3954EC1AC458A8AFFA692C9</vt:lpwstr>
  </property>
</Properties>
</file>