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课程主要内容：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运算器、控制器、存储器的结构、工作原理、设计方法及互联构成整机的有关技术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74310" cy="281622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冯诺依曼（计算机之父）结果计算机：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工作原理：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其中重点为 存储程序 以及程序控制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4565015" cy="2127885"/>
            <wp:effectExtent l="0" t="0" r="6985" b="5715"/>
            <wp:docPr id="2" name="图片 2" descr="66c888f722184dbe7294badac2539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6c888f722184dbe7294badac2539b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硬件系统（总体图）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598795" cy="2939415"/>
            <wp:effectExtent l="0" t="0" r="952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硬件系统-运算器控制器 结构例子：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135" cy="2678430"/>
            <wp:effectExtent l="0" t="0" r="190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2405" cy="2409190"/>
            <wp:effectExtent l="0" t="0" r="63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774950"/>
            <wp:effectExtent l="0" t="0" r="5715" b="139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计算地址线的数量： 2G-》31根 根据倍数计算，所以128G需要38跟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硬件+软件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2261235"/>
            <wp:effectExtent l="0" t="0" r="1460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8595" cy="2660015"/>
            <wp:effectExtent l="0" t="0" r="444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硬件与软件系统间的关系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相互依存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硬件是软件运行的基础，软件的正常运行是硬件发挥作用的重要途径。计算机系统必须要配备完善的软件系统才能正常工作，且应充分发挥其硬件的功能；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逻辑等效性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某些功能即可由硬件实现，也可由软件来实现；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协同发展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软件随硬件技术的迅速发展而发展，而软件的不断发展与完善又促进硬件的更新，两者密切地交织发展，缺一不可。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越底层效率越高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7325" cy="2910205"/>
            <wp:effectExtent l="0" t="0" r="5715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9865" cy="1989455"/>
            <wp:effectExtent l="0" t="0" r="317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3675" cy="2522855"/>
            <wp:effectExtent l="0" t="0" r="14605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71420"/>
            <wp:effectExtent l="0" t="0" r="3175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03517C"/>
    <w:multiLevelType w:val="singleLevel"/>
    <w:tmpl w:val="9A03517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62CA7964"/>
    <w:multiLevelType w:val="singleLevel"/>
    <w:tmpl w:val="62CA7964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79EBFDEB"/>
    <w:multiLevelType w:val="singleLevel"/>
    <w:tmpl w:val="79EBFDE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4E9306CA"/>
    <w:rsid w:val="7957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43</Words>
  <Characters>43</Characters>
  <Lines>0</Lines>
  <Paragraphs>0</Paragraphs>
  <TotalTime>20</TotalTime>
  <ScaleCrop>false</ScaleCrop>
  <LinksUpToDate>false</LinksUpToDate>
  <CharactersWithSpaces>44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2022-09-04T03:18:18Z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576E6F0C193443F597E549D00FA474E4</vt:lpwstr>
  </property>
</Properties>
</file>