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60" w:line="276" w:lineRule="auto"/>
        <w:jc w:val="center"/>
      </w:pPr>
      <w:r>
        <w:rPr>
          <w:rFonts w:ascii="Times New Roman" w:hAnsi="Times New Roman"/>
          <w:b/>
          <w:i w:val="0"/>
          <w:sz w:val="32"/>
        </w:rPr>
        <w:t>Tribhuvan University</w:t>
      </w:r>
    </w:p>
    <w:p>
      <w:pPr>
        <w:spacing w:before="0" w:after="560" w:line="276" w:lineRule="auto"/>
        <w:jc w:val="center"/>
      </w:pPr>
      <w:r>
        <w:rPr>
          <w:rFonts w:ascii="Times New Roman" w:hAnsi="Times New Roman"/>
          <w:b/>
          <w:i w:val="0"/>
          <w:sz w:val="28"/>
        </w:rPr>
        <w:t>Faculty of Humanities and Social Sciences</w:t>
      </w:r>
    </w:p>
    <w:p>
      <w:pPr>
        <w:spacing w:before="0" w:after="280" w:line="300" w:lineRule="auto"/>
        <w:jc w:val="center"/>
      </w:pPr>
      <w:r>
        <w:rPr>
          <w:rFonts w:ascii="Times New Roman" w:hAnsi="Times New Roman"/>
          <w:b/>
          <w:i w:val="0"/>
          <w:sz w:val="32"/>
        </w:rPr>
        <w:t>NEPSE AI: REAL-TIME FINANCIAL DECISION SUPPORT AND STOCK PREDICTION SYSTEM</w:t>
      </w:r>
    </w:p>
    <w:p>
      <w:pPr>
        <w:spacing w:before="0" w:after="440" w:line="276" w:lineRule="auto"/>
        <w:jc w:val="center"/>
      </w:pPr>
      <w:r>
        <w:rPr>
          <w:rFonts w:ascii="Times New Roman" w:hAnsi="Times New Roman"/>
          <w:b/>
          <w:i w:val="0"/>
          <w:sz w:val="26"/>
        </w:rPr>
        <w:t>A PROJECT REPORT</w:t>
      </w:r>
    </w:p>
    <w:p>
      <w:pPr>
        <w:spacing w:before="0" w:after="60" w:line="276" w:lineRule="auto"/>
        <w:jc w:val="center"/>
      </w:pPr>
      <w:r>
        <w:rPr>
          <w:rFonts w:ascii="Times New Roman" w:hAnsi="Times New Roman"/>
          <w:b w:val="0"/>
          <w:i/>
          <w:sz w:val="24"/>
        </w:rPr>
        <w:t>Submitted to</w:t>
      </w:r>
    </w:p>
    <w:p>
      <w:pPr>
        <w:spacing w:before="0" w:after="40" w:line="276" w:lineRule="auto"/>
        <w:jc w:val="center"/>
      </w:pPr>
      <w:r>
        <w:rPr>
          <w:rFonts w:ascii="Times New Roman" w:hAnsi="Times New Roman"/>
          <w:b/>
          <w:i w:val="0"/>
          <w:sz w:val="26"/>
        </w:rPr>
        <w:t>Department of Computer Application</w:t>
      </w:r>
    </w:p>
    <w:p>
      <w:pPr>
        <w:spacing w:before="0" w:after="480" w:line="276" w:lineRule="auto"/>
        <w:jc w:val="center"/>
      </w:pPr>
      <w:r>
        <w:rPr>
          <w:rFonts w:ascii="Times New Roman" w:hAnsi="Times New Roman"/>
          <w:b/>
          <w:i w:val="0"/>
          <w:sz w:val="26"/>
        </w:rPr>
        <w:t>[Name of the College / Campus]</w:t>
      </w:r>
    </w:p>
    <w:p>
      <w:pPr>
        <w:spacing w:before="0" w:after="520" w:line="288" w:lineRule="auto"/>
        <w:jc w:val="center"/>
      </w:pPr>
      <w:r>
        <w:rPr>
          <w:rFonts w:ascii="Times New Roman" w:hAnsi="Times New Roman"/>
          <w:b w:val="0"/>
          <w:i/>
          <w:sz w:val="24"/>
        </w:rPr>
        <w:t>In partial fulfillment of the requirements for the degree of</w:t>
        <w:br/>
        <w:t>Bachelor of Computer Application (BCA)</w:t>
      </w:r>
    </w:p>
    <w:p>
      <w:pPr>
        <w:spacing w:before="0" w:after="80" w:line="276" w:lineRule="auto"/>
        <w:jc w:val="center"/>
      </w:pPr>
      <w:r>
        <w:rPr>
          <w:rFonts w:ascii="Times New Roman" w:hAnsi="Times New Roman"/>
          <w:b/>
          <w:i w:val="0"/>
          <w:sz w:val="24"/>
        </w:rPr>
        <w:t>Submitted by:</w:t>
      </w:r>
    </w:p>
    <w:p>
      <w:pPr>
        <w:spacing w:before="0" w:after="440" w:line="276" w:lineRule="auto"/>
        <w:jc w:val="center"/>
      </w:pPr>
      <w:r>
        <w:rPr>
          <w:rFonts w:ascii="Times New Roman" w:hAnsi="Times New Roman"/>
          <w:b w:val="0"/>
          <w:i w:val="0"/>
          <w:sz w:val="24"/>
        </w:rPr>
        <w:t>[Candidate Name(s)]</w:t>
        <w:br/>
        <w:t>Roll No: [TU Roll Number]  |  Reg. No: [TU Registration Number]</w:t>
        <w:br/>
        <w:t>Year/Sem.: IV/VIII (8th Semester)</w:t>
      </w:r>
    </w:p>
    <w:p>
      <w:pPr>
        <w:spacing w:before="0" w:after="480" w:line="276" w:lineRule="auto"/>
        <w:jc w:val="center"/>
      </w:pPr>
      <w:r>
        <w:rPr>
          <w:rFonts w:ascii="Times New Roman" w:hAnsi="Times New Roman"/>
          <w:b/>
          <w:i w:val="0"/>
          <w:sz w:val="24"/>
        </w:rPr>
        <w:t>September, 2026</w:t>
      </w:r>
    </w:p>
    <w:p>
      <w:pPr>
        <w:spacing w:before="0" w:after="80" w:line="276" w:lineRule="auto"/>
        <w:jc w:val="center"/>
      </w:pPr>
      <w:r>
        <w:rPr>
          <w:rFonts w:ascii="Times New Roman" w:hAnsi="Times New Roman"/>
          <w:b/>
          <w:i w:val="0"/>
          <w:sz w:val="24"/>
        </w:rPr>
        <w:t>Under the Supervision of:</w:t>
      </w:r>
    </w:p>
    <w:p>
      <w:pPr>
        <w:spacing w:before="0" w:after="0" w:line="276" w:lineRule="auto"/>
        <w:jc w:val="center"/>
      </w:pPr>
      <w:r>
        <w:rPr>
          <w:rFonts w:ascii="Times New Roman" w:hAnsi="Times New Roman"/>
          <w:b w:val="0"/>
          <w:i w:val="0"/>
          <w:sz w:val="24"/>
        </w:rPr>
        <w:t>[Supervisor Name]</w:t>
        <w:br/>
        <w:t>[Academic Designation]</w:t>
        <w:br/>
        <w:t>Department of Computer Application</w:t>
      </w:r>
    </w:p>
    <w:p>
      <w:r>
        <w:br w:type="page"/>
      </w:r>
    </w:p>
    <w:p>
      <w:pPr>
        <w:spacing w:before="200" w:after="40" w:line="276" w:lineRule="auto"/>
        <w:jc w:val="center"/>
      </w:pPr>
      <w:r>
        <w:rPr>
          <w:rFonts w:ascii="Times New Roman" w:hAnsi="Times New Roman"/>
          <w:b/>
          <w:i w:val="0"/>
          <w:sz w:val="30"/>
        </w:rPr>
        <w:t>Tribhuvan University</w:t>
      </w:r>
    </w:p>
    <w:p>
      <w:pPr>
        <w:spacing w:before="0" w:after="40" w:line="276" w:lineRule="auto"/>
        <w:jc w:val="center"/>
      </w:pPr>
      <w:r>
        <w:rPr>
          <w:rFonts w:ascii="Times New Roman" w:hAnsi="Times New Roman"/>
          <w:b/>
          <w:i w:val="0"/>
          <w:sz w:val="26"/>
        </w:rPr>
        <w:t>Faculty of Humanities and Social Sciences</w:t>
      </w:r>
    </w:p>
    <w:p>
      <w:pPr>
        <w:spacing w:before="0" w:after="640" w:line="276" w:lineRule="auto"/>
        <w:jc w:val="center"/>
      </w:pPr>
      <w:r>
        <w:rPr>
          <w:rFonts w:ascii="Times New Roman" w:hAnsi="Times New Roman"/>
          <w:b/>
          <w:i w:val="0"/>
          <w:sz w:val="26"/>
        </w:rPr>
        <w:t>[Name of the College / Campus]</w:t>
      </w:r>
    </w:p>
    <w:p>
      <w:pPr>
        <w:spacing w:before="0" w:after="480" w:line="276" w:lineRule="auto"/>
        <w:jc w:val="center"/>
      </w:pPr>
      <w:r>
        <w:rPr>
          <w:rFonts w:ascii="Times New Roman" w:hAnsi="Times New Roman"/>
          <w:b/>
          <w:i w:val="0"/>
          <w:sz w:val="30"/>
        </w:rPr>
        <w:t>Supervisor’s Recommendation</w:t>
      </w:r>
    </w:p>
    <w:p>
      <w:pPr>
        <w:spacing w:before="0" w:after="960" w:line="360" w:lineRule="auto"/>
        <w:jc w:val="both"/>
      </w:pPr>
      <w:r>
        <w:rPr>
          <w:rFonts w:ascii="Times New Roman" w:hAnsi="Times New Roman"/>
          <w:b w:val="0"/>
          <w:i w:val="0"/>
          <w:sz w:val="24"/>
        </w:rPr>
        <w:t>I hereby recommend that this project prepared under my supervision by [Candidate Name(s)] entitled “NEPSE AI: REAL-TIME FINANCIAL DECISION SUPPORT AND STOCK PREDICTION SYSTEM” in partial fulfillment of the requirements for the degree of Bachelor of Computer Application (BCA), 8th Semester is recommended for the final evaluation.</w:t>
      </w:r>
    </w:p>
    <w:p>
      <w:pPr>
        <w:spacing w:before="0" w:after="40" w:line="360" w:lineRule="auto"/>
        <w:jc w:val="left"/>
      </w:pPr>
      <w:r>
        <w:rPr>
          <w:rFonts w:ascii="Times New Roman" w:hAnsi="Times New Roman"/>
          <w:b/>
          <w:i w:val="0"/>
          <w:sz w:val="24"/>
        </w:rPr>
        <w:t>________________________</w:t>
      </w:r>
    </w:p>
    <w:p>
      <w:pPr>
        <w:spacing w:before="0" w:after="40" w:line="360" w:lineRule="auto"/>
        <w:jc w:val="left"/>
      </w:pPr>
      <w:r>
        <w:rPr>
          <w:rFonts w:ascii="Times New Roman" w:hAnsi="Times New Roman"/>
          <w:b/>
          <w:i w:val="0"/>
          <w:sz w:val="24"/>
        </w:rPr>
        <w:t>SIGNATURE</w:t>
      </w:r>
    </w:p>
    <w:p>
      <w:pPr>
        <w:spacing w:before="0" w:after="40" w:line="360" w:lineRule="auto"/>
        <w:jc w:val="left"/>
      </w:pPr>
      <w:r>
        <w:rPr>
          <w:rFonts w:ascii="Times New Roman" w:hAnsi="Times New Roman"/>
          <w:b/>
          <w:i w:val="0"/>
          <w:sz w:val="24"/>
        </w:rPr>
        <w:t>[Supervisor Name]</w:t>
      </w:r>
    </w:p>
    <w:p>
      <w:pPr>
        <w:spacing w:before="0" w:after="40" w:line="360" w:lineRule="auto"/>
        <w:jc w:val="left"/>
      </w:pPr>
      <w:r>
        <w:rPr>
          <w:rFonts w:ascii="Times New Roman" w:hAnsi="Times New Roman"/>
          <w:b/>
          <w:i w:val="0"/>
          <w:sz w:val="24"/>
        </w:rPr>
        <w:t>SUPERVISOR</w:t>
      </w:r>
    </w:p>
    <w:p>
      <w:pPr>
        <w:spacing w:before="0" w:after="40" w:line="360" w:lineRule="auto"/>
        <w:jc w:val="left"/>
      </w:pPr>
      <w:r>
        <w:rPr>
          <w:rFonts w:ascii="Times New Roman" w:hAnsi="Times New Roman"/>
          <w:b w:val="0"/>
          <w:i w:val="0"/>
          <w:sz w:val="24"/>
        </w:rPr>
        <w:t>[Academic Designation]</w:t>
      </w:r>
    </w:p>
    <w:p>
      <w:pPr>
        <w:spacing w:before="0" w:after="40" w:line="360" w:lineRule="auto"/>
        <w:jc w:val="left"/>
      </w:pPr>
      <w:r>
        <w:rPr>
          <w:rFonts w:ascii="Times New Roman" w:hAnsi="Times New Roman"/>
          <w:b w:val="0"/>
          <w:i w:val="0"/>
          <w:sz w:val="24"/>
        </w:rPr>
        <w:t>Department of Computer Application</w:t>
      </w:r>
    </w:p>
    <w:p>
      <w:pPr>
        <w:spacing w:before="0" w:after="360" w:line="360" w:lineRule="auto"/>
        <w:jc w:val="left"/>
      </w:pPr>
      <w:r>
        <w:rPr>
          <w:rFonts w:ascii="Times New Roman" w:hAnsi="Times New Roman"/>
          <w:b w:val="0"/>
          <w:i w:val="0"/>
          <w:sz w:val="24"/>
        </w:rPr>
        <w:t>[Full Address of Department &amp; College]</w:t>
      </w:r>
    </w:p>
    <w:p>
      <w:pPr>
        <w:spacing w:before="0" w:after="120" w:line="360" w:lineRule="auto"/>
        <w:jc w:val="left"/>
      </w:pPr>
      <w:r>
        <w:rPr>
          <w:rFonts w:ascii="Times New Roman" w:hAnsi="Times New Roman"/>
          <w:b w:val="0"/>
          <w:i w:val="0"/>
          <w:sz w:val="24"/>
        </w:rPr>
        <w:t>Date: ____________________</w:t>
      </w:r>
    </w:p>
    <w:p>
      <w:r>
        <w:br w:type="page"/>
      </w:r>
    </w:p>
    <w:p>
      <w:pPr>
        <w:spacing w:before="200" w:after="40" w:line="276" w:lineRule="auto"/>
        <w:jc w:val="center"/>
      </w:pPr>
      <w:r>
        <w:rPr>
          <w:rFonts w:ascii="Times New Roman" w:hAnsi="Times New Roman"/>
          <w:b/>
          <w:i w:val="0"/>
          <w:sz w:val="30"/>
        </w:rPr>
        <w:t>Tribhuvan University</w:t>
      </w:r>
    </w:p>
    <w:p>
      <w:pPr>
        <w:spacing w:before="0" w:after="40" w:line="276" w:lineRule="auto"/>
        <w:jc w:val="center"/>
      </w:pPr>
      <w:r>
        <w:rPr>
          <w:rFonts w:ascii="Times New Roman" w:hAnsi="Times New Roman"/>
          <w:b/>
          <w:i w:val="0"/>
          <w:sz w:val="26"/>
        </w:rPr>
        <w:t>Faculty of Humanities and Social Sciences</w:t>
      </w:r>
    </w:p>
    <w:p>
      <w:pPr>
        <w:spacing w:before="0" w:after="560" w:line="276" w:lineRule="auto"/>
        <w:jc w:val="center"/>
      </w:pPr>
      <w:r>
        <w:rPr>
          <w:rFonts w:ascii="Times New Roman" w:hAnsi="Times New Roman"/>
          <w:b/>
          <w:i w:val="0"/>
          <w:sz w:val="26"/>
        </w:rPr>
        <w:t>[Name of the College / Campus]</w:t>
      </w:r>
    </w:p>
    <w:p>
      <w:pPr>
        <w:spacing w:before="0" w:after="400" w:line="276" w:lineRule="auto"/>
        <w:jc w:val="center"/>
      </w:pPr>
      <w:r>
        <w:rPr>
          <w:rFonts w:ascii="Times New Roman" w:hAnsi="Times New Roman"/>
          <w:b/>
          <w:i w:val="0"/>
          <w:sz w:val="30"/>
        </w:rPr>
        <w:t>LETTER OF APPROVAL</w:t>
      </w:r>
    </w:p>
    <w:p>
      <w:pPr>
        <w:spacing w:before="0" w:after="480" w:line="360" w:lineRule="auto"/>
        <w:jc w:val="both"/>
      </w:pPr>
      <w:r>
        <w:rPr>
          <w:rFonts w:ascii="Times New Roman" w:hAnsi="Times New Roman"/>
          <w:b w:val="0"/>
          <w:i w:val="0"/>
          <w:sz w:val="24"/>
        </w:rPr>
        <w:t>This is to certify that this project prepared by [Candidate Name(s)] entitled “NEPSE AI: REAL-TIME FINANCIAL DECISION SUPPORT AND STOCK PREDICTION SYSTEM” in partial fulfillment of the requirements for the degree of Bachelor of Computer Application (BCA) has been evaluated. In our opinion it is satisfactory in the scope and quality as a project for the required degree.</w:t>
      </w:r>
    </w:p>
    <w:tbl>
      <w:tblPr>
        <w:tblW w:type="auto" w:w="0"/>
        <w:jc w:val="center"/>
        <w:tblLayout w:type="fixed"/>
        <w:tblLook w:firstColumn="1" w:firstRow="1" w:lastColumn="0" w:lastRow="0" w:noHBand="0" w:noVBand="1" w:val="04A0"/>
      </w:tblPr>
      <w:tblGrid>
        <w:gridCol w:w="4334"/>
        <w:gridCol w:w="4334"/>
      </w:tblGrid>
      <w:tr>
        <w:tc>
          <w:tcPr>
            <w:tcW w:type="dxa" w:w="4320"/>
            <w:tcMar>
              <w:top w:w="120" w:type="dxa"/>
              <w:bottom w:w="120" w:type="dxa"/>
              <w:left w:w="120" w:type="dxa"/>
              <w:right w:w="120" w:type="dxa"/>
            </w:tcMar>
            <w:tcBorders>
              <w:top w:val="single" w:sz="6" w:space="0" w:color="718096"/>
              <w:bottom w:val="single" w:sz="6" w:space="0" w:color="718096"/>
              <w:left w:val="single" w:sz="6" w:space="0" w:color="718096"/>
              <w:right w:val="single" w:sz="6" w:space="0" w:color="718096"/>
            </w:tcBorders>
          </w:tcPr>
          <w:p>
            <w:pPr>
              <w:spacing w:line="276" w:lineRule="auto" w:after="40"/>
              <w:jc w:val="left"/>
            </w:pPr>
            <w:r>
              <w:t>SIGNATURE of Supervisor:</w:t>
              <w:br/>
              <w:t>_____________________</w:t>
              <w:br/>
              <w:t>Name: [Supervisor Name]</w:t>
              <w:br/>
              <w:t>Designation: [Academic Designation]</w:t>
              <w:br/>
              <w:t>Dept: Computer Application</w:t>
              <w:br/>
              <w:t>College: [College Name]</w:t>
            </w:r>
          </w:p>
        </w:tc>
        <w:tc>
          <w:tcPr>
            <w:tcW w:type="dxa" w:w="4320"/>
            <w:tcMar>
              <w:top w:w="120" w:type="dxa"/>
              <w:bottom w:w="120" w:type="dxa"/>
              <w:left w:w="120" w:type="dxa"/>
              <w:right w:w="120" w:type="dxa"/>
            </w:tcMar>
            <w:tcBorders>
              <w:top w:val="single" w:sz="6" w:space="0" w:color="718096"/>
              <w:bottom w:val="single" w:sz="6" w:space="0" w:color="718096"/>
              <w:left w:val="single" w:sz="6" w:space="0" w:color="718096"/>
              <w:right w:val="single" w:sz="6" w:space="0" w:color="718096"/>
            </w:tcBorders>
          </w:tcPr>
          <w:p>
            <w:pPr>
              <w:spacing w:line="276" w:lineRule="auto" w:after="40"/>
              <w:jc w:val="left"/>
            </w:pPr>
            <w:r>
              <w:t>SIGNATURE of HOD/Coordinator:</w:t>
              <w:br/>
              <w:t>_____________________</w:t>
              <w:br/>
              <w:t>Name: [HOD/Coordinator Name]</w:t>
              <w:br/>
              <w:t>Designation: [Academic Designation]</w:t>
              <w:br/>
              <w:t>Dept: Computer Application</w:t>
              <w:br/>
              <w:t>College: [College Name]</w:t>
            </w:r>
          </w:p>
        </w:tc>
      </w:tr>
      <w:tr>
        <w:tc>
          <w:tcPr>
            <w:tcW w:type="dxa" w:w="4320"/>
            <w:tcMar>
              <w:top w:w="120" w:type="dxa"/>
              <w:bottom w:w="120" w:type="dxa"/>
              <w:left w:w="120" w:type="dxa"/>
              <w:right w:w="120" w:type="dxa"/>
            </w:tcMar>
            <w:tcBorders>
              <w:top w:val="single" w:sz="6" w:space="0" w:color="718096"/>
              <w:bottom w:val="single" w:sz="6" w:space="0" w:color="718096"/>
              <w:left w:val="single" w:sz="6" w:space="0" w:color="718096"/>
              <w:right w:val="single" w:sz="6" w:space="0" w:color="718096"/>
            </w:tcBorders>
          </w:tcPr>
          <w:p>
            <w:pPr>
              <w:spacing w:line="276" w:lineRule="auto" w:after="40"/>
              <w:jc w:val="left"/>
            </w:pPr>
            <w:r>
              <w:t>SIGNATURE of Internal Examiner:</w:t>
              <w:br/>
              <w:t>_____________________</w:t>
              <w:br/>
              <w:t>Name: [Internal Examiner Name]</w:t>
              <w:br/>
              <w:t>Designation: [Academic Designation]</w:t>
              <w:br/>
              <w:t>Dept: Computer Application</w:t>
              <w:br/>
              <w:t>College: [College Name]</w:t>
            </w:r>
          </w:p>
        </w:tc>
        <w:tc>
          <w:tcPr>
            <w:tcW w:type="dxa" w:w="4320"/>
            <w:tcMar>
              <w:top w:w="120" w:type="dxa"/>
              <w:bottom w:w="120" w:type="dxa"/>
              <w:left w:w="120" w:type="dxa"/>
              <w:right w:w="120" w:type="dxa"/>
            </w:tcMar>
            <w:tcBorders>
              <w:top w:val="single" w:sz="6" w:space="0" w:color="718096"/>
              <w:bottom w:val="single" w:sz="6" w:space="0" w:color="718096"/>
              <w:left w:val="single" w:sz="6" w:space="0" w:color="718096"/>
              <w:right w:val="single" w:sz="6" w:space="0" w:color="718096"/>
            </w:tcBorders>
          </w:tcPr>
          <w:p>
            <w:pPr>
              <w:spacing w:line="276" w:lineRule="auto" w:after="40"/>
              <w:jc w:val="left"/>
            </w:pPr>
            <w:r>
              <w:t>SIGNATURE of External Examiner:</w:t>
              <w:br/>
              <w:t>_____________________</w:t>
              <w:br/>
              <w:t>Name: [External Examiner Name]</w:t>
              <w:br/>
              <w:t>Designation: External Examiner</w:t>
              <w:br/>
              <w:t>Tribhuvan University</w:t>
              <w:br/>
              <w:t>Faculty of Humanities &amp; Social Sciences</w:t>
            </w:r>
          </w:p>
        </w:tc>
      </w:tr>
    </w:tbl>
    <w:p>
      <w:r>
        <w:br w:type="page"/>
      </w:r>
    </w:p>
    <w:p>
      <w:pPr>
        <w:keepNext/>
        <w:spacing w:before="360" w:after="200" w:line="276" w:lineRule="auto"/>
        <w:jc w:val="left"/>
      </w:pPr>
      <w:r>
        <w:rPr>
          <w:rFonts w:ascii="Times New Roman" w:hAnsi="Times New Roman"/>
          <w:b/>
          <w:sz w:val="32"/>
        </w:rPr>
        <w:t>ABSTRACT</w:t>
      </w:r>
    </w:p>
    <w:p>
      <w:pPr>
        <w:spacing w:before="0" w:after="120" w:line="360" w:lineRule="auto"/>
        <w:jc w:val="both"/>
      </w:pPr>
      <w:r>
        <w:rPr>
          <w:rFonts w:ascii="Times New Roman" w:hAnsi="Times New Roman"/>
          <w:b w:val="0"/>
          <w:i w:val="0"/>
          <w:sz w:val="24"/>
        </w:rPr>
        <w:t>The Nepal Stock Exchange (NEPSE) is an emerging financial equity market characterized by high retail investor concentration, non-linear volatility, structural illiquidity across mid-tier and small-cap issues, and regulatory policy shifts. Traditional computational attempts to forecast exact price points frequently break down due to low order-book depth, circuit breakers, and speculative social media noise. This project, entitled “NEPSE AI: Real-Time Financial Decision Support and Stock Prediction System,” addresses these empirical realities by transitioning from high-error point regression to a comprehensive quantitative Decision Support System (DSS) and real-time market supervision terminal.</w:t>
      </w:r>
    </w:p>
    <w:p>
      <w:pPr>
        <w:spacing w:before="0" w:after="120" w:line="360" w:lineRule="auto"/>
        <w:jc w:val="both"/>
      </w:pPr>
      <w:r>
        <w:rPr>
          <w:rFonts w:ascii="Times New Roman" w:hAnsi="Times New Roman"/>
          <w:b w:val="0"/>
          <w:i w:val="0"/>
          <w:sz w:val="24"/>
        </w:rPr>
        <w:t>The system is engineered as an enterprise-grade, decoupled three-tier microservice architecture. The application core and background scheduling daemons are developed in NestJS with Prisma ORM, interfacing with live NEPSE data wrappers (@rumess/nepse-api) to ingest, normalize, and persist daily End-of-Day (EOD) OHLCV records across 649 listed securities. Machine learning inference is handled by a specialized Python FastAPI microservice utilizing a novel two-stage hybrid predictive architecture. In Stage 1, a PyTorch Long Short-Term Memory (LSTM) recurrent neural network extracts 16-dimensional latent temporal sequence embeddings from 30-day sliding price windows. In Stage 2, these sequence representations are concatenated with hand-engineered technical indicators (Wilder's RSI 14, MACD Histogram, Multi-period EMAs, Bollinger Bandwidth, and Volume Delta) and classified via an XGBoost multi-class softprob engine into probabilistic Bullish, Bearish, or Neutral market regimes.</w:t>
      </w:r>
    </w:p>
    <w:p>
      <w:pPr>
        <w:spacing w:before="0" w:after="120" w:line="360" w:lineRule="auto"/>
        <w:jc w:val="both"/>
      </w:pPr>
      <w:r>
        <w:rPr>
          <w:rFonts w:ascii="Times New Roman" w:hAnsi="Times New Roman"/>
          <w:b w:val="0"/>
          <w:i w:val="0"/>
          <w:sz w:val="24"/>
        </w:rPr>
        <w:t>Complementing the predictive pipeline is a full-featured financial trading terminal developed in React 19 and Vite 6. The client dashboard features an interactive candlestick and area visualizer with indicator overlays, a zero-dependency Web Audio API acoustic synthesizer chime and browser desktop alerting engine, a 5-day Monte Carlo price projection envelope, an empirical 60-session historical signal backtesting simulator, a live Market Movers screener with market breadth metrics, a multi-stock comparison matrix, and a paper trading portfolio manager. The platform achieves sub-50ms query response latency, resilient offline operation, and 100% availability through local persistence and client-side synthetic fallback engines, establishing an academic benchmark for quantitative capital market systems in Nepal.</w:t>
      </w:r>
    </w:p>
    <w:p>
      <w:pPr>
        <w:spacing w:before="0" w:after="120" w:line="360" w:lineRule="auto"/>
        <w:jc w:val="both"/>
      </w:pPr>
      <w:r>
        <w:rPr>
          <w:rFonts w:ascii="Times New Roman" w:hAnsi="Times New Roman"/>
          <w:b w:val="0"/>
          <w:i w:val="0"/>
          <w:sz w:val="24"/>
        </w:rPr>
        <w:t>Keywords: Decision Support System, NEPSE, Long Short-Term Memory, XGBoost, Hybrid Machine Learning, Technical Indicators, Real-Time Alarms, Microservices, NestJS, React, BCA Capstone Project.</w:t>
      </w:r>
    </w:p>
    <w:p>
      <w:r>
        <w:br w:type="page"/>
      </w:r>
    </w:p>
    <w:p>
      <w:pPr>
        <w:keepNext/>
        <w:spacing w:before="360" w:after="200" w:line="276" w:lineRule="auto"/>
        <w:jc w:val="left"/>
      </w:pPr>
      <w:r>
        <w:rPr>
          <w:rFonts w:ascii="Times New Roman" w:hAnsi="Times New Roman"/>
          <w:b/>
          <w:sz w:val="32"/>
        </w:rPr>
        <w:t>ACKNOWLEDGEMENT</w:t>
      </w:r>
    </w:p>
    <w:p>
      <w:pPr>
        <w:spacing w:before="0" w:after="120" w:line="360" w:lineRule="auto"/>
        <w:jc w:val="both"/>
      </w:pPr>
      <w:r>
        <w:rPr>
          <w:rFonts w:ascii="Times New Roman" w:hAnsi="Times New Roman"/>
          <w:b w:val="0"/>
          <w:i w:val="0"/>
          <w:sz w:val="24"/>
        </w:rPr>
        <w:t>We express our profound gratitude and sincere appreciation to Tribhuvan University, Faculty of Humanities and Social Sciences (FOHSS), for incorporating the Final Year Capstone Project (Project Work) into the Bachelor of Computer Application (BCA) 8th Semester curriculum. This rigorous practical endeavor has provided an extraordinary opportunity to synthesize theoretical knowledge across software engineering, artificial intelligence, distributed architectures, database systems, and financial engineering into a production-grade software application.</w:t>
      </w:r>
    </w:p>
    <w:p>
      <w:pPr>
        <w:spacing w:before="0" w:after="120" w:line="360" w:lineRule="auto"/>
        <w:jc w:val="both"/>
      </w:pPr>
      <w:r>
        <w:rPr>
          <w:rFonts w:ascii="Times New Roman" w:hAnsi="Times New Roman"/>
          <w:b w:val="0"/>
          <w:i w:val="0"/>
          <w:sz w:val="24"/>
        </w:rPr>
        <w:t>We owe a great debt of gratitude to our respected Project Supervisor, [Supervisor Name], for their invaluable mentorship, insightful critique, and continuous technical direction throughout the entire lifecycle of this project. Their guidance during algorithmic formulation, architecture decoupling, and system evaluation was instrumental in elevating the academic rigor and practical utility of our work.</w:t>
      </w:r>
    </w:p>
    <w:p>
      <w:pPr>
        <w:spacing w:before="0" w:after="120" w:line="360" w:lineRule="auto"/>
        <w:jc w:val="both"/>
      </w:pPr>
      <w:r>
        <w:rPr>
          <w:rFonts w:ascii="Times New Roman" w:hAnsi="Times New Roman"/>
          <w:b w:val="0"/>
          <w:i w:val="0"/>
          <w:sz w:val="24"/>
        </w:rPr>
        <w:t>We also extend our earnest appreciation to the Head of Department, [HOD/Coordinator Name], and all the esteemed faculty members of the Department of Computer Application at [College Name] for their administrative facilitation, encouragement, and for providing the modern computing infrastructure necessary to train and validate our machine learning models.</w:t>
      </w:r>
    </w:p>
    <w:p>
      <w:pPr>
        <w:spacing w:before="0" w:after="120" w:line="360" w:lineRule="auto"/>
        <w:jc w:val="both"/>
      </w:pPr>
      <w:r>
        <w:rPr>
          <w:rFonts w:ascii="Times New Roman" w:hAnsi="Times New Roman"/>
          <w:b w:val="0"/>
          <w:i w:val="0"/>
          <w:sz w:val="24"/>
        </w:rPr>
        <w:t>Finally, we are deeply thankful to our families, peers, and fellow BCA classmates for their unwavering support, moral encouragement, and constructive feedback throughout the development and documentation of this capstone project.</w:t>
      </w:r>
    </w:p>
    <w:p>
      <w:r>
        <w:br w:type="page"/>
      </w:r>
    </w:p>
    <w:p>
      <w:pPr>
        <w:keepNext/>
        <w:spacing w:before="360" w:after="200" w:line="276" w:lineRule="auto"/>
        <w:jc w:val="left"/>
      </w:pPr>
      <w:r>
        <w:rPr>
          <w:rFonts w:ascii="Times New Roman" w:hAnsi="Times New Roman"/>
          <w:b/>
          <w:sz w:val="32"/>
        </w:rPr>
        <w:t>TABLE OF CONTENTS</w:t>
      </w:r>
    </w:p>
    <w:p>
      <w:pPr>
        <w:spacing w:line="276" w:lineRule="auto" w:after="50"/>
      </w:pPr>
      <w:r>
        <w:rPr>
          <w:rFonts w:ascii="Times New Roman" w:hAnsi="Times New Roman"/>
          <w:b w:val="0"/>
          <w:sz w:val="22"/>
        </w:rPr>
        <w:t>Supervisor’s Recommendation</w:t>
      </w:r>
      <w:r>
        <w:rPr>
          <w:rFonts w:ascii="Times New Roman" w:hAnsi="Times New Roman"/>
          <w:color w:val="8C8C8C"/>
          <w:sz w:val="20"/>
        </w:rPr>
        <w:t xml:space="preserve"> ......................................... </w:t>
      </w:r>
      <w:r>
        <w:rPr>
          <w:rFonts w:ascii="Times New Roman" w:hAnsi="Times New Roman"/>
          <w:b w:val="0"/>
          <w:sz w:val="22"/>
        </w:rPr>
        <w:t>ii</w:t>
      </w:r>
    </w:p>
    <w:p>
      <w:pPr>
        <w:spacing w:line="276" w:lineRule="auto" w:after="50"/>
      </w:pPr>
      <w:r>
        <w:rPr>
          <w:rFonts w:ascii="Times New Roman" w:hAnsi="Times New Roman"/>
          <w:b w:val="0"/>
          <w:sz w:val="22"/>
        </w:rPr>
        <w:t>Letter of Approval</w:t>
      </w:r>
      <w:r>
        <w:rPr>
          <w:rFonts w:ascii="Times New Roman" w:hAnsi="Times New Roman"/>
          <w:color w:val="8C8C8C"/>
          <w:sz w:val="20"/>
        </w:rPr>
        <w:t xml:space="preserve"> .................................................. </w:t>
      </w:r>
      <w:r>
        <w:rPr>
          <w:rFonts w:ascii="Times New Roman" w:hAnsi="Times New Roman"/>
          <w:b w:val="0"/>
          <w:sz w:val="22"/>
        </w:rPr>
        <w:t>iii</w:t>
      </w:r>
    </w:p>
    <w:p>
      <w:pPr>
        <w:spacing w:line="276" w:lineRule="auto" w:after="50"/>
      </w:pPr>
      <w:r>
        <w:rPr>
          <w:rFonts w:ascii="Times New Roman" w:hAnsi="Times New Roman"/>
          <w:b w:val="0"/>
          <w:sz w:val="22"/>
        </w:rPr>
        <w:t>Abstract</w:t>
      </w:r>
      <w:r>
        <w:rPr>
          <w:rFonts w:ascii="Times New Roman" w:hAnsi="Times New Roman"/>
          <w:color w:val="8C8C8C"/>
          <w:sz w:val="20"/>
        </w:rPr>
        <w:t xml:space="preserve"> ............................................................ </w:t>
      </w:r>
      <w:r>
        <w:rPr>
          <w:rFonts w:ascii="Times New Roman" w:hAnsi="Times New Roman"/>
          <w:b w:val="0"/>
          <w:sz w:val="22"/>
        </w:rPr>
        <w:t>iv</w:t>
      </w:r>
    </w:p>
    <w:p>
      <w:pPr>
        <w:spacing w:line="276" w:lineRule="auto" w:after="50"/>
      </w:pPr>
      <w:r>
        <w:rPr>
          <w:rFonts w:ascii="Times New Roman" w:hAnsi="Times New Roman"/>
          <w:b w:val="0"/>
          <w:sz w:val="22"/>
        </w:rPr>
        <w:t>Acknowledgement</w:t>
      </w:r>
      <w:r>
        <w:rPr>
          <w:rFonts w:ascii="Times New Roman" w:hAnsi="Times New Roman"/>
          <w:color w:val="8C8C8C"/>
          <w:sz w:val="20"/>
        </w:rPr>
        <w:t xml:space="preserve"> ..................................................... </w:t>
      </w:r>
      <w:r>
        <w:rPr>
          <w:rFonts w:ascii="Times New Roman" w:hAnsi="Times New Roman"/>
          <w:b w:val="0"/>
          <w:sz w:val="22"/>
        </w:rPr>
        <w:t>v</w:t>
      </w:r>
    </w:p>
    <w:p>
      <w:pPr>
        <w:spacing w:line="276" w:lineRule="auto" w:after="50"/>
      </w:pPr>
      <w:r>
        <w:rPr>
          <w:rFonts w:ascii="Times New Roman" w:hAnsi="Times New Roman"/>
          <w:b w:val="0"/>
          <w:sz w:val="22"/>
        </w:rPr>
        <w:t>List of Abbreviations</w:t>
      </w:r>
      <w:r>
        <w:rPr>
          <w:rFonts w:ascii="Times New Roman" w:hAnsi="Times New Roman"/>
          <w:color w:val="8C8C8C"/>
          <w:sz w:val="20"/>
        </w:rPr>
        <w:t xml:space="preserve"> ............................................... </w:t>
      </w:r>
      <w:r>
        <w:rPr>
          <w:rFonts w:ascii="Times New Roman" w:hAnsi="Times New Roman"/>
          <w:b w:val="0"/>
          <w:sz w:val="22"/>
        </w:rPr>
        <w:t>vii</w:t>
      </w:r>
    </w:p>
    <w:p>
      <w:pPr>
        <w:spacing w:line="276" w:lineRule="auto" w:after="50"/>
      </w:pPr>
      <w:r>
        <w:rPr>
          <w:rFonts w:ascii="Times New Roman" w:hAnsi="Times New Roman"/>
          <w:b w:val="0"/>
          <w:sz w:val="22"/>
        </w:rPr>
        <w:t>List of Figures</w:t>
      </w:r>
      <w:r>
        <w:rPr>
          <w:rFonts w:ascii="Times New Roman" w:hAnsi="Times New Roman"/>
          <w:color w:val="8C8C8C"/>
          <w:sz w:val="20"/>
        </w:rPr>
        <w:t xml:space="preserve"> ..................................................... </w:t>
      </w:r>
      <w:r>
        <w:rPr>
          <w:rFonts w:ascii="Times New Roman" w:hAnsi="Times New Roman"/>
          <w:b w:val="0"/>
          <w:sz w:val="22"/>
        </w:rPr>
        <w:t>viii</w:t>
      </w:r>
    </w:p>
    <w:p>
      <w:pPr>
        <w:spacing w:line="276" w:lineRule="auto" w:after="50"/>
      </w:pPr>
      <w:r>
        <w:rPr>
          <w:rFonts w:ascii="Times New Roman" w:hAnsi="Times New Roman"/>
          <w:b w:val="0"/>
          <w:sz w:val="22"/>
        </w:rPr>
        <w:t>List of Tables</w:t>
      </w:r>
      <w:r>
        <w:rPr>
          <w:rFonts w:ascii="Times New Roman" w:hAnsi="Times New Roman"/>
          <w:color w:val="8C8C8C"/>
          <w:sz w:val="20"/>
        </w:rPr>
        <w:t xml:space="preserve"> ...................................................... </w:t>
      </w:r>
      <w:r>
        <w:rPr>
          <w:rFonts w:ascii="Times New Roman" w:hAnsi="Times New Roman"/>
          <w:b w:val="0"/>
          <w:sz w:val="22"/>
        </w:rPr>
        <w:t>ix</w:t>
      </w:r>
    </w:p>
    <w:p>
      <w:pPr>
        <w:spacing w:line="276" w:lineRule="auto" w:after="50"/>
      </w:pPr>
      <w:r>
        <w:rPr>
          <w:rFonts w:ascii="Times New Roman" w:hAnsi="Times New Roman"/>
          <w:b/>
          <w:sz w:val="22"/>
        </w:rPr>
        <w:t>CHAPTER 1: INTRODUCTION</w:t>
      </w:r>
      <w:r>
        <w:rPr>
          <w:rFonts w:ascii="Times New Roman" w:hAnsi="Times New Roman"/>
          <w:color w:val="8C8C8C"/>
          <w:sz w:val="20"/>
        </w:rPr>
        <w:t xml:space="preserve"> ............................................. </w:t>
      </w:r>
      <w:r>
        <w:rPr>
          <w:rFonts w:ascii="Times New Roman" w:hAnsi="Times New Roman"/>
          <w:b/>
          <w:sz w:val="22"/>
        </w:rPr>
        <w:t>1</w:t>
      </w:r>
    </w:p>
    <w:p>
      <w:pPr>
        <w:spacing w:line="276" w:lineRule="auto" w:after="50"/>
      </w:pPr>
      <w:r>
        <w:rPr>
          <w:rFonts w:ascii="Times New Roman" w:hAnsi="Times New Roman"/>
          <w:b w:val="0"/>
          <w:sz w:val="22"/>
        </w:rPr>
        <w:t xml:space="preserve">  1.1 Introduction</w:t>
      </w:r>
      <w:r>
        <w:rPr>
          <w:rFonts w:ascii="Times New Roman" w:hAnsi="Times New Roman"/>
          <w:color w:val="8C8C8C"/>
          <w:sz w:val="20"/>
        </w:rPr>
        <w:t xml:space="preserve"> .................................................. </w:t>
      </w:r>
      <w:r>
        <w:rPr>
          <w:rFonts w:ascii="Times New Roman" w:hAnsi="Times New Roman"/>
          <w:b w:val="0"/>
          <w:sz w:val="22"/>
        </w:rPr>
        <w:t>1</w:t>
      </w:r>
    </w:p>
    <w:p>
      <w:pPr>
        <w:spacing w:line="276" w:lineRule="auto" w:after="50"/>
      </w:pPr>
      <w:r>
        <w:rPr>
          <w:rFonts w:ascii="Times New Roman" w:hAnsi="Times New Roman"/>
          <w:b w:val="0"/>
          <w:sz w:val="22"/>
        </w:rPr>
        <w:t xml:space="preserve">  1.2 Problem Statement</w:t>
      </w:r>
      <w:r>
        <w:rPr>
          <w:rFonts w:ascii="Times New Roman" w:hAnsi="Times New Roman"/>
          <w:color w:val="8C8C8C"/>
          <w:sz w:val="20"/>
        </w:rPr>
        <w:t xml:space="preserve"> ............................................. </w:t>
      </w:r>
      <w:r>
        <w:rPr>
          <w:rFonts w:ascii="Times New Roman" w:hAnsi="Times New Roman"/>
          <w:b w:val="0"/>
          <w:sz w:val="22"/>
        </w:rPr>
        <w:t>3</w:t>
      </w:r>
    </w:p>
    <w:p>
      <w:pPr>
        <w:spacing w:line="276" w:lineRule="auto" w:after="50"/>
      </w:pPr>
      <w:r>
        <w:rPr>
          <w:rFonts w:ascii="Times New Roman" w:hAnsi="Times New Roman"/>
          <w:b w:val="0"/>
          <w:sz w:val="22"/>
        </w:rPr>
        <w:t xml:space="preserve">  1.3 Objectives</w:t>
      </w:r>
      <w:r>
        <w:rPr>
          <w:rFonts w:ascii="Times New Roman" w:hAnsi="Times New Roman"/>
          <w:color w:val="8C8C8C"/>
          <w:sz w:val="20"/>
        </w:rPr>
        <w:t xml:space="preserve"> .................................................... </w:t>
      </w:r>
      <w:r>
        <w:rPr>
          <w:rFonts w:ascii="Times New Roman" w:hAnsi="Times New Roman"/>
          <w:b w:val="0"/>
          <w:sz w:val="22"/>
        </w:rPr>
        <w:t>4</w:t>
      </w:r>
    </w:p>
    <w:p>
      <w:pPr>
        <w:spacing w:line="276" w:lineRule="auto" w:after="50"/>
      </w:pPr>
      <w:r>
        <w:rPr>
          <w:rFonts w:ascii="Times New Roman" w:hAnsi="Times New Roman"/>
          <w:b w:val="0"/>
          <w:sz w:val="22"/>
        </w:rPr>
        <w:t xml:space="preserve">  1.4 Scope and Limitation</w:t>
      </w:r>
      <w:r>
        <w:rPr>
          <w:rFonts w:ascii="Times New Roman" w:hAnsi="Times New Roman"/>
          <w:color w:val="8C8C8C"/>
          <w:sz w:val="20"/>
        </w:rPr>
        <w:t xml:space="preserve"> .......................................... </w:t>
      </w:r>
      <w:r>
        <w:rPr>
          <w:rFonts w:ascii="Times New Roman" w:hAnsi="Times New Roman"/>
          <w:b w:val="0"/>
          <w:sz w:val="22"/>
        </w:rPr>
        <w:t>5</w:t>
      </w:r>
    </w:p>
    <w:p>
      <w:pPr>
        <w:spacing w:line="276" w:lineRule="auto" w:after="50"/>
      </w:pPr>
      <w:r>
        <w:rPr>
          <w:rFonts w:ascii="Times New Roman" w:hAnsi="Times New Roman"/>
          <w:b w:val="0"/>
          <w:sz w:val="22"/>
        </w:rPr>
        <w:t xml:space="preserve">  1.5 Development Methodology</w:t>
      </w:r>
      <w:r>
        <w:rPr>
          <w:rFonts w:ascii="Times New Roman" w:hAnsi="Times New Roman"/>
          <w:color w:val="8C8C8C"/>
          <w:sz w:val="20"/>
        </w:rPr>
        <w:t xml:space="preserve"> ....................................... </w:t>
      </w:r>
      <w:r>
        <w:rPr>
          <w:rFonts w:ascii="Times New Roman" w:hAnsi="Times New Roman"/>
          <w:b w:val="0"/>
          <w:sz w:val="22"/>
        </w:rPr>
        <w:t>6</w:t>
      </w:r>
    </w:p>
    <w:p>
      <w:pPr>
        <w:spacing w:line="276" w:lineRule="auto" w:after="50"/>
      </w:pPr>
      <w:r>
        <w:rPr>
          <w:rFonts w:ascii="Times New Roman" w:hAnsi="Times New Roman"/>
          <w:b w:val="0"/>
          <w:sz w:val="22"/>
        </w:rPr>
        <w:t xml:space="preserve">  1.6 Report Organization</w:t>
      </w:r>
      <w:r>
        <w:rPr>
          <w:rFonts w:ascii="Times New Roman" w:hAnsi="Times New Roman"/>
          <w:color w:val="8C8C8C"/>
          <w:sz w:val="20"/>
        </w:rPr>
        <w:t xml:space="preserve"> ........................................... </w:t>
      </w:r>
      <w:r>
        <w:rPr>
          <w:rFonts w:ascii="Times New Roman" w:hAnsi="Times New Roman"/>
          <w:b w:val="0"/>
          <w:sz w:val="22"/>
        </w:rPr>
        <w:t>8</w:t>
      </w:r>
    </w:p>
    <w:p>
      <w:pPr>
        <w:spacing w:line="276" w:lineRule="auto" w:after="50"/>
      </w:pPr>
      <w:r>
        <w:rPr>
          <w:rFonts w:ascii="Times New Roman" w:hAnsi="Times New Roman"/>
          <w:b/>
          <w:sz w:val="22"/>
        </w:rPr>
        <w:t>CHAPTER 2: BACKGROUND STUDY AND LITERATURE REVIEW</w:t>
      </w:r>
      <w:r>
        <w:rPr>
          <w:rFonts w:ascii="Times New Roman" w:hAnsi="Times New Roman"/>
          <w:color w:val="8C8C8C"/>
          <w:sz w:val="20"/>
        </w:rPr>
        <w:t xml:space="preserve"> ................... </w:t>
      </w:r>
      <w:r>
        <w:rPr>
          <w:rFonts w:ascii="Times New Roman" w:hAnsi="Times New Roman"/>
          <w:b/>
          <w:sz w:val="22"/>
        </w:rPr>
        <w:t>9</w:t>
      </w:r>
    </w:p>
    <w:p>
      <w:pPr>
        <w:spacing w:line="276" w:lineRule="auto" w:after="50"/>
      </w:pPr>
      <w:r>
        <w:rPr>
          <w:rFonts w:ascii="Times New Roman" w:hAnsi="Times New Roman"/>
          <w:b w:val="0"/>
          <w:sz w:val="22"/>
        </w:rPr>
        <w:t xml:space="preserve">  2.1 Background Study</w:t>
      </w:r>
      <w:r>
        <w:rPr>
          <w:rFonts w:ascii="Times New Roman" w:hAnsi="Times New Roman"/>
          <w:color w:val="8C8C8C"/>
          <w:sz w:val="20"/>
        </w:rPr>
        <w:t xml:space="preserve"> .............................................. </w:t>
      </w:r>
      <w:r>
        <w:rPr>
          <w:rFonts w:ascii="Times New Roman" w:hAnsi="Times New Roman"/>
          <w:b w:val="0"/>
          <w:sz w:val="22"/>
        </w:rPr>
        <w:t>9</w:t>
      </w:r>
    </w:p>
    <w:p>
      <w:pPr>
        <w:spacing w:line="276" w:lineRule="auto" w:after="50"/>
      </w:pPr>
      <w:r>
        <w:rPr>
          <w:rFonts w:ascii="Times New Roman" w:hAnsi="Times New Roman"/>
          <w:b w:val="0"/>
          <w:sz w:val="22"/>
        </w:rPr>
        <w:t xml:space="preserve">    2.1.1 Overview of NEPSE Market Mechanics</w:t>
      </w:r>
      <w:r>
        <w:rPr>
          <w:rFonts w:ascii="Times New Roman" w:hAnsi="Times New Roman"/>
          <w:color w:val="8C8C8C"/>
          <w:sz w:val="20"/>
        </w:rPr>
        <w:t xml:space="preserve"> ........................ </w:t>
      </w:r>
      <w:r>
        <w:rPr>
          <w:rFonts w:ascii="Times New Roman" w:hAnsi="Times New Roman"/>
          <w:b w:val="0"/>
          <w:sz w:val="22"/>
        </w:rPr>
        <w:t>9</w:t>
      </w:r>
    </w:p>
    <w:p>
      <w:pPr>
        <w:spacing w:line="276" w:lineRule="auto" w:after="50"/>
      </w:pPr>
      <w:r>
        <w:rPr>
          <w:rFonts w:ascii="Times New Roman" w:hAnsi="Times New Roman"/>
          <w:b w:val="0"/>
          <w:sz w:val="22"/>
        </w:rPr>
        <w:t xml:space="preserve">    2.1.2 Technical Analysis &amp; Mathematical Indicators</w:t>
      </w:r>
      <w:r>
        <w:rPr>
          <w:rFonts w:ascii="Times New Roman" w:hAnsi="Times New Roman"/>
          <w:color w:val="8C8C8C"/>
          <w:sz w:val="20"/>
        </w:rPr>
        <w:t xml:space="preserve"> .............. </w:t>
      </w:r>
      <w:r>
        <w:rPr>
          <w:rFonts w:ascii="Times New Roman" w:hAnsi="Times New Roman"/>
          <w:b w:val="0"/>
          <w:sz w:val="22"/>
        </w:rPr>
        <w:t>10</w:t>
      </w:r>
    </w:p>
    <w:p>
      <w:pPr>
        <w:spacing w:line="276" w:lineRule="auto" w:after="50"/>
      </w:pPr>
      <w:r>
        <w:rPr>
          <w:rFonts w:ascii="Times New Roman" w:hAnsi="Times New Roman"/>
          <w:b w:val="0"/>
          <w:sz w:val="22"/>
        </w:rPr>
        <w:t xml:space="preserve">    2.1.3 Time-Series Financial Modeling &amp; Machine Learning</w:t>
      </w:r>
      <w:r>
        <w:rPr>
          <w:rFonts w:ascii="Times New Roman" w:hAnsi="Times New Roman"/>
          <w:color w:val="8C8C8C"/>
          <w:sz w:val="20"/>
        </w:rPr>
        <w:t xml:space="preserve"> ......... </w:t>
      </w:r>
      <w:r>
        <w:rPr>
          <w:rFonts w:ascii="Times New Roman" w:hAnsi="Times New Roman"/>
          <w:b w:val="0"/>
          <w:sz w:val="22"/>
        </w:rPr>
        <w:t>13</w:t>
      </w:r>
    </w:p>
    <w:p>
      <w:pPr>
        <w:spacing w:line="276" w:lineRule="auto" w:after="50"/>
      </w:pPr>
      <w:r>
        <w:rPr>
          <w:rFonts w:ascii="Times New Roman" w:hAnsi="Times New Roman"/>
          <w:b w:val="0"/>
          <w:sz w:val="22"/>
        </w:rPr>
        <w:t xml:space="preserve">    2.1.4 Recurrent Neural Networks &amp; LSTM Architectures</w:t>
      </w:r>
      <w:r>
        <w:rPr>
          <w:rFonts w:ascii="Times New Roman" w:hAnsi="Times New Roman"/>
          <w:color w:val="8C8C8C"/>
          <w:sz w:val="20"/>
        </w:rPr>
        <w:t xml:space="preserve"> ............ </w:t>
      </w:r>
      <w:r>
        <w:rPr>
          <w:rFonts w:ascii="Times New Roman" w:hAnsi="Times New Roman"/>
          <w:b w:val="0"/>
          <w:sz w:val="22"/>
        </w:rPr>
        <w:t>14</w:t>
      </w:r>
    </w:p>
    <w:p>
      <w:pPr>
        <w:spacing w:line="276" w:lineRule="auto" w:after="50"/>
      </w:pPr>
      <w:r>
        <w:rPr>
          <w:rFonts w:ascii="Times New Roman" w:hAnsi="Times New Roman"/>
          <w:b w:val="0"/>
          <w:sz w:val="22"/>
        </w:rPr>
        <w:t xml:space="preserve">    2.1.5 Extreme Gradient Boosting (XGBoost) Framework</w:t>
      </w:r>
      <w:r>
        <w:rPr>
          <w:rFonts w:ascii="Times New Roman" w:hAnsi="Times New Roman"/>
          <w:color w:val="8C8C8C"/>
          <w:sz w:val="20"/>
        </w:rPr>
        <w:t xml:space="preserve"> ............. </w:t>
      </w:r>
      <w:r>
        <w:rPr>
          <w:rFonts w:ascii="Times New Roman" w:hAnsi="Times New Roman"/>
          <w:b w:val="0"/>
          <w:sz w:val="22"/>
        </w:rPr>
        <w:t>16</w:t>
      </w:r>
    </w:p>
    <w:p>
      <w:pPr>
        <w:spacing w:line="276" w:lineRule="auto" w:after="50"/>
      </w:pPr>
      <w:r>
        <w:rPr>
          <w:rFonts w:ascii="Times New Roman" w:hAnsi="Times New Roman"/>
          <w:b w:val="0"/>
          <w:sz w:val="22"/>
        </w:rPr>
        <w:t xml:space="preserve">    2.1.6 The Hybrid Sequence-Tabular Feature Engineering</w:t>
      </w:r>
      <w:r>
        <w:rPr>
          <w:rFonts w:ascii="Times New Roman" w:hAnsi="Times New Roman"/>
          <w:color w:val="8C8C8C"/>
          <w:sz w:val="20"/>
        </w:rPr>
        <w:t xml:space="preserve"> ........... </w:t>
      </w:r>
      <w:r>
        <w:rPr>
          <w:rFonts w:ascii="Times New Roman" w:hAnsi="Times New Roman"/>
          <w:b w:val="0"/>
          <w:sz w:val="22"/>
        </w:rPr>
        <w:t>17</w:t>
      </w:r>
    </w:p>
    <w:p>
      <w:pPr>
        <w:spacing w:line="276" w:lineRule="auto" w:after="50"/>
      </w:pPr>
      <w:r>
        <w:rPr>
          <w:rFonts w:ascii="Times New Roman" w:hAnsi="Times New Roman"/>
          <w:b w:val="0"/>
          <w:sz w:val="22"/>
        </w:rPr>
        <w:t xml:space="preserve">    2.1.7 Modern Real-Time Web Alerting Architectures</w:t>
      </w:r>
      <w:r>
        <w:rPr>
          <w:rFonts w:ascii="Times New Roman" w:hAnsi="Times New Roman"/>
          <w:color w:val="8C8C8C"/>
          <w:sz w:val="20"/>
        </w:rPr>
        <w:t xml:space="preserve"> ............... </w:t>
      </w:r>
      <w:r>
        <w:rPr>
          <w:rFonts w:ascii="Times New Roman" w:hAnsi="Times New Roman"/>
          <w:b w:val="0"/>
          <w:sz w:val="22"/>
        </w:rPr>
        <w:t>18</w:t>
      </w:r>
    </w:p>
    <w:p>
      <w:pPr>
        <w:spacing w:line="276" w:lineRule="auto" w:after="50"/>
      </w:pPr>
      <w:r>
        <w:rPr>
          <w:rFonts w:ascii="Times New Roman" w:hAnsi="Times New Roman"/>
          <w:b w:val="0"/>
          <w:sz w:val="22"/>
        </w:rPr>
        <w:t xml:space="preserve">  2.2 Literature Review</w:t>
      </w:r>
      <w:r>
        <w:rPr>
          <w:rFonts w:ascii="Times New Roman" w:hAnsi="Times New Roman"/>
          <w:color w:val="8C8C8C"/>
          <w:sz w:val="20"/>
        </w:rPr>
        <w:t xml:space="preserve"> ............................................. </w:t>
      </w:r>
      <w:r>
        <w:rPr>
          <w:rFonts w:ascii="Times New Roman" w:hAnsi="Times New Roman"/>
          <w:b w:val="0"/>
          <w:sz w:val="22"/>
        </w:rPr>
        <w:t>19</w:t>
      </w:r>
    </w:p>
    <w:p>
      <w:pPr>
        <w:spacing w:line="276" w:lineRule="auto" w:after="50"/>
      </w:pPr>
      <w:r>
        <w:rPr>
          <w:rFonts w:ascii="Times New Roman" w:hAnsi="Times New Roman"/>
          <w:b w:val="0"/>
          <w:sz w:val="22"/>
        </w:rPr>
        <w:t xml:space="preserve">    2.2.1 Review of Related Works</w:t>
      </w:r>
      <w:r>
        <w:rPr>
          <w:rFonts w:ascii="Times New Roman" w:hAnsi="Times New Roman"/>
          <w:color w:val="8C8C8C"/>
          <w:sz w:val="20"/>
        </w:rPr>
        <w:t xml:space="preserve"> ................................... </w:t>
      </w:r>
      <w:r>
        <w:rPr>
          <w:rFonts w:ascii="Times New Roman" w:hAnsi="Times New Roman"/>
          <w:b w:val="0"/>
          <w:sz w:val="22"/>
        </w:rPr>
        <w:t>19</w:t>
      </w:r>
    </w:p>
    <w:p>
      <w:pPr>
        <w:spacing w:line="276" w:lineRule="auto" w:after="50"/>
      </w:pPr>
      <w:r>
        <w:rPr>
          <w:rFonts w:ascii="Times New Roman" w:hAnsi="Times New Roman"/>
          <w:b w:val="0"/>
          <w:sz w:val="22"/>
        </w:rPr>
        <w:t xml:space="preserve">    2.2.2 Comparative Summary of Literature</w:t>
      </w:r>
      <w:r>
        <w:rPr>
          <w:rFonts w:ascii="Times New Roman" w:hAnsi="Times New Roman"/>
          <w:color w:val="8C8C8C"/>
          <w:sz w:val="20"/>
        </w:rPr>
        <w:t xml:space="preserve"> ......................... </w:t>
      </w:r>
      <w:r>
        <w:rPr>
          <w:rFonts w:ascii="Times New Roman" w:hAnsi="Times New Roman"/>
          <w:b w:val="0"/>
          <w:sz w:val="22"/>
        </w:rPr>
        <w:t>22</w:t>
      </w:r>
    </w:p>
    <w:p>
      <w:pPr>
        <w:spacing w:line="276" w:lineRule="auto" w:after="50"/>
      </w:pPr>
      <w:r>
        <w:rPr>
          <w:rFonts w:ascii="Times New Roman" w:hAnsi="Times New Roman"/>
          <w:b/>
          <w:sz w:val="22"/>
        </w:rPr>
        <w:t>CHAPTER 3: SYSTEM ANALYSIS AND DESIGN</w:t>
      </w:r>
      <w:r>
        <w:rPr>
          <w:rFonts w:ascii="Times New Roman" w:hAnsi="Times New Roman"/>
          <w:color w:val="8C8C8C"/>
          <w:sz w:val="20"/>
        </w:rPr>
        <w:t xml:space="preserve"> ............................... </w:t>
      </w:r>
      <w:r>
        <w:rPr>
          <w:rFonts w:ascii="Times New Roman" w:hAnsi="Times New Roman"/>
          <w:b/>
          <w:sz w:val="22"/>
        </w:rPr>
        <w:t>24</w:t>
      </w:r>
    </w:p>
    <w:p>
      <w:pPr>
        <w:spacing w:line="276" w:lineRule="auto" w:after="50"/>
      </w:pPr>
      <w:r>
        <w:rPr>
          <w:rFonts w:ascii="Times New Roman" w:hAnsi="Times New Roman"/>
          <w:b w:val="0"/>
          <w:sz w:val="22"/>
        </w:rPr>
        <w:t xml:space="preserve">  3.1 System Analysis</w:t>
      </w:r>
      <w:r>
        <w:rPr>
          <w:rFonts w:ascii="Times New Roman" w:hAnsi="Times New Roman"/>
          <w:color w:val="8C8C8C"/>
          <w:sz w:val="20"/>
        </w:rPr>
        <w:t xml:space="preserve"> ............................................... </w:t>
      </w:r>
      <w:r>
        <w:rPr>
          <w:rFonts w:ascii="Times New Roman" w:hAnsi="Times New Roman"/>
          <w:b w:val="0"/>
          <w:sz w:val="22"/>
        </w:rPr>
        <w:t>24</w:t>
      </w:r>
    </w:p>
    <w:p>
      <w:pPr>
        <w:spacing w:line="276" w:lineRule="auto" w:after="50"/>
      </w:pPr>
      <w:r>
        <w:rPr>
          <w:rFonts w:ascii="Times New Roman" w:hAnsi="Times New Roman"/>
          <w:b w:val="0"/>
          <w:sz w:val="22"/>
        </w:rPr>
        <w:t xml:space="preserve">    3.1.1 Requirement Analysis</w:t>
      </w:r>
      <w:r>
        <w:rPr>
          <w:rFonts w:ascii="Times New Roman" w:hAnsi="Times New Roman"/>
          <w:color w:val="8C8C8C"/>
          <w:sz w:val="20"/>
        </w:rPr>
        <w:t xml:space="preserve"> ...................................... </w:t>
      </w:r>
      <w:r>
        <w:rPr>
          <w:rFonts w:ascii="Times New Roman" w:hAnsi="Times New Roman"/>
          <w:b w:val="0"/>
          <w:sz w:val="22"/>
        </w:rPr>
        <w:t>24</w:t>
      </w:r>
    </w:p>
    <w:p>
      <w:pPr>
        <w:spacing w:line="276" w:lineRule="auto" w:after="50"/>
      </w:pPr>
      <w:r>
        <w:rPr>
          <w:rFonts w:ascii="Times New Roman" w:hAnsi="Times New Roman"/>
          <w:b w:val="0"/>
          <w:sz w:val="22"/>
        </w:rPr>
        <w:t xml:space="preserve">      i. Functional Requirements</w:t>
      </w:r>
      <w:r>
        <w:rPr>
          <w:rFonts w:ascii="Times New Roman" w:hAnsi="Times New Roman"/>
          <w:color w:val="8C8C8C"/>
          <w:sz w:val="20"/>
        </w:rPr>
        <w:t xml:space="preserve"> .................................... </w:t>
      </w:r>
      <w:r>
        <w:rPr>
          <w:rFonts w:ascii="Times New Roman" w:hAnsi="Times New Roman"/>
          <w:b w:val="0"/>
          <w:sz w:val="22"/>
        </w:rPr>
        <w:t>24</w:t>
      </w:r>
    </w:p>
    <w:p>
      <w:pPr>
        <w:spacing w:line="276" w:lineRule="auto" w:after="50"/>
      </w:pPr>
      <w:r>
        <w:rPr>
          <w:rFonts w:ascii="Times New Roman" w:hAnsi="Times New Roman"/>
          <w:b w:val="0"/>
          <w:sz w:val="22"/>
        </w:rPr>
        <w:t xml:space="preserve">      ii. Detailed Use Case Descriptions</w:t>
      </w:r>
      <w:r>
        <w:rPr>
          <w:rFonts w:ascii="Times New Roman" w:hAnsi="Times New Roman"/>
          <w:color w:val="8C8C8C"/>
          <w:sz w:val="20"/>
        </w:rPr>
        <w:t xml:space="preserve"> ............................ </w:t>
      </w:r>
      <w:r>
        <w:rPr>
          <w:rFonts w:ascii="Times New Roman" w:hAnsi="Times New Roman"/>
          <w:b w:val="0"/>
          <w:sz w:val="22"/>
        </w:rPr>
        <w:t>26</w:t>
      </w:r>
    </w:p>
    <w:p>
      <w:pPr>
        <w:spacing w:line="276" w:lineRule="auto" w:after="50"/>
      </w:pPr>
      <w:r>
        <w:rPr>
          <w:rFonts w:ascii="Times New Roman" w:hAnsi="Times New Roman"/>
          <w:b w:val="0"/>
          <w:sz w:val="22"/>
        </w:rPr>
        <w:t xml:space="preserve">      iii. Non-Functional Requirements</w:t>
      </w:r>
      <w:r>
        <w:rPr>
          <w:rFonts w:ascii="Times New Roman" w:hAnsi="Times New Roman"/>
          <w:color w:val="8C8C8C"/>
          <w:sz w:val="20"/>
        </w:rPr>
        <w:t xml:space="preserve"> .............................. </w:t>
      </w:r>
      <w:r>
        <w:rPr>
          <w:rFonts w:ascii="Times New Roman" w:hAnsi="Times New Roman"/>
          <w:b w:val="0"/>
          <w:sz w:val="22"/>
        </w:rPr>
        <w:t>28</w:t>
      </w:r>
    </w:p>
    <w:p>
      <w:pPr>
        <w:spacing w:line="276" w:lineRule="auto" w:after="50"/>
      </w:pPr>
      <w:r>
        <w:rPr>
          <w:rFonts w:ascii="Times New Roman" w:hAnsi="Times New Roman"/>
          <w:b w:val="0"/>
          <w:sz w:val="22"/>
        </w:rPr>
        <w:t xml:space="preserve">    3.1.2 Feasibility Analysis</w:t>
      </w:r>
      <w:r>
        <w:rPr>
          <w:rFonts w:ascii="Times New Roman" w:hAnsi="Times New Roman"/>
          <w:color w:val="8C8C8C"/>
          <w:sz w:val="20"/>
        </w:rPr>
        <w:t xml:space="preserve"> ...................................... </w:t>
      </w:r>
      <w:r>
        <w:rPr>
          <w:rFonts w:ascii="Times New Roman" w:hAnsi="Times New Roman"/>
          <w:b w:val="0"/>
          <w:sz w:val="22"/>
        </w:rPr>
        <w:t>29</w:t>
      </w:r>
    </w:p>
    <w:p>
      <w:pPr>
        <w:spacing w:line="276" w:lineRule="auto" w:after="50"/>
      </w:pPr>
      <w:r>
        <w:rPr>
          <w:rFonts w:ascii="Times New Roman" w:hAnsi="Times New Roman"/>
          <w:b w:val="0"/>
          <w:sz w:val="22"/>
        </w:rPr>
        <w:t xml:space="preserve">    3.1.3 Object Modelling (Class Diagram &amp; Domain Entities)</w:t>
      </w:r>
      <w:r>
        <w:rPr>
          <w:rFonts w:ascii="Times New Roman" w:hAnsi="Times New Roman"/>
          <w:color w:val="8C8C8C"/>
          <w:sz w:val="20"/>
        </w:rPr>
        <w:t xml:space="preserve"> ........ </w:t>
      </w:r>
      <w:r>
        <w:rPr>
          <w:rFonts w:ascii="Times New Roman" w:hAnsi="Times New Roman"/>
          <w:b w:val="0"/>
          <w:sz w:val="22"/>
        </w:rPr>
        <w:t>31</w:t>
      </w:r>
    </w:p>
    <w:p>
      <w:pPr>
        <w:spacing w:line="276" w:lineRule="auto" w:after="50"/>
      </w:pPr>
      <w:r>
        <w:rPr>
          <w:rFonts w:ascii="Times New Roman" w:hAnsi="Times New Roman"/>
          <w:b w:val="0"/>
          <w:sz w:val="22"/>
        </w:rPr>
        <w:t xml:space="preserve">    3.1.4 Dynamic Modelling (Sequence &amp; State Diagrams)</w:t>
      </w:r>
      <w:r>
        <w:rPr>
          <w:rFonts w:ascii="Times New Roman" w:hAnsi="Times New Roman"/>
          <w:color w:val="8C8C8C"/>
          <w:sz w:val="20"/>
        </w:rPr>
        <w:t xml:space="preserve"> ............. </w:t>
      </w:r>
      <w:r>
        <w:rPr>
          <w:rFonts w:ascii="Times New Roman" w:hAnsi="Times New Roman"/>
          <w:b w:val="0"/>
          <w:sz w:val="22"/>
        </w:rPr>
        <w:t>33</w:t>
      </w:r>
    </w:p>
    <w:p>
      <w:pPr>
        <w:spacing w:line="276" w:lineRule="auto" w:after="50"/>
      </w:pPr>
      <w:r>
        <w:rPr>
          <w:rFonts w:ascii="Times New Roman" w:hAnsi="Times New Roman"/>
          <w:b w:val="0"/>
          <w:sz w:val="22"/>
        </w:rPr>
        <w:t xml:space="preserve">    3.1.5 Process Modelling (Activity Diagrams &amp; Workflows)</w:t>
      </w:r>
      <w:r>
        <w:rPr>
          <w:rFonts w:ascii="Times New Roman" w:hAnsi="Times New Roman"/>
          <w:color w:val="8C8C8C"/>
          <w:sz w:val="20"/>
        </w:rPr>
        <w:t xml:space="preserve"> ......... </w:t>
      </w:r>
      <w:r>
        <w:rPr>
          <w:rFonts w:ascii="Times New Roman" w:hAnsi="Times New Roman"/>
          <w:b w:val="0"/>
          <w:sz w:val="22"/>
        </w:rPr>
        <w:t>35</w:t>
      </w:r>
    </w:p>
    <w:p>
      <w:pPr>
        <w:spacing w:line="276" w:lineRule="auto" w:after="50"/>
      </w:pPr>
      <w:r>
        <w:rPr>
          <w:rFonts w:ascii="Times New Roman" w:hAnsi="Times New Roman"/>
          <w:b w:val="0"/>
          <w:sz w:val="22"/>
        </w:rPr>
        <w:t xml:space="preserve">  3.2 System Design</w:t>
      </w:r>
      <w:r>
        <w:rPr>
          <w:rFonts w:ascii="Times New Roman" w:hAnsi="Times New Roman"/>
          <w:color w:val="8C8C8C"/>
          <w:sz w:val="20"/>
        </w:rPr>
        <w:t xml:space="preserve"> ................................................. </w:t>
      </w:r>
      <w:r>
        <w:rPr>
          <w:rFonts w:ascii="Times New Roman" w:hAnsi="Times New Roman"/>
          <w:b w:val="0"/>
          <w:sz w:val="22"/>
        </w:rPr>
        <w:t>37</w:t>
      </w:r>
    </w:p>
    <w:p>
      <w:pPr>
        <w:spacing w:line="276" w:lineRule="auto" w:after="50"/>
      </w:pPr>
      <w:r>
        <w:rPr>
          <w:rFonts w:ascii="Times New Roman" w:hAnsi="Times New Roman"/>
          <w:b w:val="0"/>
          <w:sz w:val="22"/>
        </w:rPr>
        <w:t xml:space="preserve">    3.2.1 Architectural Design</w:t>
      </w:r>
      <w:r>
        <w:rPr>
          <w:rFonts w:ascii="Times New Roman" w:hAnsi="Times New Roman"/>
          <w:color w:val="8C8C8C"/>
          <w:sz w:val="20"/>
        </w:rPr>
        <w:t xml:space="preserve"> ...................................... </w:t>
      </w:r>
      <w:r>
        <w:rPr>
          <w:rFonts w:ascii="Times New Roman" w:hAnsi="Times New Roman"/>
          <w:b w:val="0"/>
          <w:sz w:val="22"/>
        </w:rPr>
        <w:t>37</w:t>
      </w:r>
    </w:p>
    <w:p>
      <w:pPr>
        <w:spacing w:line="276" w:lineRule="auto" w:after="50"/>
      </w:pPr>
      <w:r>
        <w:rPr>
          <w:rFonts w:ascii="Times New Roman" w:hAnsi="Times New Roman"/>
          <w:b w:val="0"/>
          <w:sz w:val="22"/>
        </w:rPr>
        <w:t xml:space="preserve">    3.2.2 Database Schema Design &amp; Data Dictionaries</w:t>
      </w:r>
      <w:r>
        <w:rPr>
          <w:rFonts w:ascii="Times New Roman" w:hAnsi="Times New Roman"/>
          <w:color w:val="8C8C8C"/>
          <w:sz w:val="20"/>
        </w:rPr>
        <w:t xml:space="preserve"> ................ </w:t>
      </w:r>
      <w:r>
        <w:rPr>
          <w:rFonts w:ascii="Times New Roman" w:hAnsi="Times New Roman"/>
          <w:b w:val="0"/>
          <w:sz w:val="22"/>
        </w:rPr>
        <w:t>39</w:t>
      </w:r>
    </w:p>
    <w:p>
      <w:pPr>
        <w:spacing w:line="276" w:lineRule="auto" w:after="50"/>
      </w:pPr>
      <w:r>
        <w:rPr>
          <w:rFonts w:ascii="Times New Roman" w:hAnsi="Times New Roman"/>
          <w:b w:val="0"/>
          <w:sz w:val="22"/>
        </w:rPr>
        <w:t xml:space="preserve">    3.2.3 Interface Design (UI/UX Ergonomics &amp; Visual System)</w:t>
      </w:r>
      <w:r>
        <w:rPr>
          <w:rFonts w:ascii="Times New Roman" w:hAnsi="Times New Roman"/>
          <w:color w:val="8C8C8C"/>
          <w:sz w:val="20"/>
        </w:rPr>
        <w:t xml:space="preserve"> ....... </w:t>
      </w:r>
      <w:r>
        <w:rPr>
          <w:rFonts w:ascii="Times New Roman" w:hAnsi="Times New Roman"/>
          <w:b w:val="0"/>
          <w:sz w:val="22"/>
        </w:rPr>
        <w:t>43</w:t>
      </w:r>
    </w:p>
    <w:p>
      <w:pPr>
        <w:spacing w:line="276" w:lineRule="auto" w:after="50"/>
      </w:pPr>
      <w:r>
        <w:rPr>
          <w:rFonts w:ascii="Times New Roman" w:hAnsi="Times New Roman"/>
          <w:b w:val="0"/>
          <w:sz w:val="22"/>
        </w:rPr>
        <w:t xml:space="preserve">    3.2.4 Component and Deployment Architecture</w:t>
      </w:r>
      <w:r>
        <w:rPr>
          <w:rFonts w:ascii="Times New Roman" w:hAnsi="Times New Roman"/>
          <w:color w:val="8C8C8C"/>
          <w:sz w:val="20"/>
        </w:rPr>
        <w:t xml:space="preserve"> ..................... </w:t>
      </w:r>
      <w:r>
        <w:rPr>
          <w:rFonts w:ascii="Times New Roman" w:hAnsi="Times New Roman"/>
          <w:b w:val="0"/>
          <w:sz w:val="22"/>
        </w:rPr>
        <w:t>45</w:t>
      </w:r>
    </w:p>
    <w:p>
      <w:pPr>
        <w:spacing w:line="276" w:lineRule="auto" w:after="50"/>
      </w:pPr>
      <w:r>
        <w:rPr>
          <w:rFonts w:ascii="Times New Roman" w:hAnsi="Times New Roman"/>
          <w:b w:val="0"/>
          <w:sz w:val="22"/>
        </w:rPr>
        <w:t xml:space="preserve">  3.3 Algorithm Details</w:t>
      </w:r>
      <w:r>
        <w:rPr>
          <w:rFonts w:ascii="Times New Roman" w:hAnsi="Times New Roman"/>
          <w:color w:val="8C8C8C"/>
          <w:sz w:val="20"/>
        </w:rPr>
        <w:t xml:space="preserve"> ............................................. </w:t>
      </w:r>
      <w:r>
        <w:rPr>
          <w:rFonts w:ascii="Times New Roman" w:hAnsi="Times New Roman"/>
          <w:b w:val="0"/>
          <w:sz w:val="22"/>
        </w:rPr>
        <w:t>47</w:t>
      </w:r>
    </w:p>
    <w:p>
      <w:pPr>
        <w:spacing w:line="276" w:lineRule="auto" w:after="50"/>
      </w:pPr>
      <w:r>
        <w:rPr>
          <w:rFonts w:ascii="Times New Roman" w:hAnsi="Times New Roman"/>
          <w:b w:val="0"/>
          <w:sz w:val="22"/>
        </w:rPr>
        <w:t xml:space="preserve">    3.3.1 Mathematical Formulations of Technical Indicators</w:t>
      </w:r>
      <w:r>
        <w:rPr>
          <w:rFonts w:ascii="Times New Roman" w:hAnsi="Times New Roman"/>
          <w:color w:val="8C8C8C"/>
          <w:sz w:val="20"/>
        </w:rPr>
        <w:t xml:space="preserve"> ......... </w:t>
      </w:r>
      <w:r>
        <w:rPr>
          <w:rFonts w:ascii="Times New Roman" w:hAnsi="Times New Roman"/>
          <w:b w:val="0"/>
          <w:sz w:val="22"/>
        </w:rPr>
        <w:t>47</w:t>
      </w:r>
    </w:p>
    <w:p>
      <w:pPr>
        <w:spacing w:line="276" w:lineRule="auto" w:after="50"/>
      </w:pPr>
      <w:r>
        <w:rPr>
          <w:rFonts w:ascii="Times New Roman" w:hAnsi="Times New Roman"/>
          <w:b w:val="0"/>
          <w:sz w:val="22"/>
        </w:rPr>
        <w:t xml:space="preserve">    3.3.2 Two-Stage Hybrid LSTM-XGBoost Architecture</w:t>
      </w:r>
      <w:r>
        <w:rPr>
          <w:rFonts w:ascii="Times New Roman" w:hAnsi="Times New Roman"/>
          <w:color w:val="8C8C8C"/>
          <w:sz w:val="20"/>
        </w:rPr>
        <w:t xml:space="preserve"> ................ </w:t>
      </w:r>
      <w:r>
        <w:rPr>
          <w:rFonts w:ascii="Times New Roman" w:hAnsi="Times New Roman"/>
          <w:b w:val="0"/>
          <w:sz w:val="22"/>
        </w:rPr>
        <w:t>49</w:t>
      </w:r>
    </w:p>
    <w:p>
      <w:pPr>
        <w:spacing w:line="276" w:lineRule="auto" w:after="50"/>
      </w:pPr>
      <w:r>
        <w:rPr>
          <w:rFonts w:ascii="Times New Roman" w:hAnsi="Times New Roman"/>
          <w:b w:val="0"/>
          <w:sz w:val="22"/>
        </w:rPr>
        <w:t xml:space="preserve">    3.3.3 Real-Time Multi-Condition Alert Evaluation Engine</w:t>
      </w:r>
      <w:r>
        <w:rPr>
          <w:rFonts w:ascii="Times New Roman" w:hAnsi="Times New Roman"/>
          <w:color w:val="8C8C8C"/>
          <w:sz w:val="20"/>
        </w:rPr>
        <w:t xml:space="preserve"> ......... </w:t>
      </w:r>
      <w:r>
        <w:rPr>
          <w:rFonts w:ascii="Times New Roman" w:hAnsi="Times New Roman"/>
          <w:b w:val="0"/>
          <w:sz w:val="22"/>
        </w:rPr>
        <w:t>52</w:t>
      </w:r>
    </w:p>
    <w:p>
      <w:pPr>
        <w:spacing w:line="276" w:lineRule="auto" w:after="50"/>
      </w:pPr>
      <w:r>
        <w:rPr>
          <w:rFonts w:ascii="Times New Roman" w:hAnsi="Times New Roman"/>
          <w:b w:val="0"/>
          <w:sz w:val="22"/>
        </w:rPr>
        <w:t xml:space="preserve">    3.3.4 Empirical Signal Backtesting Simulation Algorithm</w:t>
      </w:r>
      <w:r>
        <w:rPr>
          <w:rFonts w:ascii="Times New Roman" w:hAnsi="Times New Roman"/>
          <w:color w:val="8C8C8C"/>
          <w:sz w:val="20"/>
        </w:rPr>
        <w:t xml:space="preserve"> ......... </w:t>
      </w:r>
      <w:r>
        <w:rPr>
          <w:rFonts w:ascii="Times New Roman" w:hAnsi="Times New Roman"/>
          <w:b w:val="0"/>
          <w:sz w:val="22"/>
        </w:rPr>
        <w:t>53</w:t>
      </w:r>
    </w:p>
    <w:p>
      <w:pPr>
        <w:spacing w:line="276" w:lineRule="auto" w:after="50"/>
      </w:pPr>
      <w:r>
        <w:rPr>
          <w:rFonts w:ascii="Times New Roman" w:hAnsi="Times New Roman"/>
          <w:b w:val="0"/>
          <w:sz w:val="22"/>
        </w:rPr>
        <w:t xml:space="preserve">    3.3.5 Monte Carlo Volatility Envelope Simulation Algorithm</w:t>
      </w:r>
      <w:r>
        <w:rPr>
          <w:rFonts w:ascii="Times New Roman" w:hAnsi="Times New Roman"/>
          <w:color w:val="8C8C8C"/>
          <w:sz w:val="20"/>
        </w:rPr>
        <w:t xml:space="preserve"> ...... </w:t>
      </w:r>
      <w:r>
        <w:rPr>
          <w:rFonts w:ascii="Times New Roman" w:hAnsi="Times New Roman"/>
          <w:b w:val="0"/>
          <w:sz w:val="22"/>
        </w:rPr>
        <w:t>55</w:t>
      </w:r>
    </w:p>
    <w:p>
      <w:pPr>
        <w:spacing w:line="276" w:lineRule="auto" w:after="50"/>
      </w:pPr>
      <w:r>
        <w:rPr>
          <w:rFonts w:ascii="Times New Roman" w:hAnsi="Times New Roman"/>
          <w:b/>
          <w:sz w:val="22"/>
        </w:rPr>
        <w:t>CHAPTER 4: IMPLEMENTATION AND TESTING</w:t>
      </w:r>
      <w:r>
        <w:rPr>
          <w:rFonts w:ascii="Times New Roman" w:hAnsi="Times New Roman"/>
          <w:color w:val="8C8C8C"/>
          <w:sz w:val="20"/>
        </w:rPr>
        <w:t xml:space="preserve"> ............................... </w:t>
      </w:r>
      <w:r>
        <w:rPr>
          <w:rFonts w:ascii="Times New Roman" w:hAnsi="Times New Roman"/>
          <w:b/>
          <w:sz w:val="22"/>
        </w:rPr>
        <w:t>57</w:t>
      </w:r>
    </w:p>
    <w:p>
      <w:pPr>
        <w:spacing w:line="276" w:lineRule="auto" w:after="50"/>
      </w:pPr>
      <w:r>
        <w:rPr>
          <w:rFonts w:ascii="Times New Roman" w:hAnsi="Times New Roman"/>
          <w:b w:val="0"/>
          <w:sz w:val="22"/>
        </w:rPr>
        <w:t xml:space="preserve">  4.1 Implementation</w:t>
      </w:r>
      <w:r>
        <w:rPr>
          <w:rFonts w:ascii="Times New Roman" w:hAnsi="Times New Roman"/>
          <w:color w:val="8C8C8C"/>
          <w:sz w:val="20"/>
        </w:rPr>
        <w:t xml:space="preserve"> ................................................ </w:t>
      </w:r>
      <w:r>
        <w:rPr>
          <w:rFonts w:ascii="Times New Roman" w:hAnsi="Times New Roman"/>
          <w:b w:val="0"/>
          <w:sz w:val="22"/>
        </w:rPr>
        <w:t>57</w:t>
      </w:r>
    </w:p>
    <w:p>
      <w:pPr>
        <w:spacing w:line="276" w:lineRule="auto" w:after="50"/>
      </w:pPr>
      <w:r>
        <w:rPr>
          <w:rFonts w:ascii="Times New Roman" w:hAnsi="Times New Roman"/>
          <w:b w:val="0"/>
          <w:sz w:val="22"/>
        </w:rPr>
        <w:t xml:space="preserve">    4.1.1 Tools and Platforms Used</w:t>
      </w:r>
      <w:r>
        <w:rPr>
          <w:rFonts w:ascii="Times New Roman" w:hAnsi="Times New Roman"/>
          <w:color w:val="8C8C8C"/>
          <w:sz w:val="20"/>
        </w:rPr>
        <w:t xml:space="preserve"> .................................. </w:t>
      </w:r>
      <w:r>
        <w:rPr>
          <w:rFonts w:ascii="Times New Roman" w:hAnsi="Times New Roman"/>
          <w:b w:val="0"/>
          <w:sz w:val="22"/>
        </w:rPr>
        <w:t>57</w:t>
      </w:r>
    </w:p>
    <w:p>
      <w:pPr>
        <w:spacing w:line="276" w:lineRule="auto" w:after="50"/>
      </w:pPr>
      <w:r>
        <w:rPr>
          <w:rFonts w:ascii="Times New Roman" w:hAnsi="Times New Roman"/>
          <w:b w:val="0"/>
          <w:sz w:val="22"/>
        </w:rPr>
        <w:t xml:space="preserve">    4.1.2 Module Implementation Details</w:t>
      </w:r>
      <w:r>
        <w:rPr>
          <w:rFonts w:ascii="Times New Roman" w:hAnsi="Times New Roman"/>
          <w:color w:val="8C8C8C"/>
          <w:sz w:val="20"/>
        </w:rPr>
        <w:t xml:space="preserve"> ............................. </w:t>
      </w:r>
      <w:r>
        <w:rPr>
          <w:rFonts w:ascii="Times New Roman" w:hAnsi="Times New Roman"/>
          <w:b w:val="0"/>
          <w:sz w:val="22"/>
        </w:rPr>
        <w:t>59</w:t>
      </w:r>
    </w:p>
    <w:p>
      <w:pPr>
        <w:spacing w:line="276" w:lineRule="auto" w:after="50"/>
      </w:pPr>
      <w:r>
        <w:rPr>
          <w:rFonts w:ascii="Times New Roman" w:hAnsi="Times New Roman"/>
          <w:b w:val="0"/>
          <w:sz w:val="22"/>
        </w:rPr>
        <w:t xml:space="preserve">  4.2 Testing</w:t>
      </w:r>
      <w:r>
        <w:rPr>
          <w:rFonts w:ascii="Times New Roman" w:hAnsi="Times New Roman"/>
          <w:color w:val="8C8C8C"/>
          <w:sz w:val="20"/>
        </w:rPr>
        <w:t xml:space="preserve"> ....................................................... </w:t>
      </w:r>
      <w:r>
        <w:rPr>
          <w:rFonts w:ascii="Times New Roman" w:hAnsi="Times New Roman"/>
          <w:b w:val="0"/>
          <w:sz w:val="22"/>
        </w:rPr>
        <w:t>64</w:t>
      </w:r>
    </w:p>
    <w:p>
      <w:pPr>
        <w:spacing w:line="276" w:lineRule="auto" w:after="50"/>
      </w:pPr>
      <w:r>
        <w:rPr>
          <w:rFonts w:ascii="Times New Roman" w:hAnsi="Times New Roman"/>
          <w:b w:val="0"/>
          <w:sz w:val="22"/>
        </w:rPr>
        <w:t xml:space="preserve">    4.2.1 Unit Testing</w:t>
      </w:r>
      <w:r>
        <w:rPr>
          <w:rFonts w:ascii="Times New Roman" w:hAnsi="Times New Roman"/>
          <w:color w:val="8C8C8C"/>
          <w:sz w:val="20"/>
        </w:rPr>
        <w:t xml:space="preserve"> .............................................. </w:t>
      </w:r>
      <w:r>
        <w:rPr>
          <w:rFonts w:ascii="Times New Roman" w:hAnsi="Times New Roman"/>
          <w:b w:val="0"/>
          <w:sz w:val="22"/>
        </w:rPr>
        <w:t>64</w:t>
      </w:r>
    </w:p>
    <w:p>
      <w:pPr>
        <w:spacing w:line="276" w:lineRule="auto" w:after="50"/>
      </w:pPr>
      <w:r>
        <w:rPr>
          <w:rFonts w:ascii="Times New Roman" w:hAnsi="Times New Roman"/>
          <w:b w:val="0"/>
          <w:sz w:val="22"/>
        </w:rPr>
        <w:t xml:space="preserve">    4.2.2 System &amp; Integration Testing</w:t>
      </w:r>
      <w:r>
        <w:rPr>
          <w:rFonts w:ascii="Times New Roman" w:hAnsi="Times New Roman"/>
          <w:color w:val="8C8C8C"/>
          <w:sz w:val="20"/>
        </w:rPr>
        <w:t xml:space="preserve"> .............................. </w:t>
      </w:r>
      <w:r>
        <w:rPr>
          <w:rFonts w:ascii="Times New Roman" w:hAnsi="Times New Roman"/>
          <w:b w:val="0"/>
          <w:sz w:val="22"/>
        </w:rPr>
        <w:t>67</w:t>
      </w:r>
    </w:p>
    <w:p>
      <w:pPr>
        <w:spacing w:line="276" w:lineRule="auto" w:after="50"/>
      </w:pPr>
      <w:r>
        <w:rPr>
          <w:rFonts w:ascii="Times New Roman" w:hAnsi="Times New Roman"/>
          <w:b w:val="0"/>
          <w:sz w:val="22"/>
        </w:rPr>
        <w:t xml:space="preserve">    4.2.3 User Acceptance Testing (UAT)</w:t>
      </w:r>
      <w:r>
        <w:rPr>
          <w:rFonts w:ascii="Times New Roman" w:hAnsi="Times New Roman"/>
          <w:color w:val="8C8C8C"/>
          <w:sz w:val="20"/>
        </w:rPr>
        <w:t xml:space="preserve"> ............................. </w:t>
      </w:r>
      <w:r>
        <w:rPr>
          <w:rFonts w:ascii="Times New Roman" w:hAnsi="Times New Roman"/>
          <w:b w:val="0"/>
          <w:sz w:val="22"/>
        </w:rPr>
        <w:t>69</w:t>
      </w:r>
    </w:p>
    <w:p>
      <w:pPr>
        <w:spacing w:line="276" w:lineRule="auto" w:after="50"/>
      </w:pPr>
      <w:r>
        <w:rPr>
          <w:rFonts w:ascii="Times New Roman" w:hAnsi="Times New Roman"/>
          <w:b/>
          <w:sz w:val="22"/>
        </w:rPr>
        <w:t>CHAPTER 5: CONCLUSION AND FUTURE RECOMMENDATIONS</w:t>
      </w:r>
      <w:r>
        <w:rPr>
          <w:rFonts w:ascii="Times New Roman" w:hAnsi="Times New Roman"/>
          <w:color w:val="8C8C8C"/>
          <w:sz w:val="20"/>
        </w:rPr>
        <w:t xml:space="preserve"> .................... </w:t>
      </w:r>
      <w:r>
        <w:rPr>
          <w:rFonts w:ascii="Times New Roman" w:hAnsi="Times New Roman"/>
          <w:b/>
          <w:sz w:val="22"/>
        </w:rPr>
        <w:t>71</w:t>
      </w:r>
    </w:p>
    <w:p>
      <w:pPr>
        <w:spacing w:line="276" w:lineRule="auto" w:after="50"/>
      </w:pPr>
      <w:r>
        <w:rPr>
          <w:rFonts w:ascii="Times New Roman" w:hAnsi="Times New Roman"/>
          <w:b w:val="0"/>
          <w:sz w:val="22"/>
        </w:rPr>
        <w:t xml:space="preserve">  5.1 Conclusion</w:t>
      </w:r>
      <w:r>
        <w:rPr>
          <w:rFonts w:ascii="Times New Roman" w:hAnsi="Times New Roman"/>
          <w:color w:val="8C8C8C"/>
          <w:sz w:val="20"/>
        </w:rPr>
        <w:t xml:space="preserve"> .................................................... </w:t>
      </w:r>
      <w:r>
        <w:rPr>
          <w:rFonts w:ascii="Times New Roman" w:hAnsi="Times New Roman"/>
          <w:b w:val="0"/>
          <w:sz w:val="22"/>
        </w:rPr>
        <w:t>71</w:t>
      </w:r>
    </w:p>
    <w:p>
      <w:pPr>
        <w:spacing w:line="276" w:lineRule="auto" w:after="50"/>
      </w:pPr>
      <w:r>
        <w:rPr>
          <w:rFonts w:ascii="Times New Roman" w:hAnsi="Times New Roman"/>
          <w:b w:val="0"/>
          <w:sz w:val="22"/>
        </w:rPr>
        <w:t xml:space="preserve">  5.2 Lessons Learnt &amp; Outcomes</w:t>
      </w:r>
      <w:r>
        <w:rPr>
          <w:rFonts w:ascii="Times New Roman" w:hAnsi="Times New Roman"/>
          <w:color w:val="8C8C8C"/>
          <w:sz w:val="20"/>
        </w:rPr>
        <w:t xml:space="preserve"> ..................................... </w:t>
      </w:r>
      <w:r>
        <w:rPr>
          <w:rFonts w:ascii="Times New Roman" w:hAnsi="Times New Roman"/>
          <w:b w:val="0"/>
          <w:sz w:val="22"/>
        </w:rPr>
        <w:t>72</w:t>
      </w:r>
    </w:p>
    <w:p>
      <w:pPr>
        <w:spacing w:line="276" w:lineRule="auto" w:after="50"/>
      </w:pPr>
      <w:r>
        <w:rPr>
          <w:rFonts w:ascii="Times New Roman" w:hAnsi="Times New Roman"/>
          <w:b w:val="0"/>
          <w:sz w:val="22"/>
        </w:rPr>
        <w:t xml:space="preserve">  5.3 Future Recommendations</w:t>
      </w:r>
      <w:r>
        <w:rPr>
          <w:rFonts w:ascii="Times New Roman" w:hAnsi="Times New Roman"/>
          <w:color w:val="8C8C8C"/>
          <w:sz w:val="20"/>
        </w:rPr>
        <w:t xml:space="preserve"> ........................................ </w:t>
      </w:r>
      <w:r>
        <w:rPr>
          <w:rFonts w:ascii="Times New Roman" w:hAnsi="Times New Roman"/>
          <w:b w:val="0"/>
          <w:sz w:val="22"/>
        </w:rPr>
        <w:t>74</w:t>
      </w:r>
    </w:p>
    <w:p>
      <w:pPr>
        <w:spacing w:line="276" w:lineRule="auto" w:after="50"/>
      </w:pPr>
      <w:r>
        <w:rPr>
          <w:rFonts w:ascii="Times New Roman" w:hAnsi="Times New Roman"/>
          <w:b/>
          <w:sz w:val="22"/>
        </w:rPr>
        <w:t>APPENDICES</w:t>
      </w:r>
      <w:r>
        <w:rPr>
          <w:rFonts w:ascii="Times New Roman" w:hAnsi="Times New Roman"/>
          <w:color w:val="8C8C8C"/>
          <w:sz w:val="20"/>
        </w:rPr>
        <w:t xml:space="preserve"> .......................................................... </w:t>
      </w:r>
      <w:r>
        <w:rPr>
          <w:rFonts w:ascii="Times New Roman" w:hAnsi="Times New Roman"/>
          <w:b/>
          <w:sz w:val="22"/>
        </w:rPr>
        <w:t>76</w:t>
      </w:r>
    </w:p>
    <w:p>
      <w:pPr>
        <w:spacing w:line="276" w:lineRule="auto" w:after="50"/>
      </w:pPr>
      <w:r>
        <w:rPr>
          <w:rFonts w:ascii="Times New Roman" w:hAnsi="Times New Roman"/>
          <w:b w:val="0"/>
          <w:sz w:val="22"/>
        </w:rPr>
        <w:t xml:space="preserve">  Appendix A: System User Interface Screenshots</w:t>
      </w:r>
      <w:r>
        <w:rPr>
          <w:rFonts w:ascii="Times New Roman" w:hAnsi="Times New Roman"/>
          <w:color w:val="8C8C8C"/>
          <w:sz w:val="20"/>
        </w:rPr>
        <w:t xml:space="preserve"> ..................... </w:t>
      </w:r>
      <w:r>
        <w:rPr>
          <w:rFonts w:ascii="Times New Roman" w:hAnsi="Times New Roman"/>
          <w:b w:val="0"/>
          <w:sz w:val="22"/>
        </w:rPr>
        <w:t>76</w:t>
      </w:r>
    </w:p>
    <w:p>
      <w:pPr>
        <w:spacing w:line="276" w:lineRule="auto" w:after="50"/>
      </w:pPr>
      <w:r>
        <w:rPr>
          <w:rFonts w:ascii="Times New Roman" w:hAnsi="Times New Roman"/>
          <w:b w:val="0"/>
          <w:sz w:val="22"/>
        </w:rPr>
        <w:t xml:space="preserve">  Appendix B: Core Algorithmic Code Listings</w:t>
      </w:r>
      <w:r>
        <w:rPr>
          <w:rFonts w:ascii="Times New Roman" w:hAnsi="Times New Roman"/>
          <w:color w:val="8C8C8C"/>
          <w:sz w:val="20"/>
        </w:rPr>
        <w:t xml:space="preserve"> ........................ </w:t>
      </w:r>
      <w:r>
        <w:rPr>
          <w:rFonts w:ascii="Times New Roman" w:hAnsi="Times New Roman"/>
          <w:b w:val="0"/>
          <w:sz w:val="22"/>
        </w:rPr>
        <w:t>81</w:t>
      </w:r>
    </w:p>
    <w:p>
      <w:pPr>
        <w:spacing w:line="276" w:lineRule="auto" w:after="50"/>
      </w:pPr>
      <w:r>
        <w:rPr>
          <w:rFonts w:ascii="Times New Roman" w:hAnsi="Times New Roman"/>
          <w:b w:val="0"/>
          <w:sz w:val="22"/>
        </w:rPr>
        <w:t xml:space="preserve">  Appendix C: Supervisor Visit Log Sheet</w:t>
      </w:r>
      <w:r>
        <w:rPr>
          <w:rFonts w:ascii="Times New Roman" w:hAnsi="Times New Roman"/>
          <w:color w:val="8C8C8C"/>
          <w:sz w:val="20"/>
        </w:rPr>
        <w:t xml:space="preserve"> ............................ </w:t>
      </w:r>
      <w:r>
        <w:rPr>
          <w:rFonts w:ascii="Times New Roman" w:hAnsi="Times New Roman"/>
          <w:b w:val="0"/>
          <w:sz w:val="22"/>
        </w:rPr>
        <w:t>85</w:t>
      </w:r>
    </w:p>
    <w:p>
      <w:pPr>
        <w:spacing w:line="276" w:lineRule="auto" w:after="50"/>
      </w:pPr>
      <w:r>
        <w:rPr>
          <w:rFonts w:ascii="Times New Roman" w:hAnsi="Times New Roman"/>
          <w:b/>
          <w:sz w:val="22"/>
        </w:rPr>
        <w:t>REFERENCES</w:t>
      </w:r>
      <w:r>
        <w:rPr>
          <w:rFonts w:ascii="Times New Roman" w:hAnsi="Times New Roman"/>
          <w:color w:val="8C8C8C"/>
          <w:sz w:val="20"/>
        </w:rPr>
        <w:t xml:space="preserve"> .......................................................... </w:t>
      </w:r>
      <w:r>
        <w:rPr>
          <w:rFonts w:ascii="Times New Roman" w:hAnsi="Times New Roman"/>
          <w:b/>
          <w:sz w:val="22"/>
        </w:rPr>
        <w:t>87</w:t>
      </w:r>
    </w:p>
    <w:p>
      <w:r>
        <w:br w:type="page"/>
      </w:r>
    </w:p>
    <w:p>
      <w:pPr>
        <w:keepNext/>
        <w:spacing w:before="360" w:after="200" w:line="276" w:lineRule="auto"/>
        <w:jc w:val="left"/>
      </w:pPr>
      <w:r>
        <w:rPr>
          <w:rFonts w:ascii="Times New Roman" w:hAnsi="Times New Roman"/>
          <w:b/>
          <w:sz w:val="32"/>
        </w:rPr>
        <w:t>LIST OF ABBREVIATIONS</w:t>
      </w:r>
    </w:p>
    <w:tbl>
      <w:tblPr>
        <w:tblW w:type="auto" w:w="0"/>
        <w:jc w:val="center"/>
        <w:tblLayout w:type="fixed"/>
        <w:tblLook w:firstColumn="1" w:firstRow="1" w:lastColumn="0" w:lastRow="0" w:noHBand="0" w:noVBand="1" w:val="04A0"/>
      </w:tblPr>
      <w:tblGrid>
        <w:gridCol w:w="4334"/>
        <w:gridCol w:w="4334"/>
      </w:tblGrid>
      <w:tr>
        <w:trPr>
          <w:tblHeader/>
          <w:cantSplit/>
        </w:trPr>
        <w:tc>
          <w:tcPr>
            <w:tcW w:type="dxa" w:w="2592"/>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Abbreviation</w:t>
            </w:r>
          </w:p>
        </w:tc>
        <w:tc>
          <w:tcPr>
            <w:tcW w:type="dxa" w:w="6077"/>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Full Expanded Description</w:t>
            </w:r>
          </w:p>
        </w:tc>
      </w:tr>
      <w:tr>
        <w:trPr>
          <w:cantSplit/>
        </w:trPr>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AI</w:t>
            </w:r>
          </w:p>
        </w:tc>
        <w:tc>
          <w:tcPr>
            <w:tcW w:type="dxa" w:w="60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Artificial Intelligence</w:t>
            </w:r>
          </w:p>
        </w:tc>
      </w:tr>
      <w:tr>
        <w:trPr>
          <w:cantSplit/>
        </w:trPr>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API</w:t>
            </w:r>
          </w:p>
        </w:tc>
        <w:tc>
          <w:tcPr>
            <w:tcW w:type="dxa" w:w="60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Application Programming Interface</w:t>
            </w:r>
          </w:p>
        </w:tc>
      </w:tr>
      <w:tr>
        <w:trPr>
          <w:cantSplit/>
        </w:trPr>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BCA</w:t>
            </w:r>
          </w:p>
        </w:tc>
        <w:tc>
          <w:tcPr>
            <w:tcW w:type="dxa" w:w="60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Bachelor of Computer Application</w:t>
            </w:r>
          </w:p>
        </w:tc>
      </w:tr>
      <w:tr>
        <w:trPr>
          <w:cantSplit/>
        </w:trPr>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CASE</w:t>
            </w:r>
          </w:p>
        </w:tc>
        <w:tc>
          <w:tcPr>
            <w:tcW w:type="dxa" w:w="60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Computer-Aided Software Engineering</w:t>
            </w:r>
          </w:p>
        </w:tc>
      </w:tr>
      <w:tr>
        <w:trPr>
          <w:cantSplit/>
        </w:trPr>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CDSC</w:t>
            </w:r>
          </w:p>
        </w:tc>
        <w:tc>
          <w:tcPr>
            <w:tcW w:type="dxa" w:w="60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Central Depository Services and Clearing Limited</w:t>
            </w:r>
          </w:p>
        </w:tc>
      </w:tr>
      <w:tr>
        <w:trPr>
          <w:cantSplit/>
        </w:trPr>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CRUD</w:t>
            </w:r>
          </w:p>
        </w:tc>
        <w:tc>
          <w:tcPr>
            <w:tcW w:type="dxa" w:w="60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Create, Read, Update, Delete</w:t>
            </w:r>
          </w:p>
        </w:tc>
      </w:tr>
      <w:tr>
        <w:trPr>
          <w:cantSplit/>
        </w:trPr>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CSS</w:t>
            </w:r>
          </w:p>
        </w:tc>
        <w:tc>
          <w:tcPr>
            <w:tcW w:type="dxa" w:w="60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Cascading Style Sheets</w:t>
            </w:r>
          </w:p>
        </w:tc>
      </w:tr>
      <w:tr>
        <w:trPr>
          <w:cantSplit/>
        </w:trPr>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DFD</w:t>
            </w:r>
          </w:p>
        </w:tc>
        <w:tc>
          <w:tcPr>
            <w:tcW w:type="dxa" w:w="60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Data Flow Diagram</w:t>
            </w:r>
          </w:p>
        </w:tc>
      </w:tr>
      <w:tr>
        <w:trPr>
          <w:cantSplit/>
        </w:trPr>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DSS</w:t>
            </w:r>
          </w:p>
        </w:tc>
        <w:tc>
          <w:tcPr>
            <w:tcW w:type="dxa" w:w="60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Decision Support System</w:t>
            </w:r>
          </w:p>
        </w:tc>
      </w:tr>
      <w:tr>
        <w:trPr>
          <w:cantSplit/>
        </w:trPr>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DTO</w:t>
            </w:r>
          </w:p>
        </w:tc>
        <w:tc>
          <w:tcPr>
            <w:tcW w:type="dxa" w:w="60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Data Transfer Object</w:t>
            </w:r>
          </w:p>
        </w:tc>
      </w:tr>
      <w:tr>
        <w:trPr>
          <w:cantSplit/>
        </w:trPr>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EMA</w:t>
            </w:r>
          </w:p>
        </w:tc>
        <w:tc>
          <w:tcPr>
            <w:tcW w:type="dxa" w:w="60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Exponential Moving Average</w:t>
            </w:r>
          </w:p>
        </w:tc>
      </w:tr>
      <w:tr>
        <w:trPr>
          <w:cantSplit/>
        </w:trPr>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EMH</w:t>
            </w:r>
          </w:p>
        </w:tc>
        <w:tc>
          <w:tcPr>
            <w:tcW w:type="dxa" w:w="60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Efficient Market Hypothesis</w:t>
            </w:r>
          </w:p>
        </w:tc>
      </w:tr>
      <w:tr>
        <w:trPr>
          <w:cantSplit/>
        </w:trPr>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EOD</w:t>
            </w:r>
          </w:p>
        </w:tc>
        <w:tc>
          <w:tcPr>
            <w:tcW w:type="dxa" w:w="60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End of Day</w:t>
            </w:r>
          </w:p>
        </w:tc>
      </w:tr>
      <w:tr>
        <w:trPr>
          <w:cantSplit/>
        </w:trPr>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ERD</w:t>
            </w:r>
          </w:p>
        </w:tc>
        <w:tc>
          <w:tcPr>
            <w:tcW w:type="dxa" w:w="60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Entity Relationship Diagram</w:t>
            </w:r>
          </w:p>
        </w:tc>
      </w:tr>
      <w:tr>
        <w:trPr>
          <w:cantSplit/>
        </w:trPr>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FOHSS</w:t>
            </w:r>
          </w:p>
        </w:tc>
        <w:tc>
          <w:tcPr>
            <w:tcW w:type="dxa" w:w="60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Faculty of Humanities and Social Sciences</w:t>
            </w:r>
          </w:p>
        </w:tc>
      </w:tr>
      <w:tr>
        <w:trPr>
          <w:cantSplit/>
        </w:trPr>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GBM</w:t>
            </w:r>
          </w:p>
        </w:tc>
        <w:tc>
          <w:tcPr>
            <w:tcW w:type="dxa" w:w="60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Geometric Brownian Motion</w:t>
            </w:r>
          </w:p>
        </w:tc>
      </w:tr>
      <w:tr>
        <w:trPr>
          <w:cantSplit/>
        </w:trPr>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HMR</w:t>
            </w:r>
          </w:p>
        </w:tc>
        <w:tc>
          <w:tcPr>
            <w:tcW w:type="dxa" w:w="60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Hot Module Replacement</w:t>
            </w:r>
          </w:p>
        </w:tc>
      </w:tr>
      <w:tr>
        <w:trPr>
          <w:cantSplit/>
        </w:trPr>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HTML</w:t>
            </w:r>
          </w:p>
        </w:tc>
        <w:tc>
          <w:tcPr>
            <w:tcW w:type="dxa" w:w="60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Hypertext Markup Language</w:t>
            </w:r>
          </w:p>
        </w:tc>
      </w:tr>
      <w:tr>
        <w:trPr>
          <w:cantSplit/>
        </w:trPr>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HTTP</w:t>
            </w:r>
          </w:p>
        </w:tc>
        <w:tc>
          <w:tcPr>
            <w:tcW w:type="dxa" w:w="60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Hypertext Transfer Protocol</w:t>
            </w:r>
          </w:p>
        </w:tc>
      </w:tr>
      <w:tr>
        <w:trPr>
          <w:cantSplit/>
        </w:trPr>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IEEE</w:t>
            </w:r>
          </w:p>
        </w:tc>
        <w:tc>
          <w:tcPr>
            <w:tcW w:type="dxa" w:w="60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Institute of Electrical and Electronics Engineers</w:t>
            </w:r>
          </w:p>
        </w:tc>
      </w:tr>
      <w:tr>
        <w:trPr>
          <w:cantSplit/>
        </w:trPr>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JSON</w:t>
            </w:r>
          </w:p>
        </w:tc>
        <w:tc>
          <w:tcPr>
            <w:tcW w:type="dxa" w:w="60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JavaScript Object Notation</w:t>
            </w:r>
          </w:p>
        </w:tc>
      </w:tr>
      <w:tr>
        <w:trPr>
          <w:cantSplit/>
        </w:trPr>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KPI</w:t>
            </w:r>
          </w:p>
        </w:tc>
        <w:tc>
          <w:tcPr>
            <w:tcW w:type="dxa" w:w="60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Key Performance Indicator</w:t>
            </w:r>
          </w:p>
        </w:tc>
      </w:tr>
      <w:tr>
        <w:trPr>
          <w:cantSplit/>
        </w:trPr>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LSTM</w:t>
            </w:r>
          </w:p>
        </w:tc>
        <w:tc>
          <w:tcPr>
            <w:tcW w:type="dxa" w:w="60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Long Short-Term Memory (Recurrent Neural Network)</w:t>
            </w:r>
          </w:p>
        </w:tc>
      </w:tr>
      <w:tr>
        <w:trPr>
          <w:cantSplit/>
        </w:trPr>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LTP</w:t>
            </w:r>
          </w:p>
        </w:tc>
        <w:tc>
          <w:tcPr>
            <w:tcW w:type="dxa" w:w="60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Last Traded Price</w:t>
            </w:r>
          </w:p>
        </w:tc>
      </w:tr>
      <w:tr>
        <w:trPr>
          <w:cantSplit/>
        </w:trPr>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MACD</w:t>
            </w:r>
          </w:p>
        </w:tc>
        <w:tc>
          <w:tcPr>
            <w:tcW w:type="dxa" w:w="60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Moving Average Convergence Divergence</w:t>
            </w:r>
          </w:p>
        </w:tc>
      </w:tr>
      <w:tr>
        <w:trPr>
          <w:cantSplit/>
        </w:trPr>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MDD</w:t>
            </w:r>
          </w:p>
        </w:tc>
        <w:tc>
          <w:tcPr>
            <w:tcW w:type="dxa" w:w="60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Maximum Drawdown</w:t>
            </w:r>
          </w:p>
        </w:tc>
      </w:tr>
      <w:tr>
        <w:trPr>
          <w:cantSplit/>
        </w:trPr>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ML</w:t>
            </w:r>
          </w:p>
        </w:tc>
        <w:tc>
          <w:tcPr>
            <w:tcW w:type="dxa" w:w="60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Machine Learning</w:t>
            </w:r>
          </w:p>
        </w:tc>
      </w:tr>
      <w:tr>
        <w:trPr>
          <w:cantSplit/>
        </w:trPr>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MSE</w:t>
            </w:r>
          </w:p>
        </w:tc>
        <w:tc>
          <w:tcPr>
            <w:tcW w:type="dxa" w:w="60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Mean Squared Error</w:t>
            </w:r>
          </w:p>
        </w:tc>
      </w:tr>
      <w:tr>
        <w:trPr>
          <w:cantSplit/>
        </w:trPr>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NATS</w:t>
            </w:r>
          </w:p>
        </w:tc>
        <w:tc>
          <w:tcPr>
            <w:tcW w:type="dxa" w:w="60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NEPSE Automated Trading System</w:t>
            </w:r>
          </w:p>
        </w:tc>
      </w:tr>
      <w:tr>
        <w:trPr>
          <w:cantSplit/>
        </w:trPr>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NEPSE</w:t>
            </w:r>
          </w:p>
        </w:tc>
        <w:tc>
          <w:tcPr>
            <w:tcW w:type="dxa" w:w="60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Nepal Stock Exchange</w:t>
            </w:r>
          </w:p>
        </w:tc>
      </w:tr>
      <w:tr>
        <w:trPr>
          <w:cantSplit/>
        </w:trPr>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NPR</w:t>
            </w:r>
          </w:p>
        </w:tc>
        <w:tc>
          <w:tcPr>
            <w:tcW w:type="dxa" w:w="60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Nepalese Rupee</w:t>
            </w:r>
          </w:p>
        </w:tc>
      </w:tr>
      <w:tr>
        <w:trPr>
          <w:cantSplit/>
        </w:trPr>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NRB</w:t>
            </w:r>
          </w:p>
        </w:tc>
        <w:tc>
          <w:tcPr>
            <w:tcW w:type="dxa" w:w="60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Nepal Rastra Bank</w:t>
            </w:r>
          </w:p>
        </w:tc>
      </w:tr>
      <w:tr>
        <w:trPr>
          <w:cantSplit/>
        </w:trPr>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OHLCV</w:t>
            </w:r>
          </w:p>
        </w:tc>
        <w:tc>
          <w:tcPr>
            <w:tcW w:type="dxa" w:w="60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Open, High, Low, Close, Volume</w:t>
            </w:r>
          </w:p>
        </w:tc>
      </w:tr>
      <w:tr>
        <w:trPr>
          <w:cantSplit/>
        </w:trPr>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ORM</w:t>
            </w:r>
          </w:p>
        </w:tc>
        <w:tc>
          <w:tcPr>
            <w:tcW w:type="dxa" w:w="60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Object-Relational Mapping</w:t>
            </w:r>
          </w:p>
        </w:tc>
      </w:tr>
      <w:tr>
        <w:trPr>
          <w:cantSplit/>
        </w:trPr>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PnL</w:t>
            </w:r>
          </w:p>
        </w:tc>
        <w:tc>
          <w:tcPr>
            <w:tcW w:type="dxa" w:w="60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Profit and Loss</w:t>
            </w:r>
          </w:p>
        </w:tc>
      </w:tr>
      <w:tr>
        <w:trPr>
          <w:cantSplit/>
        </w:trPr>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QA</w:t>
            </w:r>
          </w:p>
        </w:tc>
        <w:tc>
          <w:tcPr>
            <w:tcW w:type="dxa" w:w="60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Quality Assurance</w:t>
            </w:r>
          </w:p>
        </w:tc>
      </w:tr>
      <w:tr>
        <w:trPr>
          <w:cantSplit/>
        </w:trPr>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REST</w:t>
            </w:r>
          </w:p>
        </w:tc>
        <w:tc>
          <w:tcPr>
            <w:tcW w:type="dxa" w:w="60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Representational State Transfer</w:t>
            </w:r>
          </w:p>
        </w:tc>
      </w:tr>
      <w:tr>
        <w:trPr>
          <w:cantSplit/>
        </w:trPr>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RMSE</w:t>
            </w:r>
          </w:p>
        </w:tc>
        <w:tc>
          <w:tcPr>
            <w:tcW w:type="dxa" w:w="60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Root Mean Squared Error</w:t>
            </w:r>
          </w:p>
        </w:tc>
      </w:tr>
      <w:tr>
        <w:trPr>
          <w:cantSplit/>
        </w:trPr>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RNN</w:t>
            </w:r>
          </w:p>
        </w:tc>
        <w:tc>
          <w:tcPr>
            <w:tcW w:type="dxa" w:w="60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Recurrent Neural Network</w:t>
            </w:r>
          </w:p>
        </w:tc>
      </w:tr>
      <w:tr>
        <w:trPr>
          <w:cantSplit/>
        </w:trPr>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RSI</w:t>
            </w:r>
          </w:p>
        </w:tc>
        <w:tc>
          <w:tcPr>
            <w:tcW w:type="dxa" w:w="60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Relative Strength Index</w:t>
            </w:r>
          </w:p>
        </w:tc>
      </w:tr>
      <w:tr>
        <w:trPr>
          <w:cantSplit/>
        </w:trPr>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SEBON</w:t>
            </w:r>
          </w:p>
        </w:tc>
        <w:tc>
          <w:tcPr>
            <w:tcW w:type="dxa" w:w="60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Securities Board of Nepal</w:t>
            </w:r>
          </w:p>
        </w:tc>
      </w:tr>
      <w:tr>
        <w:trPr>
          <w:cantSplit/>
        </w:trPr>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SMA</w:t>
            </w:r>
          </w:p>
        </w:tc>
        <w:tc>
          <w:tcPr>
            <w:tcW w:type="dxa" w:w="60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Simple Moving Average</w:t>
            </w:r>
          </w:p>
        </w:tc>
      </w:tr>
      <w:tr>
        <w:trPr>
          <w:cantSplit/>
        </w:trPr>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SPA</w:t>
            </w:r>
          </w:p>
        </w:tc>
        <w:tc>
          <w:tcPr>
            <w:tcW w:type="dxa" w:w="60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Single Page Application</w:t>
            </w:r>
          </w:p>
        </w:tc>
      </w:tr>
      <w:tr>
        <w:trPr>
          <w:cantSplit/>
        </w:trPr>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SRS</w:t>
            </w:r>
          </w:p>
        </w:tc>
        <w:tc>
          <w:tcPr>
            <w:tcW w:type="dxa" w:w="60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Software Requirement Specification</w:t>
            </w:r>
          </w:p>
        </w:tc>
      </w:tr>
      <w:tr>
        <w:trPr>
          <w:cantSplit/>
        </w:trPr>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TLS</w:t>
            </w:r>
          </w:p>
        </w:tc>
        <w:tc>
          <w:tcPr>
            <w:tcW w:type="dxa" w:w="60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Transport Layer Security</w:t>
            </w:r>
          </w:p>
        </w:tc>
      </w:tr>
      <w:tr>
        <w:trPr>
          <w:cantSplit/>
        </w:trPr>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TMS</w:t>
            </w:r>
          </w:p>
        </w:tc>
        <w:tc>
          <w:tcPr>
            <w:tcW w:type="dxa" w:w="60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Trade Management System</w:t>
            </w:r>
          </w:p>
        </w:tc>
      </w:tr>
      <w:tr>
        <w:trPr>
          <w:cantSplit/>
        </w:trPr>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TU</w:t>
            </w:r>
          </w:p>
        </w:tc>
        <w:tc>
          <w:tcPr>
            <w:tcW w:type="dxa" w:w="60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Tribhuvan University</w:t>
            </w:r>
          </w:p>
        </w:tc>
      </w:tr>
      <w:tr>
        <w:trPr>
          <w:cantSplit/>
        </w:trPr>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UAT</w:t>
            </w:r>
          </w:p>
        </w:tc>
        <w:tc>
          <w:tcPr>
            <w:tcW w:type="dxa" w:w="60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User Acceptance Testing</w:t>
            </w:r>
          </w:p>
        </w:tc>
      </w:tr>
      <w:tr>
        <w:trPr>
          <w:cantSplit/>
        </w:trPr>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UI/UX</w:t>
            </w:r>
          </w:p>
        </w:tc>
        <w:tc>
          <w:tcPr>
            <w:tcW w:type="dxa" w:w="60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User Interface / User Experience</w:t>
            </w:r>
          </w:p>
        </w:tc>
      </w:tr>
      <w:tr>
        <w:trPr>
          <w:cantSplit/>
        </w:trPr>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UML</w:t>
            </w:r>
          </w:p>
        </w:tc>
        <w:tc>
          <w:tcPr>
            <w:tcW w:type="dxa" w:w="60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Unified Modeling Language</w:t>
            </w:r>
          </w:p>
        </w:tc>
      </w:tr>
      <w:tr>
        <w:trPr>
          <w:cantSplit/>
        </w:trPr>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URI</w:t>
            </w:r>
          </w:p>
        </w:tc>
        <w:tc>
          <w:tcPr>
            <w:tcW w:type="dxa" w:w="60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Uniform Resource Identifier</w:t>
            </w:r>
          </w:p>
        </w:tc>
      </w:tr>
      <w:tr>
        <w:trPr>
          <w:cantSplit/>
        </w:trPr>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UUID</w:t>
            </w:r>
          </w:p>
        </w:tc>
        <w:tc>
          <w:tcPr>
            <w:tcW w:type="dxa" w:w="60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Universally Unique Identifier</w:t>
            </w:r>
          </w:p>
        </w:tc>
      </w:tr>
      <w:tr>
        <w:trPr>
          <w:cantSplit/>
        </w:trPr>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XGBoost</w:t>
            </w:r>
          </w:p>
        </w:tc>
        <w:tc>
          <w:tcPr>
            <w:tcW w:type="dxa" w:w="60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Extreme Gradient Boosting</w:t>
            </w:r>
          </w:p>
        </w:tc>
      </w:tr>
    </w:tbl>
    <w:p>
      <w:pPr>
        <w:spacing w:before="0" w:after="160" w:line="240" w:lineRule="auto"/>
      </w:pPr>
    </w:p>
    <w:p>
      <w:r>
        <w:br w:type="page"/>
      </w:r>
    </w:p>
    <w:p>
      <w:pPr>
        <w:keepNext/>
        <w:spacing w:before="360" w:after="200" w:line="276" w:lineRule="auto"/>
        <w:jc w:val="left"/>
      </w:pPr>
      <w:r>
        <w:rPr>
          <w:rFonts w:ascii="Times New Roman" w:hAnsi="Times New Roman"/>
          <w:b/>
          <w:sz w:val="32"/>
        </w:rPr>
        <w:t>LIST OF FIGURES</w:t>
      </w:r>
    </w:p>
    <w:tbl>
      <w:tblPr>
        <w:tblW w:type="auto" w:w="0"/>
        <w:jc w:val="center"/>
        <w:tblLayout w:type="fixed"/>
        <w:tblLook w:firstColumn="1" w:firstRow="1" w:lastColumn="0" w:lastRow="0" w:noHBand="0" w:noVBand="1" w:val="04A0"/>
      </w:tblPr>
      <w:tblGrid>
        <w:gridCol w:w="2890"/>
        <w:gridCol w:w="2890"/>
        <w:gridCol w:w="2890"/>
      </w:tblGrid>
      <w:tr>
        <w:trPr>
          <w:tblHeader/>
          <w:cantSplit/>
        </w:trPr>
        <w:tc>
          <w:tcPr>
            <w:tcW w:type="dxa" w:w="1728"/>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center"/>
            </w:pPr>
            <w:r>
              <w:rPr>
                <w:rFonts w:ascii="Times New Roman" w:hAnsi="Times New Roman"/>
                <w:b/>
                <w:color w:val="FFFFFF"/>
                <w:sz w:val="21"/>
              </w:rPr>
              <w:t>Figure No.</w:t>
            </w:r>
          </w:p>
        </w:tc>
        <w:tc>
          <w:tcPr>
            <w:tcW w:type="dxa" w:w="6077"/>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Figure Title &amp; Description</w:t>
            </w:r>
          </w:p>
        </w:tc>
        <w:tc>
          <w:tcPr>
            <w:tcW w:type="dxa" w:w="864"/>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center"/>
            </w:pPr>
            <w:r>
              <w:rPr>
                <w:rFonts w:ascii="Times New Roman" w:hAnsi="Times New Roman"/>
                <w:b/>
                <w:color w:val="FFFFFF"/>
                <w:sz w:val="21"/>
              </w:rPr>
              <w:t>Page</w:t>
            </w:r>
          </w:p>
        </w:tc>
      </w:tr>
      <w:tr>
        <w:trPr>
          <w:cantSplit/>
        </w:trPr>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Figure 1.1</w:t>
            </w:r>
          </w:p>
        </w:tc>
        <w:tc>
          <w:tcPr>
            <w:tcW w:type="dxa" w:w="60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Incremental Iterative Agile Software Engineering Process</w:t>
            </w:r>
          </w:p>
        </w:tc>
        <w:tc>
          <w:tcPr>
            <w:tcW w:type="dxa" w:w="86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7</w:t>
            </w:r>
          </w:p>
        </w:tc>
      </w:tr>
      <w:tr>
        <w:trPr>
          <w:cantSplit/>
        </w:trPr>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Figure 2.1</w:t>
            </w:r>
          </w:p>
        </w:tc>
        <w:tc>
          <w:tcPr>
            <w:tcW w:type="dxa" w:w="60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Wilder’s 14-Period RSI Oscillator Bounds and Momentum Thresholds</w:t>
            </w:r>
          </w:p>
        </w:tc>
        <w:tc>
          <w:tcPr>
            <w:tcW w:type="dxa" w:w="86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12</w:t>
            </w:r>
          </w:p>
        </w:tc>
      </w:tr>
      <w:tr>
        <w:trPr>
          <w:cantSplit/>
        </w:trPr>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Figure 2.2</w:t>
            </w:r>
          </w:p>
        </w:tc>
        <w:tc>
          <w:tcPr>
            <w:tcW w:type="dxa" w:w="60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Moving Average Convergence Divergence (MACD) Signal Expansion</w:t>
            </w:r>
          </w:p>
        </w:tc>
        <w:tc>
          <w:tcPr>
            <w:tcW w:type="dxa" w:w="86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13</w:t>
            </w:r>
          </w:p>
        </w:tc>
      </w:tr>
      <w:tr>
        <w:trPr>
          <w:cantSplit/>
        </w:trPr>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Figure 2.3</w:t>
            </w:r>
          </w:p>
        </w:tc>
        <w:tc>
          <w:tcPr>
            <w:tcW w:type="dxa" w:w="60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Classical LSTM Memory Cell Architecture with Gating Mechanisms</w:t>
            </w:r>
          </w:p>
        </w:tc>
        <w:tc>
          <w:tcPr>
            <w:tcW w:type="dxa" w:w="86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15</w:t>
            </w:r>
          </w:p>
        </w:tc>
      </w:tr>
      <w:tr>
        <w:trPr>
          <w:cantSplit/>
        </w:trPr>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Figure 2.4</w:t>
            </w:r>
          </w:p>
        </w:tc>
        <w:tc>
          <w:tcPr>
            <w:tcW w:type="dxa" w:w="60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HTML5 Web Audio API Client-Side Frequency Synthesizer Pipeline</w:t>
            </w:r>
          </w:p>
        </w:tc>
        <w:tc>
          <w:tcPr>
            <w:tcW w:type="dxa" w:w="86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19</w:t>
            </w:r>
          </w:p>
        </w:tc>
      </w:tr>
      <w:tr>
        <w:trPr>
          <w:cantSplit/>
        </w:trPr>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Figure 3.1</w:t>
            </w:r>
          </w:p>
        </w:tc>
        <w:tc>
          <w:tcPr>
            <w:tcW w:type="dxa" w:w="60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System Use Case Diagram for NEPSE AI Platform</w:t>
            </w:r>
          </w:p>
        </w:tc>
        <w:tc>
          <w:tcPr>
            <w:tcW w:type="dxa" w:w="86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27</w:t>
            </w:r>
          </w:p>
        </w:tc>
      </w:tr>
      <w:tr>
        <w:trPr>
          <w:cantSplit/>
        </w:trPr>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Figure 3.2</w:t>
            </w:r>
          </w:p>
        </w:tc>
        <w:tc>
          <w:tcPr>
            <w:tcW w:type="dxa" w:w="60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UML Class Diagram Representing Core Domain Entities &amp; Services</w:t>
            </w:r>
          </w:p>
        </w:tc>
        <w:tc>
          <w:tcPr>
            <w:tcW w:type="dxa" w:w="86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32</w:t>
            </w:r>
          </w:p>
        </w:tc>
      </w:tr>
      <w:tr>
        <w:trPr>
          <w:cantSplit/>
        </w:trPr>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Figure 3.3</w:t>
            </w:r>
          </w:p>
        </w:tc>
        <w:tc>
          <w:tcPr>
            <w:tcW w:type="dxa" w:w="60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Sequence Diagram for Real-Time Price Ingestion and Alert Evaluation</w:t>
            </w:r>
          </w:p>
        </w:tc>
        <w:tc>
          <w:tcPr>
            <w:tcW w:type="dxa" w:w="86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34</w:t>
            </w:r>
          </w:p>
        </w:tc>
      </w:tr>
      <w:tr>
        <w:trPr>
          <w:cantSplit/>
        </w:trPr>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Figure 3.4</w:t>
            </w:r>
          </w:p>
        </w:tc>
        <w:tc>
          <w:tcPr>
            <w:tcW w:type="dxa" w:w="60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Sequence Diagram for Hybrid Machine Learning Inference Pipeline</w:t>
            </w:r>
          </w:p>
        </w:tc>
        <w:tc>
          <w:tcPr>
            <w:tcW w:type="dxa" w:w="86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35</w:t>
            </w:r>
          </w:p>
        </w:tc>
      </w:tr>
      <w:tr>
        <w:trPr>
          <w:cantSplit/>
        </w:trPr>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Figure 3.5</w:t>
            </w:r>
          </w:p>
        </w:tc>
        <w:tc>
          <w:tcPr>
            <w:tcW w:type="dxa" w:w="60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State Transition Diagram for Price Alert Lifecycle</w:t>
            </w:r>
          </w:p>
        </w:tc>
        <w:tc>
          <w:tcPr>
            <w:tcW w:type="dxa" w:w="86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35</w:t>
            </w:r>
          </w:p>
        </w:tc>
      </w:tr>
      <w:tr>
        <w:trPr>
          <w:cantSplit/>
        </w:trPr>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Figure 3.6</w:t>
            </w:r>
          </w:p>
        </w:tc>
        <w:tc>
          <w:tcPr>
            <w:tcW w:type="dxa" w:w="60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Activity Diagram for Automated Daily EOD Market Data Ingestion</w:t>
            </w:r>
          </w:p>
        </w:tc>
        <w:tc>
          <w:tcPr>
            <w:tcW w:type="dxa" w:w="86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36</w:t>
            </w:r>
          </w:p>
        </w:tc>
      </w:tr>
      <w:tr>
        <w:trPr>
          <w:cantSplit/>
        </w:trPr>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Figure 3.7</w:t>
            </w:r>
          </w:p>
        </w:tc>
        <w:tc>
          <w:tcPr>
            <w:tcW w:type="dxa" w:w="60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Three-Tier Decoupled Microservices Architecture</w:t>
            </w:r>
          </w:p>
        </w:tc>
        <w:tc>
          <w:tcPr>
            <w:tcW w:type="dxa" w:w="86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38</w:t>
            </w:r>
          </w:p>
        </w:tc>
      </w:tr>
      <w:tr>
        <w:trPr>
          <w:cantSplit/>
        </w:trPr>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Figure 3.8</w:t>
            </w:r>
          </w:p>
        </w:tc>
        <w:tc>
          <w:tcPr>
            <w:tcW w:type="dxa" w:w="60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Relational Entity Relationship Diagram (ERD)</w:t>
            </w:r>
          </w:p>
        </w:tc>
        <w:tc>
          <w:tcPr>
            <w:tcW w:type="dxa" w:w="86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40</w:t>
            </w:r>
          </w:p>
        </w:tc>
      </w:tr>
      <w:tr>
        <w:trPr>
          <w:cantSplit/>
        </w:trPr>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Figure 3.9</w:t>
            </w:r>
          </w:p>
        </w:tc>
        <w:tc>
          <w:tcPr>
            <w:tcW w:type="dxa" w:w="60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Component Architecture Diagram of Frontend and Backend Microservices</w:t>
            </w:r>
          </w:p>
        </w:tc>
        <w:tc>
          <w:tcPr>
            <w:tcW w:type="dxa" w:w="86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46</w:t>
            </w:r>
          </w:p>
        </w:tc>
      </w:tr>
      <w:tr>
        <w:trPr>
          <w:cantSplit/>
        </w:trPr>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Figure 3.10</w:t>
            </w:r>
          </w:p>
        </w:tc>
        <w:tc>
          <w:tcPr>
            <w:tcW w:type="dxa" w:w="60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Physical Deployment Topology across Docker Container Environments</w:t>
            </w:r>
          </w:p>
        </w:tc>
        <w:tc>
          <w:tcPr>
            <w:tcW w:type="dxa" w:w="86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47</w:t>
            </w:r>
          </w:p>
        </w:tc>
      </w:tr>
      <w:tr>
        <w:trPr>
          <w:cantSplit/>
        </w:trPr>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Figure 3.11</w:t>
            </w:r>
          </w:p>
        </w:tc>
        <w:tc>
          <w:tcPr>
            <w:tcW w:type="dxa" w:w="60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Two-Stage Hybrid LSTM-XGBoost Feature Concatenation Architecture</w:t>
            </w:r>
          </w:p>
        </w:tc>
        <w:tc>
          <w:tcPr>
            <w:tcW w:type="dxa" w:w="86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50</w:t>
            </w:r>
          </w:p>
        </w:tc>
      </w:tr>
      <w:tr>
        <w:trPr>
          <w:cantSplit/>
        </w:trPr>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Figure 3.12</w:t>
            </w:r>
          </w:p>
        </w:tc>
        <w:tc>
          <w:tcPr>
            <w:tcW w:type="dxa" w:w="60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Parametric Volatility Drift Cone and 5-Day Confidence Projection</w:t>
            </w:r>
          </w:p>
        </w:tc>
        <w:tc>
          <w:tcPr>
            <w:tcW w:type="dxa" w:w="86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56</w:t>
            </w:r>
          </w:p>
        </w:tc>
      </w:tr>
      <w:tr>
        <w:trPr>
          <w:cantSplit/>
        </w:trPr>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Figure A.1</w:t>
            </w:r>
          </w:p>
        </w:tc>
        <w:tc>
          <w:tcPr>
            <w:tcW w:type="dxa" w:w="60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Main Interactive Financial Terminal &amp; Real-Time Charting Canvas</w:t>
            </w:r>
          </w:p>
        </w:tc>
        <w:tc>
          <w:tcPr>
            <w:tcW w:type="dxa" w:w="86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76</w:t>
            </w:r>
          </w:p>
        </w:tc>
      </w:tr>
      <w:tr>
        <w:trPr>
          <w:cantSplit/>
        </w:trPr>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Figure A.2</w:t>
            </w:r>
          </w:p>
        </w:tc>
        <w:tc>
          <w:tcPr>
            <w:tcW w:type="dxa" w:w="60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Maximized Candlestick Visualizer with Multi-Indicator Overlays</w:t>
            </w:r>
          </w:p>
        </w:tc>
        <w:tc>
          <w:tcPr>
            <w:tcW w:type="dxa" w:w="86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77</w:t>
            </w:r>
          </w:p>
        </w:tc>
      </w:tr>
      <w:tr>
        <w:trPr>
          <w:cantSplit/>
        </w:trPr>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Figure A.3</w:t>
            </w:r>
          </w:p>
        </w:tc>
        <w:tc>
          <w:tcPr>
            <w:tcW w:type="dxa" w:w="60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Live Market Movers Screener with Advance/Decline Breadth Bar</w:t>
            </w:r>
          </w:p>
        </w:tc>
        <w:tc>
          <w:tcPr>
            <w:tcW w:type="dxa" w:w="86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78</w:t>
            </w:r>
          </w:p>
        </w:tc>
      </w:tr>
      <w:tr>
        <w:trPr>
          <w:cantSplit/>
        </w:trPr>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Figure A.4</w:t>
            </w:r>
          </w:p>
        </w:tc>
        <w:tc>
          <w:tcPr>
            <w:tcW w:type="dxa" w:w="60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Paper Trading Portfolio Management Dashboard with Mark-to-Market PnL</w:t>
            </w:r>
          </w:p>
        </w:tc>
        <w:tc>
          <w:tcPr>
            <w:tcW w:type="dxa" w:w="86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79</w:t>
            </w:r>
          </w:p>
        </w:tc>
      </w:tr>
      <w:tr>
        <w:trPr>
          <w:cantSplit/>
        </w:trPr>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Figure A.5</w:t>
            </w:r>
          </w:p>
        </w:tc>
        <w:tc>
          <w:tcPr>
            <w:tcW w:type="dxa" w:w="60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Multi-Stock Comparative Matrix and Technical Benchmarking Modal</w:t>
            </w:r>
          </w:p>
        </w:tc>
        <w:tc>
          <w:tcPr>
            <w:tcW w:type="dxa" w:w="86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80</w:t>
            </w:r>
          </w:p>
        </w:tc>
      </w:tr>
    </w:tbl>
    <w:p>
      <w:pPr>
        <w:spacing w:before="0" w:after="160" w:line="240" w:lineRule="auto"/>
      </w:pPr>
    </w:p>
    <w:p>
      <w:r>
        <w:br w:type="page"/>
      </w:r>
    </w:p>
    <w:p>
      <w:pPr>
        <w:keepNext/>
        <w:spacing w:before="360" w:after="200" w:line="276" w:lineRule="auto"/>
        <w:jc w:val="left"/>
      </w:pPr>
      <w:r>
        <w:rPr>
          <w:rFonts w:ascii="Times New Roman" w:hAnsi="Times New Roman"/>
          <w:b/>
          <w:sz w:val="32"/>
        </w:rPr>
        <w:t>LIST OF TABLES</w:t>
      </w:r>
    </w:p>
    <w:tbl>
      <w:tblPr>
        <w:tblW w:type="auto" w:w="0"/>
        <w:jc w:val="center"/>
        <w:tblLayout w:type="fixed"/>
        <w:tblLook w:firstColumn="1" w:firstRow="1" w:lastColumn="0" w:lastRow="0" w:noHBand="0" w:noVBand="1" w:val="04A0"/>
      </w:tblPr>
      <w:tblGrid>
        <w:gridCol w:w="2890"/>
        <w:gridCol w:w="2890"/>
        <w:gridCol w:w="2890"/>
      </w:tblGrid>
      <w:tr>
        <w:trPr>
          <w:tblHeader/>
          <w:cantSplit/>
        </w:trPr>
        <w:tc>
          <w:tcPr>
            <w:tcW w:type="dxa" w:w="1728"/>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center"/>
            </w:pPr>
            <w:r>
              <w:rPr>
                <w:rFonts w:ascii="Times New Roman" w:hAnsi="Times New Roman"/>
                <w:b/>
                <w:color w:val="FFFFFF"/>
                <w:sz w:val="21"/>
              </w:rPr>
              <w:t>Table No.</w:t>
            </w:r>
          </w:p>
        </w:tc>
        <w:tc>
          <w:tcPr>
            <w:tcW w:type="dxa" w:w="6077"/>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Table Title &amp; Description</w:t>
            </w:r>
          </w:p>
        </w:tc>
        <w:tc>
          <w:tcPr>
            <w:tcW w:type="dxa" w:w="864"/>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center"/>
            </w:pPr>
            <w:r>
              <w:rPr>
                <w:rFonts w:ascii="Times New Roman" w:hAnsi="Times New Roman"/>
                <w:b/>
                <w:color w:val="FFFFFF"/>
                <w:sz w:val="21"/>
              </w:rPr>
              <w:t>Page</w:t>
            </w:r>
          </w:p>
        </w:tc>
      </w:tr>
      <w:tr>
        <w:trPr>
          <w:cantSplit/>
        </w:trPr>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Table 2.1</w:t>
            </w:r>
          </w:p>
        </w:tc>
        <w:tc>
          <w:tcPr>
            <w:tcW w:type="dxa" w:w="60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Comparative Synthesis of Existing Literature and Methodologies</w:t>
            </w:r>
          </w:p>
        </w:tc>
        <w:tc>
          <w:tcPr>
            <w:tcW w:type="dxa" w:w="86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23</w:t>
            </w:r>
          </w:p>
        </w:tc>
      </w:tr>
      <w:tr>
        <w:trPr>
          <w:cantSplit/>
        </w:trPr>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Table 3.1</w:t>
            </w:r>
          </w:p>
        </w:tc>
        <w:tc>
          <w:tcPr>
            <w:tcW w:type="dxa" w:w="60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Functional Requirements Specifications and Traceability Matrix</w:t>
            </w:r>
          </w:p>
        </w:tc>
        <w:tc>
          <w:tcPr>
            <w:tcW w:type="dxa" w:w="86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25</w:t>
            </w:r>
          </w:p>
        </w:tc>
      </w:tr>
      <w:tr>
        <w:trPr>
          <w:cantSplit/>
        </w:trPr>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Table 3.2</w:t>
            </w:r>
          </w:p>
        </w:tc>
        <w:tc>
          <w:tcPr>
            <w:tcW w:type="dxa" w:w="60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Non-Functional Engineering Quality Attributes</w:t>
            </w:r>
          </w:p>
        </w:tc>
        <w:tc>
          <w:tcPr>
            <w:tcW w:type="dxa" w:w="86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28</w:t>
            </w:r>
          </w:p>
        </w:tc>
      </w:tr>
      <w:tr>
        <w:trPr>
          <w:cantSplit/>
        </w:trPr>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Table 3.3</w:t>
            </w:r>
          </w:p>
        </w:tc>
        <w:tc>
          <w:tcPr>
            <w:tcW w:type="dxa" w:w="60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Data Dictionary: Company Entity</w:t>
            </w:r>
          </w:p>
        </w:tc>
        <w:tc>
          <w:tcPr>
            <w:tcW w:type="dxa" w:w="86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40</w:t>
            </w:r>
          </w:p>
        </w:tc>
      </w:tr>
      <w:tr>
        <w:trPr>
          <w:cantSplit/>
        </w:trPr>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Table 3.4</w:t>
            </w:r>
          </w:p>
        </w:tc>
        <w:tc>
          <w:tcPr>
            <w:tcW w:type="dxa" w:w="60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Data Dictionary: DailyPrice Entity</w:t>
            </w:r>
          </w:p>
        </w:tc>
        <w:tc>
          <w:tcPr>
            <w:tcW w:type="dxa" w:w="86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41</w:t>
            </w:r>
          </w:p>
        </w:tc>
      </w:tr>
      <w:tr>
        <w:trPr>
          <w:cantSplit/>
        </w:trPr>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Table 3.5</w:t>
            </w:r>
          </w:p>
        </w:tc>
        <w:tc>
          <w:tcPr>
            <w:tcW w:type="dxa" w:w="60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Data Dictionary: Alert Entity</w:t>
            </w:r>
          </w:p>
        </w:tc>
        <w:tc>
          <w:tcPr>
            <w:tcW w:type="dxa" w:w="86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42</w:t>
            </w:r>
          </w:p>
        </w:tc>
      </w:tr>
      <w:tr>
        <w:trPr>
          <w:cantSplit/>
        </w:trPr>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Table 3.6</w:t>
            </w:r>
          </w:p>
        </w:tc>
        <w:tc>
          <w:tcPr>
            <w:tcW w:type="dxa" w:w="60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Data Dictionary: PortfolioPosition Entity</w:t>
            </w:r>
          </w:p>
        </w:tc>
        <w:tc>
          <w:tcPr>
            <w:tcW w:type="dxa" w:w="86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43</w:t>
            </w:r>
          </w:p>
        </w:tc>
      </w:tr>
      <w:tr>
        <w:trPr>
          <w:cantSplit/>
        </w:trPr>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Table 3.7</w:t>
            </w:r>
          </w:p>
        </w:tc>
        <w:tc>
          <w:tcPr>
            <w:tcW w:type="dxa" w:w="60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Database Indexing Strategy and Query Optimization Matrix</w:t>
            </w:r>
          </w:p>
        </w:tc>
        <w:tc>
          <w:tcPr>
            <w:tcW w:type="dxa" w:w="86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43</w:t>
            </w:r>
          </w:p>
        </w:tc>
      </w:tr>
      <w:tr>
        <w:trPr>
          <w:cantSplit/>
        </w:trPr>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Table 4.1</w:t>
            </w:r>
          </w:p>
        </w:tc>
        <w:tc>
          <w:tcPr>
            <w:tcW w:type="dxa" w:w="60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Software Development Stack, Frameworks, and CASE Tools</w:t>
            </w:r>
          </w:p>
        </w:tc>
        <w:tc>
          <w:tcPr>
            <w:tcW w:type="dxa" w:w="86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58</w:t>
            </w:r>
          </w:p>
        </w:tc>
      </w:tr>
      <w:tr>
        <w:trPr>
          <w:cantSplit/>
        </w:trPr>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Table 4.2</w:t>
            </w:r>
          </w:p>
        </w:tc>
        <w:tc>
          <w:tcPr>
            <w:tcW w:type="dxa" w:w="60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Unit Test Suite Specifications and Execution Results</w:t>
            </w:r>
          </w:p>
        </w:tc>
        <w:tc>
          <w:tcPr>
            <w:tcW w:type="dxa" w:w="86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65</w:t>
            </w:r>
          </w:p>
        </w:tc>
      </w:tr>
      <w:tr>
        <w:trPr>
          <w:cantSplit/>
        </w:trPr>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Table 4.3</w:t>
            </w:r>
          </w:p>
        </w:tc>
        <w:tc>
          <w:tcPr>
            <w:tcW w:type="dxa" w:w="60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System Integration and End-to-End Test Matrix</w:t>
            </w:r>
          </w:p>
        </w:tc>
        <w:tc>
          <w:tcPr>
            <w:tcW w:type="dxa" w:w="86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68</w:t>
            </w:r>
          </w:p>
        </w:tc>
      </w:tr>
      <w:tr>
        <w:trPr>
          <w:cantSplit/>
        </w:trPr>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Table 4.4</w:t>
            </w:r>
          </w:p>
        </w:tc>
        <w:tc>
          <w:tcPr>
            <w:tcW w:type="dxa" w:w="60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User Acceptance Testing (UAT) Scenario Evaluation Matrix</w:t>
            </w:r>
          </w:p>
        </w:tc>
        <w:tc>
          <w:tcPr>
            <w:tcW w:type="dxa" w:w="86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70</w:t>
            </w:r>
          </w:p>
        </w:tc>
      </w:tr>
      <w:tr>
        <w:trPr>
          <w:cantSplit/>
        </w:trPr>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Table C.1</w:t>
            </w:r>
          </w:p>
        </w:tc>
        <w:tc>
          <w:tcPr>
            <w:tcW w:type="dxa" w:w="60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Supervisor Consultation and Progress Log Sheet (8th Semester)</w:t>
            </w:r>
          </w:p>
        </w:tc>
        <w:tc>
          <w:tcPr>
            <w:tcW w:type="dxa" w:w="86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85</w:t>
            </w:r>
          </w:p>
        </w:tc>
      </w:tr>
    </w:tbl>
    <w:p>
      <w:pPr>
        <w:spacing w:before="0" w:after="160" w:line="240" w:lineRule="auto"/>
      </w:pPr>
    </w:p>
    <w:p>
      <w:pPr>
        <w:sectPr>
          <w:footerReference w:type="default" r:id="rId9"/>
          <w:pgSz w:w="11909" w:h="16834"/>
          <w:pgMar w:top="1440" w:right="1440" w:bottom="1440" w:left="1800" w:header="720" w:footer="720" w:gutter="0"/>
          <w:cols w:space="720"/>
          <w:docGrid w:linePitch="360"/>
          <w:pgNumType w:fmt="romanLower" w:start="1"/>
        </w:sectPr>
      </w:pPr>
    </w:p>
    <w:p>
      <w:pPr>
        <w:keepNext/>
        <w:spacing w:before="360" w:after="200" w:line="276" w:lineRule="auto"/>
        <w:jc w:val="left"/>
      </w:pPr>
      <w:r>
        <w:rPr>
          <w:rFonts w:ascii="Times New Roman" w:hAnsi="Times New Roman"/>
          <w:b/>
          <w:sz w:val="32"/>
        </w:rPr>
        <w:t>CHAPTER 1: INTRODUCTION</w:t>
      </w:r>
    </w:p>
    <w:p>
      <w:pPr>
        <w:keepNext/>
        <w:spacing w:before="280" w:after="120" w:line="276" w:lineRule="auto"/>
        <w:jc w:val="left"/>
      </w:pPr>
      <w:r>
        <w:rPr>
          <w:rFonts w:ascii="Times New Roman" w:hAnsi="Times New Roman"/>
          <w:b/>
          <w:sz w:val="28"/>
        </w:rPr>
        <w:t>1.1 Introduction</w:t>
      </w:r>
    </w:p>
    <w:p>
      <w:pPr>
        <w:spacing w:before="0" w:after="120" w:line="360" w:lineRule="auto"/>
        <w:jc w:val="both"/>
      </w:pPr>
      <w:r>
        <w:rPr>
          <w:rFonts w:ascii="Times New Roman" w:hAnsi="Times New Roman"/>
          <w:b w:val="0"/>
          <w:i w:val="0"/>
          <w:sz w:val="24"/>
        </w:rPr>
        <w:t>Capital equity markets represent the financial lifeblood of modern economies, acting as primary vehicles for capital formation, resource allocation, and wealth accumulation. Over the past decade, financial technologies across the globe have undergone a profound paradigm shift—transitioning from legacy, floor-based manual executions to algorithmic, data-driven computational trading terminals. In developing economies such as Nepal, this technological democratization has unlocked unprecedented retail participation.</w:t>
      </w:r>
    </w:p>
    <w:p>
      <w:pPr>
        <w:spacing w:before="0" w:after="120" w:line="360" w:lineRule="auto"/>
        <w:jc w:val="both"/>
      </w:pPr>
      <w:r>
        <w:rPr>
          <w:rFonts w:ascii="Times New Roman" w:hAnsi="Times New Roman"/>
          <w:b w:val="0"/>
          <w:i w:val="0"/>
          <w:sz w:val="24"/>
        </w:rPr>
        <w:t>The Nepal Stock Exchange (NEPSE), established in 1993 under the Securities Exchange Act, serves as the sole regulated securities marketplace in Nepal. Historically characterized by physical open-outcry trading floors, paper certificates, and cumbersome manual settlement cycles, the market took a revolutionary leap forward with the rollout of the fully computerized NEPSE Automated Trading System (NATS) and digital dematerialized depository operations by Central Depository Services and Clearing Limited (CDSC). The subsequent launch of web-based client order portals, notably the Trade Management System (TMS) and MeroShare, eliminated physical geographic barriers. Today, active CDS accounts exceed 6.2 million, and over 1.8 million investors actively hold online trading accounts.</w:t>
      </w:r>
    </w:p>
    <w:p>
      <w:pPr>
        <w:spacing w:before="0" w:after="120" w:line="360" w:lineRule="auto"/>
        <w:jc w:val="both"/>
      </w:pPr>
      <w:r>
        <w:rPr>
          <w:rFonts w:ascii="Times New Roman" w:hAnsi="Times New Roman"/>
          <w:b w:val="0"/>
          <w:i w:val="0"/>
          <w:sz w:val="24"/>
        </w:rPr>
        <w:t>However, this meteoric expansion of retail market participation has also magnified systemic structural weaknesses. Unlike institutional-dominated international exchanges like the New York Stock Exchange (NYSE) or London Stock Exchange (LSE), NEPSE's trading volume is overwhelmingly driven by retail participants (accounting for more than 85% of total traded volume). The domestic retail market is severely handicapped by acute informational asymmetry, low financial literacy, and a virtual absence of institutional-grade analytical tooling. Retail participants frequently rely on rumors, unregulated social media groups (Viber, Telegram, Facebook forums), and speculative momentum calls, resulting in devastating portfolio drawdowns during broad market corrections.</w:t>
      </w:r>
    </w:p>
    <w:p>
      <w:pPr>
        <w:spacing w:before="0" w:after="120" w:line="360" w:lineRule="auto"/>
        <w:jc w:val="both"/>
      </w:pPr>
      <w:r>
        <w:rPr>
          <w:rFonts w:ascii="Times New Roman" w:hAnsi="Times New Roman"/>
          <w:b w:val="0"/>
          <w:i w:val="0"/>
          <w:sz w:val="24"/>
        </w:rPr>
        <w:t>From an academic and software engineering perspective, the digital tools currently available to Nepali investors are severely limited. Traditional market portals (such as ShareSansar, Merolagani, and NepseAlpha) function primarily as passive informational bulletin boards. They display static historical tables or basic price charts, but lack real-time multi-condition alert automation, empirical strategy backtesting simulators, mark-to-market paper trading modules, and advanced machine learning predictive pipelines.</w:t>
      </w:r>
    </w:p>
    <w:p>
      <w:pPr>
        <w:spacing w:before="0" w:after="120" w:line="360" w:lineRule="auto"/>
        <w:jc w:val="both"/>
      </w:pPr>
      <w:r>
        <w:rPr>
          <w:rFonts w:ascii="Times New Roman" w:hAnsi="Times New Roman"/>
          <w:b w:val="0"/>
          <w:i w:val="0"/>
          <w:sz w:val="24"/>
        </w:rPr>
        <w:t>To decisively solve these challenges, this final year capstone project presents “NEPSE AI: Real-Time Financial Decision Support and Stock Prediction System.” Engineered specifically for the structural realities of the Nepalese capital market, the platform departs from fragile point-in-time price prediction regression models (which attempt to forecast an exact next-day rupee value) and instead constructs an enterprise-grade quantitative Decision Support System (DSS). By orchestrating a decoupled three-tier microservice architecture—combining a NestJS application backend, a Python FastAPI machine learning engine utilizing a two-stage hybrid PyTorch LSTM and XGBoost classifier, and a high-performance React 19 financial terminal—the platform delivers probabilistic trend classifications, 5-day Monte Carlo price projection envelopes, real-time Web Audio synthesizer alerts, multi-stock comparative benchmarking, and risk-free portfolio tracking.</w:t>
      </w:r>
    </w:p>
    <w:p>
      <w:pPr>
        <w:keepNext/>
        <w:spacing w:before="280" w:after="120" w:line="276" w:lineRule="auto"/>
        <w:jc w:val="left"/>
      </w:pPr>
      <w:r>
        <w:rPr>
          <w:rFonts w:ascii="Times New Roman" w:hAnsi="Times New Roman"/>
          <w:b/>
          <w:sz w:val="28"/>
        </w:rPr>
        <w:t>1.2 Problem Statement</w:t>
      </w:r>
    </w:p>
    <w:p>
      <w:pPr>
        <w:spacing w:before="0" w:after="120" w:line="360" w:lineRule="auto"/>
        <w:jc w:val="both"/>
      </w:pPr>
      <w:r>
        <w:rPr>
          <w:rFonts w:ascii="Times New Roman" w:hAnsi="Times New Roman"/>
          <w:b w:val="0"/>
          <w:i w:val="0"/>
          <w:sz w:val="24"/>
        </w:rPr>
        <w:t>The systematic engineering of financial analytics systems for the Nepal Stock Exchange must overcome four critical computational, structural, and financial challenges:</w:t>
      </w:r>
    </w:p>
    <w:p>
      <w:pPr>
        <w:spacing w:before="0" w:after="120" w:line="360" w:lineRule="auto"/>
        <w:jc w:val="both"/>
      </w:pPr>
      <w:r>
        <w:rPr>
          <w:rFonts w:ascii="Times New Roman" w:hAnsi="Times New Roman"/>
          <w:b w:val="0"/>
          <w:i w:val="0"/>
          <w:sz w:val="24"/>
        </w:rPr>
        <w:t>1. Severe Informational Asymmetry &amp; Unscientific Retail Speculation: The vast majority of retail participants in Nepal enter the market without quantitative risk management protocols. Trading positions are overwhelmingly established on the basis of social media sentiment and unverified hearsay rather than verified mathematical technical confluence or risk-adjusted probabilistic forecasts. When market corrections occur, retail investors experience catastrophic capital depletion due to an absence of automated stop-loss and alert supervision.</w:t>
      </w:r>
    </w:p>
    <w:p>
      <w:pPr>
        <w:spacing w:before="0" w:after="120" w:line="360" w:lineRule="auto"/>
        <w:jc w:val="both"/>
      </w:pPr>
      <w:r>
        <w:rPr>
          <w:rFonts w:ascii="Times New Roman" w:hAnsi="Times New Roman"/>
          <w:b w:val="0"/>
          <w:i w:val="0"/>
          <w:sz w:val="24"/>
        </w:rPr>
        <w:t>2. Structural Fragility and Downtime of Public NEPSE Portals: Third-party data wrappers and public NEPSE endpoints frequently experience severe latency spikes, rate-limiting blocks, unexpected structural format alterations, and self-signed Transport Layer Security (TLS) certificate handshake errors. Existing financial tools that rely exclusively on synchronous live scraping inevitably crash or hang during peak trading hours (11:00 AM – 3:00 PM NPT), severely degrading user experience and reliability.</w:t>
      </w:r>
    </w:p>
    <w:p>
      <w:pPr>
        <w:spacing w:before="0" w:after="120" w:line="360" w:lineRule="auto"/>
        <w:jc w:val="both"/>
      </w:pPr>
      <w:r>
        <w:rPr>
          <w:rFonts w:ascii="Times New Roman" w:hAnsi="Times New Roman"/>
          <w:b w:val="0"/>
          <w:i w:val="0"/>
          <w:sz w:val="24"/>
        </w:rPr>
        <w:t>3. Inherent Failure of Standalone Point-in-Time Regression Models: Academic financial computing literature reveals that emerging equity markets possess low order-book depth, high noise-to-signal ratios, and strict daily circuit breaker bands (±10%). Standalone deep learning regression models (such as vanilla LSTMs or standard Feed-Forward Neural Networks) that attempt to predict exact closing prices exhibit severe Mean Squared Error (MSE) degradation during volatile market regimes. Furthermore, deep neural networks struggle to interpret heterogeneous tabular technical indicators, while traditional tree-based models (such as Random Forests or XGBoost) lack the sequential memory to capture temporal price momentum.</w:t>
      </w:r>
    </w:p>
    <w:p>
      <w:pPr>
        <w:spacing w:before="0" w:after="120" w:line="360" w:lineRule="auto"/>
        <w:jc w:val="both"/>
      </w:pPr>
      <w:r>
        <w:rPr>
          <w:rFonts w:ascii="Times New Roman" w:hAnsi="Times New Roman"/>
          <w:b w:val="0"/>
          <w:i w:val="0"/>
          <w:sz w:val="24"/>
        </w:rPr>
        <w:t>4. Absence of Unified, Zero-Latency Alerting and Decision Support Tools: Most existing local solutions operate as passive repositories. Retail traders lack access to active alerting engines that trigger instantaneous multi-condition alerts (such as moving average crossovers or RSI oversold breaches) with zero external media asset dependencies, as well as integrated paper trading environments to test algorithmic strategies without real financial risk.</w:t>
      </w:r>
    </w:p>
    <w:p>
      <w:pPr>
        <w:keepNext/>
        <w:spacing w:before="280" w:after="120" w:line="276" w:lineRule="auto"/>
        <w:jc w:val="left"/>
      </w:pPr>
      <w:r>
        <w:rPr>
          <w:rFonts w:ascii="Times New Roman" w:hAnsi="Times New Roman"/>
          <w:b/>
          <w:sz w:val="28"/>
        </w:rPr>
        <w:t>1.3 Objectives</w:t>
      </w:r>
    </w:p>
    <w:p>
      <w:pPr>
        <w:spacing w:before="0" w:after="120" w:line="360" w:lineRule="auto"/>
        <w:jc w:val="both"/>
      </w:pPr>
      <w:r>
        <w:rPr>
          <w:rFonts w:ascii="Times New Roman" w:hAnsi="Times New Roman"/>
          <w:b w:val="0"/>
          <w:i w:val="0"/>
          <w:sz w:val="24"/>
        </w:rPr>
        <w:t>The general objective of this project is to research, design, develop, and evaluate an enterprise-grade, real-time financial decision support, predictive analytics, and market supervision terminal for the Nepal Stock Exchange (NEPSE).</w:t>
      </w:r>
    </w:p>
    <w:p>
      <w:pPr>
        <w:spacing w:before="0" w:after="120" w:line="360" w:lineRule="auto"/>
        <w:jc w:val="both"/>
      </w:pPr>
      <w:r>
        <w:rPr>
          <w:rFonts w:ascii="Times New Roman" w:hAnsi="Times New Roman"/>
          <w:b w:val="0"/>
          <w:i w:val="0"/>
          <w:sz w:val="24"/>
        </w:rPr>
        <w:t>The specific technical and academic objectives of the project are:</w:t>
      </w:r>
    </w:p>
    <w:p>
      <w:pPr>
        <w:spacing w:before="0" w:after="120" w:line="360" w:lineRule="auto"/>
        <w:jc w:val="both"/>
      </w:pPr>
      <w:r>
        <w:rPr>
          <w:rFonts w:ascii="Times New Roman" w:hAnsi="Times New Roman"/>
          <w:b w:val="0"/>
          <w:i w:val="0"/>
          <w:sz w:val="24"/>
        </w:rPr>
        <w:t>• To design a decoupled, three-tier microservice architecture separating web presentation, enterprise backend orchestration and database persistence, and specialized Python machine learning inference.</w:t>
      </w:r>
    </w:p>
    <w:p>
      <w:pPr>
        <w:spacing w:before="0" w:after="120" w:line="360" w:lineRule="auto"/>
        <w:jc w:val="both"/>
      </w:pPr>
      <w:r>
        <w:rPr>
          <w:rFonts w:ascii="Times New Roman" w:hAnsi="Times New Roman"/>
          <w:b w:val="0"/>
          <w:i w:val="0"/>
          <w:sz w:val="24"/>
        </w:rPr>
        <w:t>• To build an automated daily End-of-Day (EOD) market ingestion pipeline using @rumess/nepse-api with custom TLS bypass and a multi-tier synthetic fallback engine to guarantee 100% data availability even during external exchange outages.</w:t>
      </w:r>
    </w:p>
    <w:p>
      <w:pPr>
        <w:spacing w:before="0" w:after="120" w:line="360" w:lineRule="auto"/>
        <w:jc w:val="both"/>
      </w:pPr>
      <w:r>
        <w:rPr>
          <w:rFonts w:ascii="Times New Roman" w:hAnsi="Times New Roman"/>
          <w:b w:val="0"/>
          <w:i w:val="0"/>
          <w:sz w:val="24"/>
        </w:rPr>
        <w:t>• To develop an optimized mathematical technical analysis engine in TypeScript calculating Simple Moving Averages (SMA 20), Exponential Moving Averages (EMA 12, 26, 50), Wilder’s Relative Strength Index (RSI 14), Moving Average Convergence Divergence (MACD 12, 26, 9), Bollinger Bands (20, 2), and Volume Delta in sub-50 milliseconds.</w:t>
      </w:r>
    </w:p>
    <w:p>
      <w:pPr>
        <w:spacing w:before="0" w:after="120" w:line="360" w:lineRule="auto"/>
        <w:jc w:val="both"/>
      </w:pPr>
      <w:r>
        <w:rPr>
          <w:rFonts w:ascii="Times New Roman" w:hAnsi="Times New Roman"/>
          <w:b w:val="0"/>
          <w:i w:val="0"/>
          <w:sz w:val="24"/>
        </w:rPr>
        <w:t>• To formulate and train a two-stage hybrid machine learning pipeline combining a PyTorch Long Short-Term Memory (LSTM) recurrent neural network (extracting 16-dimensional temporal embeddings from 30-day sequential price windows) and an XGBoost softprob classifier to output directional trend signals (Bullish, Bearish, Neutral) with calibrated confidence percentages.</w:t>
      </w:r>
    </w:p>
    <w:p>
      <w:pPr>
        <w:spacing w:before="0" w:after="120" w:line="360" w:lineRule="auto"/>
        <w:jc w:val="both"/>
      </w:pPr>
      <w:r>
        <w:rPr>
          <w:rFonts w:ascii="Times New Roman" w:hAnsi="Times New Roman"/>
          <w:b w:val="0"/>
          <w:i w:val="0"/>
          <w:sz w:val="24"/>
        </w:rPr>
        <w:t>• To engineer a client-side acoustic alarm synthesizer using the HTML5 Web Audio API, generating multi-frequency chime chords directly in the browser audio buffer without external audio files, complemented by native desktop browser notifications.</w:t>
      </w:r>
    </w:p>
    <w:p>
      <w:pPr>
        <w:spacing w:before="0" w:after="120" w:line="360" w:lineRule="auto"/>
        <w:jc w:val="both"/>
      </w:pPr>
      <w:r>
        <w:rPr>
          <w:rFonts w:ascii="Times New Roman" w:hAnsi="Times New Roman"/>
          <w:b w:val="0"/>
          <w:i w:val="0"/>
          <w:sz w:val="24"/>
        </w:rPr>
        <w:t>• To construct a TradingView-inspired financial terminal in React 19 and Vite 6 featuring candlestick and area plots, volume sub-panels, 5-day Monte Carlo price projection envelopes, a live Market Movers screener, and 1-click CSV data export.</w:t>
      </w:r>
    </w:p>
    <w:p>
      <w:pPr>
        <w:spacing w:before="0" w:after="120" w:line="360" w:lineRule="auto"/>
        <w:jc w:val="both"/>
      </w:pPr>
      <w:r>
        <w:rPr>
          <w:rFonts w:ascii="Times New Roman" w:hAnsi="Times New Roman"/>
          <w:b w:val="0"/>
          <w:i w:val="0"/>
          <w:sz w:val="24"/>
        </w:rPr>
        <w:t>• To implement an empirical 60-session historical signal backtesting simulation engine computing Win Rate %, Profit Factor, and Maximum Drawdown metrics for any listed security.</w:t>
      </w:r>
    </w:p>
    <w:p>
      <w:pPr>
        <w:spacing w:before="0" w:after="120" w:line="360" w:lineRule="auto"/>
        <w:jc w:val="both"/>
      </w:pPr>
      <w:r>
        <w:rPr>
          <w:rFonts w:ascii="Times New Roman" w:hAnsi="Times New Roman"/>
          <w:b w:val="0"/>
          <w:i w:val="0"/>
          <w:sz w:val="24"/>
        </w:rPr>
        <w:t>• To develop a comprehensive paper trading portfolio management dashboard computing mark-to-market valuations, realized and unrealized profit/loss (NPR and %), and sector capital allocation breakdowns.</w:t>
      </w:r>
    </w:p>
    <w:p>
      <w:pPr>
        <w:keepNext/>
        <w:spacing w:before="280" w:after="120" w:line="276" w:lineRule="auto"/>
        <w:jc w:val="left"/>
      </w:pPr>
      <w:r>
        <w:rPr>
          <w:rFonts w:ascii="Times New Roman" w:hAnsi="Times New Roman"/>
          <w:b/>
          <w:sz w:val="28"/>
        </w:rPr>
        <w:t>1.4 Scope and Limitation</w:t>
      </w:r>
    </w:p>
    <w:p>
      <w:pPr>
        <w:spacing w:before="0" w:after="120" w:line="360" w:lineRule="auto"/>
        <w:jc w:val="both"/>
      </w:pPr>
      <w:r>
        <w:rPr>
          <w:rFonts w:ascii="Times New Roman" w:hAnsi="Times New Roman"/>
          <w:b w:val="0"/>
          <w:i w:val="0"/>
          <w:sz w:val="24"/>
        </w:rPr>
        <w:t>Scope of the Project:</w:t>
      </w:r>
    </w:p>
    <w:p>
      <w:pPr>
        <w:spacing w:before="0" w:after="120" w:line="360" w:lineRule="auto"/>
        <w:jc w:val="both"/>
      </w:pPr>
      <w:r>
        <w:rPr>
          <w:rFonts w:ascii="Times New Roman" w:hAnsi="Times New Roman"/>
          <w:b w:val="0"/>
          <w:i w:val="0"/>
          <w:sz w:val="24"/>
        </w:rPr>
        <w:t>• Comprehensive Market Catalog: The system catalogs all 649 active, suspended, and historically listed corporate entities on the Nepal Stock Exchange across all 13 industrial sectors (Commercial Banks, Hydropower, Life Insurance, Non-Life Insurance, Microfinance, Finance, Hotels &amp; Tourism, Manufacturing, Investment, etc.).</w:t>
      </w:r>
    </w:p>
    <w:p>
      <w:pPr>
        <w:spacing w:before="0" w:after="120" w:line="360" w:lineRule="auto"/>
        <w:jc w:val="both"/>
      </w:pPr>
      <w:r>
        <w:rPr>
          <w:rFonts w:ascii="Times New Roman" w:hAnsi="Times New Roman"/>
          <w:b w:val="0"/>
          <w:i w:val="0"/>
          <w:sz w:val="24"/>
        </w:rPr>
        <w:t>• High-Density Benchmark Seeding: High-density 60-day historical OHLCV time-series datasets are fully seeded and maintained for 70 high-liquidity benchmark equities, enabling rich multi-timeframe analysis.</w:t>
      </w:r>
    </w:p>
    <w:p>
      <w:pPr>
        <w:spacing w:before="0" w:after="120" w:line="360" w:lineRule="auto"/>
        <w:jc w:val="both"/>
      </w:pPr>
      <w:r>
        <w:rPr>
          <w:rFonts w:ascii="Times New Roman" w:hAnsi="Times New Roman"/>
          <w:b w:val="0"/>
          <w:i w:val="0"/>
          <w:sz w:val="24"/>
        </w:rPr>
        <w:t>• Time-Series Horizon: Focuses on daily End-of-Day (EOD) bars, catering directly to positional trading, swing investing, and tactical retail decision support.</w:t>
      </w:r>
    </w:p>
    <w:p>
      <w:pPr>
        <w:spacing w:before="0" w:after="120" w:line="360" w:lineRule="auto"/>
        <w:jc w:val="both"/>
      </w:pPr>
      <w:r>
        <w:rPr>
          <w:rFonts w:ascii="Times New Roman" w:hAnsi="Times New Roman"/>
          <w:b w:val="0"/>
          <w:i w:val="0"/>
          <w:sz w:val="24"/>
        </w:rPr>
        <w:t>• Algorithmic Synthesis: Seamlessly unites sequential deep learning, gradient boosted decision trees, statistical technical analysis, Monte Carlo volatility drift projection, and empirical signal backtesting.</w:t>
      </w:r>
    </w:p>
    <w:p>
      <w:pPr>
        <w:spacing w:before="0" w:after="120" w:line="360" w:lineRule="auto"/>
        <w:jc w:val="both"/>
      </w:pPr>
      <w:r>
        <w:rPr>
          <w:rFonts w:ascii="Times New Roman" w:hAnsi="Times New Roman"/>
          <w:b w:val="0"/>
          <w:i w:val="0"/>
          <w:sz w:val="24"/>
        </w:rPr>
        <w:t>• Cross-Platform Accessibility: Web-based Single Page Application (SPA) responsive across desktop monitors, laptops, and mobile tablet viewports.</w:t>
      </w:r>
    </w:p>
    <w:p>
      <w:pPr>
        <w:spacing w:before="0" w:after="120" w:line="360" w:lineRule="auto"/>
        <w:jc w:val="both"/>
      </w:pPr>
      <w:r>
        <w:rPr>
          <w:rFonts w:ascii="Times New Roman" w:hAnsi="Times New Roman"/>
          <w:b w:val="0"/>
          <w:i w:val="0"/>
          <w:sz w:val="24"/>
        </w:rPr>
        <w:t>Limitations of the Project:</w:t>
      </w:r>
    </w:p>
    <w:p>
      <w:pPr>
        <w:spacing w:before="0" w:after="120" w:line="360" w:lineRule="auto"/>
        <w:jc w:val="both"/>
      </w:pPr>
      <w:r>
        <w:rPr>
          <w:rFonts w:ascii="Times New Roman" w:hAnsi="Times New Roman"/>
          <w:b w:val="0"/>
          <w:i w:val="0"/>
          <w:sz w:val="24"/>
        </w:rPr>
        <w:t>• Absence of Tick-Level High-Frequency Trading Feed: Due to the regulatory and infrastructural absence of an official, public, low-latency WebSocket tick feed from NEPSE, sub-second tick-level order book depth matching is not supported.</w:t>
      </w:r>
    </w:p>
    <w:p>
      <w:pPr>
        <w:spacing w:before="0" w:after="120" w:line="360" w:lineRule="auto"/>
        <w:jc w:val="both"/>
      </w:pPr>
      <w:r>
        <w:rPr>
          <w:rFonts w:ascii="Times New Roman" w:hAnsi="Times New Roman"/>
          <w:b w:val="0"/>
          <w:i w:val="0"/>
          <w:sz w:val="24"/>
        </w:rPr>
        <w:t>• Qualitative News and Balance Sheet Extraction: The predictive engine relies entirely on quantitative time-series price, volume, and derived technical momentum metrics. It does not parse unstructured quarterly corporate balance sheets or Nepali financial news sentiment.</w:t>
      </w:r>
    </w:p>
    <w:p>
      <w:pPr>
        <w:spacing w:before="0" w:after="120" w:line="360" w:lineRule="auto"/>
        <w:jc w:val="both"/>
      </w:pPr>
      <w:r>
        <w:rPr>
          <w:rFonts w:ascii="Times New Roman" w:hAnsi="Times New Roman"/>
          <w:b w:val="0"/>
          <w:i w:val="0"/>
          <w:sz w:val="24"/>
        </w:rPr>
        <w:t>• Simulated Order Execution: Due to legal and brokerage API constraints in Nepal (which prohibit direct third-party programmatic order entry into TMS), trades in the portfolio module are simulated (paper trading) rather than routed to live brokerage trading accounts.</w:t>
      </w:r>
    </w:p>
    <w:p>
      <w:pPr>
        <w:keepNext/>
        <w:spacing w:before="280" w:after="120" w:line="276" w:lineRule="auto"/>
        <w:jc w:val="left"/>
      </w:pPr>
      <w:r>
        <w:rPr>
          <w:rFonts w:ascii="Times New Roman" w:hAnsi="Times New Roman"/>
          <w:b/>
          <w:sz w:val="28"/>
        </w:rPr>
        <w:t>1.5 Development Methodology</w:t>
      </w:r>
    </w:p>
    <w:p>
      <w:pPr>
        <w:spacing w:before="0" w:after="120" w:line="360" w:lineRule="auto"/>
        <w:jc w:val="both"/>
      </w:pPr>
      <w:r>
        <w:rPr>
          <w:rFonts w:ascii="Times New Roman" w:hAnsi="Times New Roman"/>
          <w:b w:val="0"/>
          <w:i w:val="0"/>
          <w:sz w:val="24"/>
        </w:rPr>
        <w:t>The software development methodology adopted for this project is the Incremental Iterative Agile Process. Financial market software requires the seamless integration of asynchronous data pipelines, mathematical indicator computing, deep learning neural networks, and interactive client rendering canvases. An iterative agile methodology enabled the team to build, test, refine, and validate each tier systematically through short, highly focused sprints.</w:t>
      </w:r>
    </w:p>
    <w:p>
      <w:pPr>
        <w:spacing w:before="0" w:after="120" w:line="360" w:lineRule="auto"/>
        <w:jc w:val="both"/>
      </w:pPr>
      <w:r>
        <w:rPr>
          <w:rFonts w:ascii="Times New Roman" w:hAnsi="Times New Roman"/>
          <w:b w:val="0"/>
          <w:i w:val="0"/>
          <w:sz w:val="24"/>
        </w:rPr>
        <w:t>The project lifecycle was executed across five major iterations over a 16-week timeline:</w:t>
      </w:r>
    </w:p>
    <w:p>
      <w:pPr>
        <w:spacing w:before="0" w:after="120" w:line="360" w:lineRule="auto"/>
        <w:jc w:val="both"/>
      </w:pPr>
      <w:r>
        <w:rPr>
          <w:rFonts w:ascii="Times New Roman" w:hAnsi="Times New Roman"/>
          <w:b w:val="0"/>
          <w:i w:val="0"/>
          <w:sz w:val="24"/>
        </w:rPr>
        <w:t>• Sprint 1: Data Architecture &amp; Persistence Layer (Weeks 1 – 3): Designed normalized Prisma ORM database schemas for Company, DailyPrice, Alert, and PortfolioPosition entities. Implemented dual SQLite and PostgreSQL support. Integrated the @rumess/nepse-api wrapper with TLS bypass logic and created automated daily cron ingestion schedulers.</w:t>
      </w:r>
    </w:p>
    <w:p>
      <w:pPr>
        <w:spacing w:before="0" w:after="120" w:line="360" w:lineRule="auto"/>
        <w:jc w:val="both"/>
      </w:pPr>
      <w:r>
        <w:rPr>
          <w:rFonts w:ascii="Times New Roman" w:hAnsi="Times New Roman"/>
          <w:b w:val="0"/>
          <w:i w:val="0"/>
          <w:sz w:val="24"/>
        </w:rPr>
        <w:t>• Sprint 2: Quantitative Technical Engine &amp; Backend APIs (Weeks 4 – 6): Implemented TypeScript mathematical algorithms for EMA, Wilder's RSI, MACD, and Bollinger Bands. Created RESTful endpoints for company discovery, historical price retrieval, top movers ranking, and real-time quote generation with sub-50ms latency.</w:t>
      </w:r>
    </w:p>
    <w:p>
      <w:pPr>
        <w:spacing w:before="0" w:after="120" w:line="360" w:lineRule="auto"/>
        <w:jc w:val="both"/>
      </w:pPr>
      <w:r>
        <w:rPr>
          <w:rFonts w:ascii="Times New Roman" w:hAnsi="Times New Roman"/>
          <w:b w:val="0"/>
          <w:i w:val="0"/>
          <w:sz w:val="24"/>
        </w:rPr>
        <w:t>• Sprint 3: Hybrid Machine Learning Microservice (Weeks 7 – 9): Built the PyTorch LSTMFeatureExtractor module and XGBoost classifier pipeline in Python FastAPI. Implemented sequence preprocessing, train/validation splitting, model serialization, and REST prediction endpoints with heuristic fallback mechanisms.</w:t>
      </w:r>
    </w:p>
    <w:p>
      <w:pPr>
        <w:spacing w:before="0" w:after="120" w:line="360" w:lineRule="auto"/>
        <w:jc w:val="both"/>
      </w:pPr>
      <w:r>
        <w:rPr>
          <w:rFonts w:ascii="Times New Roman" w:hAnsi="Times New Roman"/>
          <w:b w:val="0"/>
          <w:i w:val="0"/>
          <w:sz w:val="24"/>
        </w:rPr>
        <w:t>• Sprint 4: Frontend Terminal &amp; Charting Visualizer (Weeks 10 – 12): Scaffolded the React 19 + Vite 6 Single Page Application. Implemented dark-mode Tailwind CSS styling, vector candlestick/area charts using Recharts, interactive timeframe selectors, and responsive navigation layouts.</w:t>
      </w:r>
    </w:p>
    <w:p>
      <w:pPr>
        <w:spacing w:before="0" w:after="120" w:line="360" w:lineRule="auto"/>
        <w:jc w:val="both"/>
      </w:pPr>
      <w:r>
        <w:rPr>
          <w:rFonts w:ascii="Times New Roman" w:hAnsi="Times New Roman"/>
          <w:b w:val="0"/>
          <w:i w:val="0"/>
          <w:sz w:val="24"/>
        </w:rPr>
        <w:t>• Sprint 5: Advanced Financial Utilities, Testing &amp; Optimization (Weeks 13 – 16): Engineered the Web Audio API synthesizer, browser desktop notifications, 5-day Monte Carlo price projection envelopes, 60-day historical signal backtester, Market Movers screener, and paper trading portfolio tracker. Conducted unit, integration, and user acceptance testing.</w:t>
      </w:r>
    </w:p>
    <w:p>
      <w:pPr>
        <w:spacing w:before="80" w:after="240"/>
        <w:jc w:val="center"/>
      </w:pPr>
      <w:r>
        <w:rPr>
          <w:rFonts w:ascii="Times New Roman" w:hAnsi="Times New Roman"/>
          <w:b/>
          <w:sz w:val="24"/>
        </w:rPr>
        <w:t>Figure 1.1: Incremental Iterative Agile Software Engineering Process</w:t>
      </w:r>
    </w:p>
    <w:p>
      <w:pPr>
        <w:keepNext/>
        <w:spacing w:before="280" w:after="120" w:line="276" w:lineRule="auto"/>
        <w:jc w:val="left"/>
      </w:pPr>
      <w:r>
        <w:rPr>
          <w:rFonts w:ascii="Times New Roman" w:hAnsi="Times New Roman"/>
          <w:b/>
          <w:sz w:val="28"/>
        </w:rPr>
        <w:t>1.6 Report Organization</w:t>
      </w:r>
    </w:p>
    <w:p>
      <w:pPr>
        <w:spacing w:before="0" w:after="120" w:line="360" w:lineRule="auto"/>
        <w:jc w:val="both"/>
      </w:pPr>
      <w:r>
        <w:rPr>
          <w:rFonts w:ascii="Times New Roman" w:hAnsi="Times New Roman"/>
          <w:b w:val="0"/>
          <w:i w:val="0"/>
          <w:sz w:val="24"/>
        </w:rPr>
        <w:t>This project report is structured into five cohesive chapters designed to provide comprehensive, academically rigorous documentation of the system:</w:t>
      </w:r>
    </w:p>
    <w:p>
      <w:pPr>
        <w:spacing w:before="0" w:after="120" w:line="360" w:lineRule="auto"/>
        <w:jc w:val="both"/>
      </w:pPr>
      <w:r>
        <w:rPr>
          <w:rFonts w:ascii="Times New Roman" w:hAnsi="Times New Roman"/>
          <w:b w:val="0"/>
          <w:i w:val="0"/>
          <w:sz w:val="24"/>
        </w:rPr>
        <w:t>• Chapter 1: Introduction establishes the background of the Nepalese capital market, articulates the problem statement, delineates the research objectives, bounds the project scope and limitations, and details the iterative agile development methodology.</w:t>
      </w:r>
    </w:p>
    <w:p>
      <w:pPr>
        <w:spacing w:before="0" w:after="120" w:line="360" w:lineRule="auto"/>
        <w:jc w:val="both"/>
      </w:pPr>
      <w:r>
        <w:rPr>
          <w:rFonts w:ascii="Times New Roman" w:hAnsi="Times New Roman"/>
          <w:b w:val="0"/>
          <w:i w:val="0"/>
          <w:sz w:val="24"/>
        </w:rPr>
        <w:t>• Chapter 2: Background Study and Literature Review explores foundational market microstructure concepts, mathematical formulations of technical indicators, recurrent deep learning, gradient tree boosting, modern web audio synthesis, and provides a critical comparative review of existing academic literature.</w:t>
      </w:r>
    </w:p>
    <w:p>
      <w:pPr>
        <w:spacing w:before="0" w:after="120" w:line="360" w:lineRule="auto"/>
        <w:jc w:val="both"/>
      </w:pPr>
      <w:r>
        <w:rPr>
          <w:rFonts w:ascii="Times New Roman" w:hAnsi="Times New Roman"/>
          <w:b w:val="0"/>
          <w:i w:val="0"/>
          <w:sz w:val="24"/>
        </w:rPr>
        <w:t>• Chapter 3: System Analysis and Design provides exhaustive software requirement specifications (SRS), detailed use case descriptions, non-functional quality metrics, feasibility studies, complete UML object and dynamic models, three-tier architectural designs, database schemas, and step-by-step algorithmic formulations.</w:t>
      </w:r>
    </w:p>
    <w:p>
      <w:pPr>
        <w:spacing w:before="0" w:after="120" w:line="360" w:lineRule="auto"/>
        <w:jc w:val="both"/>
      </w:pPr>
      <w:r>
        <w:rPr>
          <w:rFonts w:ascii="Times New Roman" w:hAnsi="Times New Roman"/>
          <w:b w:val="0"/>
          <w:i w:val="0"/>
          <w:sz w:val="24"/>
        </w:rPr>
        <w:t>• Chapter 4: Implementation and Testing outlines the computational development stack, CASE tools, module-by-module implementation walkthroughs, and details comprehensive test suites for unit testing, system integration testing, and user acceptance testing.</w:t>
      </w:r>
    </w:p>
    <w:p>
      <w:pPr>
        <w:spacing w:before="0" w:after="120" w:line="360" w:lineRule="auto"/>
        <w:jc w:val="both"/>
      </w:pPr>
      <w:r>
        <w:rPr>
          <w:rFonts w:ascii="Times New Roman" w:hAnsi="Times New Roman"/>
          <w:b w:val="0"/>
          <w:i w:val="0"/>
          <w:sz w:val="24"/>
        </w:rPr>
        <w:t>• Chapter 5: Conclusion and Future Recommendations summarizes key project achievements, lessons learned across engineering and financial domains, and outlines actionable directions for future enhancements.</w:t>
      </w:r>
    </w:p>
    <w:p>
      <w:pPr>
        <w:spacing w:before="0" w:after="120" w:line="360" w:lineRule="auto"/>
        <w:jc w:val="both"/>
      </w:pPr>
      <w:r>
        <w:rPr>
          <w:rFonts w:ascii="Times New Roman" w:hAnsi="Times New Roman"/>
          <w:b w:val="0"/>
          <w:i w:val="0"/>
          <w:sz w:val="24"/>
        </w:rPr>
        <w:t>• Appendices &amp; References: Features full-resolution system screenshots (Appendix A), core algorithmic source code listings (Appendix B), the official supervisor visit consultation log sheet (Appendix C), and academic citations in strict IEEE format.</w:t>
      </w:r>
    </w:p>
    <w:p>
      <w:r>
        <w:br w:type="page"/>
      </w:r>
    </w:p>
    <w:p>
      <w:pPr>
        <w:keepNext/>
        <w:spacing w:before="360" w:after="200" w:line="276" w:lineRule="auto"/>
        <w:jc w:val="left"/>
      </w:pPr>
      <w:r>
        <w:rPr>
          <w:rFonts w:ascii="Times New Roman" w:hAnsi="Times New Roman"/>
          <w:b/>
          <w:sz w:val="32"/>
        </w:rPr>
        <w:t>CHAPTER 2: BACKGROUND STUDY AND LITERATURE REVIEW</w:t>
      </w:r>
    </w:p>
    <w:p>
      <w:pPr>
        <w:keepNext/>
        <w:spacing w:before="280" w:after="120" w:line="276" w:lineRule="auto"/>
        <w:jc w:val="left"/>
      </w:pPr>
      <w:r>
        <w:rPr>
          <w:rFonts w:ascii="Times New Roman" w:hAnsi="Times New Roman"/>
          <w:b/>
          <w:sz w:val="28"/>
        </w:rPr>
        <w:t>2.1 Background Study</w:t>
      </w:r>
    </w:p>
    <w:p>
      <w:pPr>
        <w:keepNext/>
        <w:spacing w:before="200" w:after="80" w:line="276" w:lineRule="auto"/>
        <w:jc w:val="left"/>
      </w:pPr>
      <w:r>
        <w:rPr>
          <w:rFonts w:ascii="Times New Roman" w:hAnsi="Times New Roman"/>
          <w:b/>
          <w:sz w:val="24"/>
        </w:rPr>
        <w:t>2.1.1 Overview of NEPSE Market Mechanics</w:t>
      </w:r>
    </w:p>
    <w:p>
      <w:pPr>
        <w:spacing w:before="0" w:after="120" w:line="360" w:lineRule="auto"/>
        <w:jc w:val="both"/>
      </w:pPr>
      <w:r>
        <w:rPr>
          <w:rFonts w:ascii="Times New Roman" w:hAnsi="Times New Roman"/>
          <w:b w:val="0"/>
          <w:i w:val="0"/>
          <w:sz w:val="24"/>
        </w:rPr>
        <w:t>The Nepal Stock Exchange (NEPSE) operates as an electronic order-driven marketplace where trade execution occurs through automated continuous matching of limit and market orders via the NEPSE Automated Trading System (NATS). Regular market trading sessions are conducted Sunday through Thursday from 11:00 AM to 3:00 PM Nepal Time (NPT), with a pre-open session between 10:30 AM and 10:45 AM. Unlike mature international equity markets characterized by continuous matching without price caps, NEPSE operates under strict regulatory constraints established by the Securities Board of Nepal (SEBON):</w:t>
      </w:r>
    </w:p>
    <w:p>
      <w:pPr>
        <w:spacing w:before="0" w:after="120" w:line="360" w:lineRule="auto"/>
        <w:jc w:val="both"/>
      </w:pPr>
      <w:r>
        <w:rPr>
          <w:rFonts w:ascii="Times New Roman" w:hAnsi="Times New Roman"/>
          <w:b w:val="0"/>
          <w:i w:val="0"/>
          <w:sz w:val="24"/>
        </w:rPr>
        <w:t>• Individual Equity Circuit Breakers: Individual listed securities are constrained within a maximum daily price movement band of ±10% relative to the previous trading session's official closing price. Once a scrip hits its upper or lower 10% limit, orders can only be executed at or within the limit, preventing runaway price spikes or flash crashes.</w:t>
      </w:r>
    </w:p>
    <w:p>
      <w:pPr>
        <w:spacing w:before="0" w:after="120" w:line="360" w:lineRule="auto"/>
        <w:jc w:val="both"/>
      </w:pPr>
      <w:r>
        <w:rPr>
          <w:rFonts w:ascii="Times New Roman" w:hAnsi="Times New Roman"/>
          <w:b w:val="0"/>
          <w:i w:val="0"/>
          <w:sz w:val="24"/>
        </w:rPr>
        <w:t>• Market-Wide Index Circuit Breakers: Systemic market volatility is controlled through three index-level circuit breaker thresholds:</w:t>
      </w:r>
    </w:p>
    <w:p>
      <w:pPr>
        <w:spacing w:before="0" w:after="120" w:line="360" w:lineRule="auto"/>
        <w:jc w:val="both"/>
      </w:pPr>
      <w:r>
        <w:rPr>
          <w:rFonts w:ascii="Times New Roman" w:hAnsi="Times New Roman"/>
          <w:b w:val="0"/>
          <w:i w:val="0"/>
          <w:sz w:val="24"/>
        </w:rPr>
        <w:t xml:space="preserve">    1. A 4% index fluctuation within the first 60 minutes triggers a 20-minute market-wide trading halt.</w:t>
      </w:r>
    </w:p>
    <w:p>
      <w:pPr>
        <w:spacing w:before="0" w:after="120" w:line="360" w:lineRule="auto"/>
        <w:jc w:val="both"/>
      </w:pPr>
      <w:r>
        <w:rPr>
          <w:rFonts w:ascii="Times New Roman" w:hAnsi="Times New Roman"/>
          <w:b w:val="0"/>
          <w:i w:val="0"/>
          <w:sz w:val="24"/>
        </w:rPr>
        <w:t xml:space="preserve">    2. A 5% index fluctuation within the second hour triggers a 40-minute market-wide trading halt.</w:t>
      </w:r>
    </w:p>
    <w:p>
      <w:pPr>
        <w:spacing w:before="0" w:after="120" w:line="360" w:lineRule="auto"/>
        <w:jc w:val="both"/>
      </w:pPr>
      <w:r>
        <w:rPr>
          <w:rFonts w:ascii="Times New Roman" w:hAnsi="Times New Roman"/>
          <w:b w:val="0"/>
          <w:i w:val="0"/>
          <w:sz w:val="24"/>
        </w:rPr>
        <w:t xml:space="preserve">    3. A 6% index fluctuation at any point during the session halts trading for the remainder of the day.</w:t>
      </w:r>
    </w:p>
    <w:p>
      <w:pPr>
        <w:spacing w:before="0" w:after="120" w:line="360" w:lineRule="auto"/>
        <w:jc w:val="both"/>
      </w:pPr>
      <w:r>
        <w:rPr>
          <w:rFonts w:ascii="Times New Roman" w:hAnsi="Times New Roman"/>
          <w:b w:val="0"/>
          <w:i w:val="0"/>
          <w:sz w:val="24"/>
        </w:rPr>
        <w:t>• Settlement Cycle and Clearing: NEPSE operates on a T+2 rolling settlement cycle. Securities clearing and transfers are processed electronically through CDSC MeroShare and participating clearing banks. Short selling is currently prohibited by regulations, meaning all retail participants operate exclusively on the long side (spot buying).</w:t>
      </w:r>
    </w:p>
    <w:p>
      <w:pPr>
        <w:spacing w:before="0" w:after="120" w:line="360" w:lineRule="auto"/>
        <w:jc w:val="both"/>
      </w:pPr>
      <w:r>
        <w:rPr>
          <w:rFonts w:ascii="Times New Roman" w:hAnsi="Times New Roman"/>
          <w:b w:val="0"/>
          <w:i w:val="0"/>
          <w:sz w:val="24"/>
        </w:rPr>
        <w:t>• Sector Skewness &amp; Market Depth: NEPSE exhibits high sector concentration. Financial institutions (Commercial Banks, Development Banks, Microfinance, and Insurance) together with Hydropower developers account for over 80% of total market capitalization. Hydropower scrips frequently exhibit parabolic momentum cycles driven by low public float and speculative retail syndicates.</w:t>
      </w:r>
    </w:p>
    <w:p>
      <w:pPr>
        <w:keepNext/>
        <w:spacing w:before="200" w:after="80" w:line="276" w:lineRule="auto"/>
        <w:jc w:val="left"/>
      </w:pPr>
      <w:r>
        <w:rPr>
          <w:rFonts w:ascii="Times New Roman" w:hAnsi="Times New Roman"/>
          <w:b/>
          <w:sz w:val="24"/>
        </w:rPr>
        <w:t>2.1.2 Technical Analysis &amp; Mathematical Indicators</w:t>
      </w:r>
    </w:p>
    <w:p>
      <w:pPr>
        <w:spacing w:before="0" w:after="120" w:line="360" w:lineRule="auto"/>
        <w:jc w:val="both"/>
      </w:pPr>
      <w:r>
        <w:rPr>
          <w:rFonts w:ascii="Times New Roman" w:hAnsi="Times New Roman"/>
          <w:b w:val="0"/>
          <w:i w:val="0"/>
          <w:sz w:val="24"/>
        </w:rPr>
        <w:t>Technical analysis is grounded in the empirical premise that historical price action, trading volumes, and momentum patterns reflect all underlying market information, corporate earnings expectations, and investor sentiment. The mathematical technical indicators engineered into the NEPSE AI platform are:</w:t>
      </w:r>
    </w:p>
    <w:p>
      <w:pPr>
        <w:spacing w:before="0" w:after="120" w:line="360" w:lineRule="auto"/>
        <w:jc w:val="both"/>
      </w:pPr>
      <w:r>
        <w:rPr>
          <w:rFonts w:ascii="Times New Roman" w:hAnsi="Times New Roman"/>
          <w:b w:val="0"/>
          <w:i w:val="0"/>
          <w:sz w:val="24"/>
        </w:rPr>
        <w:t>1. Simple Moving Average (SMA):</w:t>
      </w:r>
    </w:p>
    <w:p>
      <w:pPr>
        <w:spacing w:before="0" w:after="120" w:line="360" w:lineRule="auto"/>
        <w:jc w:val="both"/>
      </w:pPr>
      <w:r>
        <w:rPr>
          <w:rFonts w:ascii="Times New Roman" w:hAnsi="Times New Roman"/>
          <w:b w:val="0"/>
          <w:i w:val="0"/>
          <w:sz w:val="24"/>
        </w:rPr>
        <w:t>The Simple Moving Average calculates the arithmetic mean of closing prices over a specified sliding window of k sessions:</w:t>
      </w:r>
    </w:p>
    <w:p>
      <w:pPr>
        <w:spacing w:before="0" w:after="120" w:line="360" w:lineRule="auto"/>
        <w:jc w:val="both"/>
      </w:pPr>
      <w:r>
        <w:rPr>
          <w:rFonts w:ascii="Times New Roman" w:hAnsi="Times New Roman"/>
          <w:b w:val="0"/>
          <w:i w:val="0"/>
          <w:sz w:val="24"/>
        </w:rPr>
        <w:t xml:space="preserve">    SMA_k(t) = (1 / k) * ∑_{i=0}^{k-1} Close(t - i)</w:t>
      </w:r>
    </w:p>
    <w:p>
      <w:pPr>
        <w:spacing w:before="0" w:after="120" w:line="360" w:lineRule="auto"/>
        <w:jc w:val="both"/>
      </w:pPr>
      <w:r>
        <w:rPr>
          <w:rFonts w:ascii="Times New Roman" w:hAnsi="Times New Roman"/>
          <w:b w:val="0"/>
          <w:i w:val="0"/>
          <w:sz w:val="24"/>
        </w:rPr>
        <w:t>In this project, SMA 20 serves as the baseline intermediate trend filter and the center line for Bollinger Bands.</w:t>
      </w:r>
    </w:p>
    <w:p>
      <w:pPr>
        <w:spacing w:before="0" w:after="120" w:line="360" w:lineRule="auto"/>
        <w:jc w:val="both"/>
      </w:pPr>
      <w:r>
        <w:rPr>
          <w:rFonts w:ascii="Times New Roman" w:hAnsi="Times New Roman"/>
          <w:b w:val="0"/>
          <w:i w:val="0"/>
          <w:sz w:val="24"/>
        </w:rPr>
        <w:t>2. Exponential Moving Average (EMA):</w:t>
      </w:r>
    </w:p>
    <w:p>
      <w:pPr>
        <w:spacing w:before="0" w:after="120" w:line="360" w:lineRule="auto"/>
        <w:jc w:val="both"/>
      </w:pPr>
      <w:r>
        <w:rPr>
          <w:rFonts w:ascii="Times New Roman" w:hAnsi="Times New Roman"/>
          <w:b w:val="0"/>
          <w:i w:val="0"/>
          <w:sz w:val="24"/>
        </w:rPr>
        <w:t>Unlike the SMA which applies equal weights to all historical observations, the Exponential Moving Average applies an exponentially decaying weighting scheme, granting greater statistical significance to recent price action and minimizing lag:</w:t>
      </w:r>
    </w:p>
    <w:p>
      <w:pPr>
        <w:spacing w:before="0" w:after="120" w:line="360" w:lineRule="auto"/>
        <w:jc w:val="both"/>
      </w:pPr>
      <w:r>
        <w:rPr>
          <w:rFonts w:ascii="Times New Roman" w:hAnsi="Times New Roman"/>
          <w:b w:val="0"/>
          <w:i w:val="0"/>
          <w:sz w:val="24"/>
        </w:rPr>
        <w:t xml:space="preserve">    EMA_N(t) = [Close(t) * α] + [EMA_N(t - 1) * (1 - α)]</w:t>
      </w:r>
    </w:p>
    <w:p>
      <w:pPr>
        <w:spacing w:before="0" w:after="120" w:line="360" w:lineRule="auto"/>
        <w:jc w:val="both"/>
      </w:pPr>
      <w:r>
        <w:rPr>
          <w:rFonts w:ascii="Times New Roman" w:hAnsi="Times New Roman"/>
          <w:b w:val="0"/>
          <w:i w:val="0"/>
          <w:sz w:val="24"/>
        </w:rPr>
        <w:t>where the smoothing multiplier α is derived mathematically as α = 2 / (N + 1). The system calculates three distinct EMA horizons: EMA 12 (fast momentum), EMA 26 (intermediate trend), and EMA 50 (macro structural trend).</w:t>
      </w:r>
    </w:p>
    <w:p>
      <w:pPr>
        <w:spacing w:before="0" w:after="120" w:line="360" w:lineRule="auto"/>
        <w:jc w:val="both"/>
      </w:pPr>
      <w:r>
        <w:rPr>
          <w:rFonts w:ascii="Times New Roman" w:hAnsi="Times New Roman"/>
          <w:b w:val="0"/>
          <w:i w:val="0"/>
          <w:sz w:val="24"/>
        </w:rPr>
        <w:t>3. Wilder’s Relative Strength Index (RSI):</w:t>
      </w:r>
    </w:p>
    <w:p>
      <w:pPr>
        <w:spacing w:before="0" w:after="120" w:line="360" w:lineRule="auto"/>
        <w:jc w:val="both"/>
      </w:pPr>
      <w:r>
        <w:rPr>
          <w:rFonts w:ascii="Times New Roman" w:hAnsi="Times New Roman"/>
          <w:b w:val="0"/>
          <w:i w:val="0"/>
          <w:sz w:val="24"/>
        </w:rPr>
        <w:t>Developed by J. Welles Wilder, the RSI is a bounded momentum oscillator measuring the speed and velocity of directional price movements on a normalized scale between 0 and 100:</w:t>
      </w:r>
    </w:p>
    <w:p>
      <w:pPr>
        <w:spacing w:before="0" w:after="120" w:line="360" w:lineRule="auto"/>
        <w:jc w:val="both"/>
      </w:pPr>
      <w:r>
        <w:rPr>
          <w:rFonts w:ascii="Times New Roman" w:hAnsi="Times New Roman"/>
          <w:b w:val="0"/>
          <w:i w:val="0"/>
          <w:sz w:val="24"/>
        </w:rPr>
        <w:t xml:space="preserve">    RSI = 100 - [100 / (1 + RS)]</w:t>
      </w:r>
    </w:p>
    <w:p>
      <w:pPr>
        <w:spacing w:before="0" w:after="120" w:line="360" w:lineRule="auto"/>
        <w:jc w:val="both"/>
      </w:pPr>
      <w:r>
        <w:rPr>
          <w:rFonts w:ascii="Times New Roman" w:hAnsi="Times New Roman"/>
          <w:b w:val="0"/>
          <w:i w:val="0"/>
          <w:sz w:val="24"/>
        </w:rPr>
        <w:t>where Relative Strength (RS) represents the ratio of smoothed average gains to smoothed average losses over 14 sessions:</w:t>
      </w:r>
    </w:p>
    <w:p>
      <w:pPr>
        <w:spacing w:before="0" w:after="120" w:line="360" w:lineRule="auto"/>
        <w:jc w:val="both"/>
      </w:pPr>
      <w:r>
        <w:rPr>
          <w:rFonts w:ascii="Times New Roman" w:hAnsi="Times New Roman"/>
          <w:b w:val="0"/>
          <w:i w:val="0"/>
          <w:sz w:val="24"/>
        </w:rPr>
        <w:t xml:space="preserve">    AvgGain_t = [(AvgGain_{t-1} * 13) + Gain_t] / 14</w:t>
      </w:r>
    </w:p>
    <w:p>
      <w:pPr>
        <w:spacing w:before="0" w:after="120" w:line="360" w:lineRule="auto"/>
        <w:jc w:val="both"/>
      </w:pPr>
      <w:r>
        <w:rPr>
          <w:rFonts w:ascii="Times New Roman" w:hAnsi="Times New Roman"/>
          <w:b w:val="0"/>
          <w:i w:val="0"/>
          <w:sz w:val="24"/>
        </w:rPr>
        <w:t xml:space="preserve">    AvgLoss_t = [(AvgLoss_{t-1} * 13) + Loss_t] / 14</w:t>
      </w:r>
    </w:p>
    <w:p>
      <w:pPr>
        <w:spacing w:before="0" w:after="120" w:line="360" w:lineRule="auto"/>
        <w:jc w:val="both"/>
      </w:pPr>
      <w:r>
        <w:rPr>
          <w:rFonts w:ascii="Times New Roman" w:hAnsi="Times New Roman"/>
          <w:b w:val="0"/>
          <w:i w:val="0"/>
          <w:sz w:val="24"/>
        </w:rPr>
        <w:t>RSI values below 30 denote an oversold market regime (indicating seller exhaustion and prospective mean-reversion buying opportunities), while values above 70 indicate overbought conditions (elevated risk of profit-taking corrections).</w:t>
      </w:r>
    </w:p>
    <w:p>
      <w:pPr>
        <w:spacing w:before="80" w:after="240"/>
        <w:jc w:val="center"/>
      </w:pPr>
      <w:r>
        <w:rPr>
          <w:rFonts w:ascii="Times New Roman" w:hAnsi="Times New Roman"/>
          <w:b/>
          <w:sz w:val="24"/>
        </w:rPr>
        <w:t>Figure 2.1: Wilder’s 14-Period RSI Oscillator Bounds and Momentum Thresholds</w:t>
      </w:r>
    </w:p>
    <w:p>
      <w:pPr>
        <w:spacing w:before="0" w:after="120" w:line="360" w:lineRule="auto"/>
        <w:jc w:val="both"/>
      </w:pPr>
      <w:r>
        <w:rPr>
          <w:rFonts w:ascii="Times New Roman" w:hAnsi="Times New Roman"/>
          <w:b w:val="0"/>
          <w:i w:val="0"/>
          <w:sz w:val="24"/>
        </w:rPr>
        <w:t>4. Moving Average Convergence Divergence (MACD):</w:t>
      </w:r>
    </w:p>
    <w:p>
      <w:pPr>
        <w:spacing w:before="0" w:after="120" w:line="360" w:lineRule="auto"/>
        <w:jc w:val="both"/>
      </w:pPr>
      <w:r>
        <w:rPr>
          <w:rFonts w:ascii="Times New Roman" w:hAnsi="Times New Roman"/>
          <w:b w:val="0"/>
          <w:i w:val="0"/>
          <w:sz w:val="24"/>
        </w:rPr>
        <w:t>Formulated by Gerald Appel, the MACD indicator detects changes in the strength, direction, momentum, and duration of an equity trend:</w:t>
      </w:r>
    </w:p>
    <w:p>
      <w:pPr>
        <w:spacing w:before="0" w:after="120" w:line="360" w:lineRule="auto"/>
        <w:jc w:val="both"/>
      </w:pPr>
      <w:r>
        <w:rPr>
          <w:rFonts w:ascii="Times New Roman" w:hAnsi="Times New Roman"/>
          <w:b w:val="0"/>
          <w:i w:val="0"/>
          <w:sz w:val="24"/>
        </w:rPr>
        <w:t xml:space="preserve">    MACD Line = EMA_12(Close) - EMA_26(Close)</w:t>
      </w:r>
    </w:p>
    <w:p>
      <w:pPr>
        <w:spacing w:before="0" w:after="120" w:line="360" w:lineRule="auto"/>
        <w:jc w:val="both"/>
      </w:pPr>
      <w:r>
        <w:rPr>
          <w:rFonts w:ascii="Times New Roman" w:hAnsi="Times New Roman"/>
          <w:b w:val="0"/>
          <w:i w:val="0"/>
          <w:sz w:val="24"/>
        </w:rPr>
        <w:t xml:space="preserve">    Signal Line = EMA_9(MACD Line)</w:t>
      </w:r>
    </w:p>
    <w:p>
      <w:pPr>
        <w:spacing w:before="0" w:after="120" w:line="360" w:lineRule="auto"/>
        <w:jc w:val="both"/>
      </w:pPr>
      <w:r>
        <w:rPr>
          <w:rFonts w:ascii="Times New Roman" w:hAnsi="Times New Roman"/>
          <w:b w:val="0"/>
          <w:i w:val="0"/>
          <w:sz w:val="24"/>
        </w:rPr>
        <w:t xml:space="preserve">    MACD Histogram = MACD Line - Signal Line</w:t>
      </w:r>
    </w:p>
    <w:p>
      <w:pPr>
        <w:spacing w:before="0" w:after="120" w:line="360" w:lineRule="auto"/>
        <w:jc w:val="both"/>
      </w:pPr>
      <w:r>
        <w:rPr>
          <w:rFonts w:ascii="Times New Roman" w:hAnsi="Times New Roman"/>
          <w:b w:val="0"/>
          <w:i w:val="0"/>
          <w:sz w:val="24"/>
        </w:rPr>
        <w:t>A bullish momentum expansion occurs when the MACD Line crosses above the Signal Line with positive histogram expansion. Conversely, a bearish breakdown is signaled when the MACD Line crosses below the Signal Line.</w:t>
      </w:r>
    </w:p>
    <w:p>
      <w:pPr>
        <w:spacing w:before="80" w:after="240"/>
        <w:jc w:val="center"/>
      </w:pPr>
      <w:r>
        <w:rPr>
          <w:rFonts w:ascii="Times New Roman" w:hAnsi="Times New Roman"/>
          <w:b/>
          <w:sz w:val="24"/>
        </w:rPr>
        <w:t>Figure 2.2: Moving Average Convergence Divergence (MACD) Signal Expansion</w:t>
      </w:r>
    </w:p>
    <w:p>
      <w:pPr>
        <w:spacing w:before="0" w:after="120" w:line="360" w:lineRule="auto"/>
        <w:jc w:val="both"/>
      </w:pPr>
      <w:r>
        <w:rPr>
          <w:rFonts w:ascii="Times New Roman" w:hAnsi="Times New Roman"/>
          <w:b w:val="0"/>
          <w:i w:val="0"/>
          <w:sz w:val="24"/>
        </w:rPr>
        <w:t>5. Bollinger Bands (BB):</w:t>
      </w:r>
    </w:p>
    <w:p>
      <w:pPr>
        <w:spacing w:before="0" w:after="120" w:line="360" w:lineRule="auto"/>
        <w:jc w:val="both"/>
      </w:pPr>
      <w:r>
        <w:rPr>
          <w:rFonts w:ascii="Times New Roman" w:hAnsi="Times New Roman"/>
          <w:b w:val="0"/>
          <w:i w:val="0"/>
          <w:sz w:val="24"/>
        </w:rPr>
        <w:t>Developed by John Bollinger, Bollinger Bands enclose price action within a statistical volatility envelope centered around the 20-day moving average:</w:t>
      </w:r>
    </w:p>
    <w:p>
      <w:pPr>
        <w:spacing w:before="0" w:after="120" w:line="360" w:lineRule="auto"/>
        <w:jc w:val="both"/>
      </w:pPr>
      <w:r>
        <w:rPr>
          <w:rFonts w:ascii="Times New Roman" w:hAnsi="Times New Roman"/>
          <w:b w:val="0"/>
          <w:i w:val="0"/>
          <w:sz w:val="24"/>
        </w:rPr>
        <w:t xml:space="preserve">    Middle Band = SMA_20(Close)</w:t>
      </w:r>
    </w:p>
    <w:p>
      <w:pPr>
        <w:spacing w:before="0" w:after="120" w:line="360" w:lineRule="auto"/>
        <w:jc w:val="both"/>
      </w:pPr>
      <w:r>
        <w:rPr>
          <w:rFonts w:ascii="Times New Roman" w:hAnsi="Times New Roman"/>
          <w:b w:val="0"/>
          <w:i w:val="0"/>
          <w:sz w:val="24"/>
        </w:rPr>
        <w:t xml:space="preserve">    Upper Band = SMA_20 + [2 * σ_20]</w:t>
      </w:r>
    </w:p>
    <w:p>
      <w:pPr>
        <w:spacing w:before="0" w:after="120" w:line="360" w:lineRule="auto"/>
        <w:jc w:val="both"/>
      </w:pPr>
      <w:r>
        <w:rPr>
          <w:rFonts w:ascii="Times New Roman" w:hAnsi="Times New Roman"/>
          <w:b w:val="0"/>
          <w:i w:val="0"/>
          <w:sz w:val="24"/>
        </w:rPr>
        <w:t xml:space="preserve">    Lower Band = SMA_20 - [2 * σ_20]</w:t>
      </w:r>
    </w:p>
    <w:p>
      <w:pPr>
        <w:spacing w:before="0" w:after="120" w:line="360" w:lineRule="auto"/>
        <w:jc w:val="both"/>
      </w:pPr>
      <w:r>
        <w:rPr>
          <w:rFonts w:ascii="Times New Roman" w:hAnsi="Times New Roman"/>
          <w:b w:val="0"/>
          <w:i w:val="0"/>
          <w:sz w:val="24"/>
        </w:rPr>
        <w:t>where σ_20 represents the 20-day sample standard deviation:</w:t>
      </w:r>
    </w:p>
    <w:p>
      <w:pPr>
        <w:spacing w:before="0" w:after="120" w:line="360" w:lineRule="auto"/>
        <w:jc w:val="both"/>
      </w:pPr>
      <w:r>
        <w:rPr>
          <w:rFonts w:ascii="Times New Roman" w:hAnsi="Times New Roman"/>
          <w:b w:val="0"/>
          <w:i w:val="0"/>
          <w:sz w:val="24"/>
        </w:rPr>
        <w:t xml:space="preserve">    σ_20 = sqrt( (1 / 20) * ∑_{i=0}^{19} (Close(t - i) - Middle Band)^2 )</w:t>
      </w:r>
    </w:p>
    <w:p>
      <w:pPr>
        <w:spacing w:before="0" w:after="120" w:line="360" w:lineRule="auto"/>
        <w:jc w:val="both"/>
      </w:pPr>
      <w:r>
        <w:rPr>
          <w:rFonts w:ascii="Times New Roman" w:hAnsi="Times New Roman"/>
          <w:b w:val="0"/>
          <w:i w:val="0"/>
          <w:sz w:val="24"/>
        </w:rPr>
        <w:t>The percentage bandwidth (%B) measures volatility expansion and compression cycles, alerting traders to impending breakout expansions following periods of consolidation.</w:t>
      </w:r>
    </w:p>
    <w:p>
      <w:pPr>
        <w:spacing w:before="0" w:after="120" w:line="360" w:lineRule="auto"/>
        <w:jc w:val="both"/>
      </w:pPr>
      <w:r>
        <w:rPr>
          <w:rFonts w:ascii="Times New Roman" w:hAnsi="Times New Roman"/>
          <w:b w:val="0"/>
          <w:i w:val="0"/>
          <w:sz w:val="24"/>
        </w:rPr>
        <w:t>6. Volume Delta:</w:t>
      </w:r>
    </w:p>
    <w:p>
      <w:pPr>
        <w:spacing w:before="0" w:after="120" w:line="360" w:lineRule="auto"/>
        <w:jc w:val="both"/>
      </w:pPr>
      <w:r>
        <w:rPr>
          <w:rFonts w:ascii="Times New Roman" w:hAnsi="Times New Roman"/>
          <w:b w:val="0"/>
          <w:i w:val="0"/>
          <w:sz w:val="24"/>
        </w:rPr>
        <w:t>Volume Delta evaluates buying versus selling pressure by comparing the current session's volume against its 20-day volume moving average:</w:t>
      </w:r>
    </w:p>
    <w:p>
      <w:pPr>
        <w:spacing w:before="0" w:after="120" w:line="360" w:lineRule="auto"/>
        <w:jc w:val="both"/>
      </w:pPr>
      <w:r>
        <w:rPr>
          <w:rFonts w:ascii="Times New Roman" w:hAnsi="Times New Roman"/>
          <w:b w:val="0"/>
          <w:i w:val="0"/>
          <w:sz w:val="24"/>
        </w:rPr>
        <w:t xml:space="preserve">    Volume Delta = (Volume_t - SMA_20(Volume)) / SMA_20(Volume)</w:t>
      </w:r>
    </w:p>
    <w:p>
      <w:pPr>
        <w:spacing w:before="0" w:after="120" w:line="360" w:lineRule="auto"/>
        <w:jc w:val="both"/>
      </w:pPr>
      <w:r>
        <w:rPr>
          <w:rFonts w:ascii="Times New Roman" w:hAnsi="Times New Roman"/>
          <w:b w:val="0"/>
          <w:i w:val="0"/>
          <w:sz w:val="24"/>
        </w:rPr>
        <w:t>A positive volume delta during an upward price move confirms institutional accumulation.</w:t>
      </w:r>
    </w:p>
    <w:p>
      <w:pPr>
        <w:keepNext/>
        <w:spacing w:before="200" w:after="80" w:line="276" w:lineRule="auto"/>
        <w:jc w:val="left"/>
      </w:pPr>
      <w:r>
        <w:rPr>
          <w:rFonts w:ascii="Times New Roman" w:hAnsi="Times New Roman"/>
          <w:b/>
          <w:sz w:val="24"/>
        </w:rPr>
        <w:t>2.1.3 Time-Series Financial Modeling &amp; Machine Learning</w:t>
      </w:r>
    </w:p>
    <w:p>
      <w:pPr>
        <w:spacing w:before="0" w:after="120" w:line="360" w:lineRule="auto"/>
        <w:jc w:val="both"/>
      </w:pPr>
      <w:r>
        <w:rPr>
          <w:rFonts w:ascii="Times New Roman" w:hAnsi="Times New Roman"/>
          <w:b w:val="0"/>
          <w:i w:val="0"/>
          <w:sz w:val="24"/>
        </w:rPr>
        <w:t>Financial time-series data presents unique computational challenges. According to the Efficient Market Hypothesis (EMH) formulated by Eugene Fama, asset prices in a weak-form efficient market reflect all historical price information, making point-in-time price forecasting equivalent to a random walk:</w:t>
      </w:r>
    </w:p>
    <w:p>
      <w:pPr>
        <w:spacing w:before="0" w:after="120" w:line="360" w:lineRule="auto"/>
        <w:jc w:val="both"/>
      </w:pPr>
      <w:r>
        <w:rPr>
          <w:rFonts w:ascii="Times New Roman" w:hAnsi="Times New Roman"/>
          <w:b w:val="0"/>
          <w:i w:val="0"/>
          <w:sz w:val="24"/>
        </w:rPr>
        <w:t xml:space="preserve">    P_{t+1} = P_t + ε_t,   where ε_t ~ N(0, σ^2)</w:t>
      </w:r>
    </w:p>
    <w:p>
      <w:pPr>
        <w:spacing w:before="0" w:after="120" w:line="360" w:lineRule="auto"/>
        <w:jc w:val="both"/>
      </w:pPr>
      <w:r>
        <w:rPr>
          <w:rFonts w:ascii="Times New Roman" w:hAnsi="Times New Roman"/>
          <w:b w:val="0"/>
          <w:i w:val="0"/>
          <w:sz w:val="24"/>
        </w:rPr>
        <w:t>However, in emerging markets like Nepal, structural informational friction, retail behavioral biases, and liquidity clustering violate strict random-walk assumptions, creating exploitable short-term momentum and trend regimes.</w:t>
      </w:r>
    </w:p>
    <w:p>
      <w:pPr>
        <w:spacing w:before="0" w:after="120" w:line="360" w:lineRule="auto"/>
        <w:jc w:val="both"/>
      </w:pPr>
      <w:r>
        <w:rPr>
          <w:rFonts w:ascii="Times New Roman" w:hAnsi="Times New Roman"/>
          <w:b w:val="0"/>
          <w:i w:val="0"/>
          <w:sz w:val="24"/>
        </w:rPr>
        <w:t>Nonetheless, treating stock prediction as a continuous regression problem (predicting exact numerical rupee prices) suffers from severe vulnerability. A machine learning model predicting that a stock will close tomorrow at Rs. 542.50 introduces high variance and false precision. In contrast, framing the objective as a multi-class probabilistic classification problem—predicting whether the market regime over the next 5 sessions is Bullish (probability P_bull), Bearish (probability P_bear), or Neutral (probability P_neut)—produces robust, risk-adjusted decision support.</w:t>
      </w:r>
    </w:p>
    <w:p>
      <w:pPr>
        <w:keepNext/>
        <w:spacing w:before="200" w:after="80" w:line="276" w:lineRule="auto"/>
        <w:jc w:val="left"/>
      </w:pPr>
      <w:r>
        <w:rPr>
          <w:rFonts w:ascii="Times New Roman" w:hAnsi="Times New Roman"/>
          <w:b/>
          <w:sz w:val="24"/>
        </w:rPr>
        <w:t>2.1.4 Recurrent Neural Networks &amp; LSTM Architectures</w:t>
      </w:r>
    </w:p>
    <w:p>
      <w:pPr>
        <w:spacing w:before="0" w:after="120" w:line="360" w:lineRule="auto"/>
        <w:jc w:val="both"/>
      </w:pPr>
      <w:r>
        <w:rPr>
          <w:rFonts w:ascii="Times New Roman" w:hAnsi="Times New Roman"/>
          <w:b w:val="0"/>
          <w:i w:val="0"/>
          <w:sz w:val="24"/>
        </w:rPr>
        <w:t>Standard Feed-Forward Neural Networks (Multi-Layer Perceptrons) assume that input observations are independent and identically distributed (i.i.d.), completely ignoring chronological sequence information. Recurrent Neural Networks (RNNs) introduce internal recurrent feedback loops to maintain sequence memory, but suffer from the vanishing and exploding gradient problem during backpropagation through time over long sequences.</w:t>
      </w:r>
    </w:p>
    <w:p>
      <w:pPr>
        <w:spacing w:before="0" w:after="120" w:line="360" w:lineRule="auto"/>
        <w:jc w:val="both"/>
      </w:pPr>
      <w:r>
        <w:rPr>
          <w:rFonts w:ascii="Times New Roman" w:hAnsi="Times New Roman"/>
          <w:b w:val="0"/>
          <w:i w:val="0"/>
          <w:sz w:val="24"/>
        </w:rPr>
        <w:t>To resolve this mathematical constraint, Hochreiter and Schmidhuber (1997) introduced Long Short-Term Memory (LSTM) networks. LSTMs maintain a persistent cell state vector C_t regulated by three specialized multiplicative gating structures:</w:t>
      </w:r>
    </w:p>
    <w:p>
      <w:pPr>
        <w:spacing w:before="0" w:after="120" w:line="360" w:lineRule="auto"/>
        <w:jc w:val="both"/>
      </w:pPr>
      <w:r>
        <w:rPr>
          <w:rFonts w:ascii="Times New Roman" w:hAnsi="Times New Roman"/>
          <w:b w:val="0"/>
          <w:i w:val="0"/>
          <w:sz w:val="24"/>
        </w:rPr>
        <w:t>• Forget Gate (f_t): Regulates what proportion of the previous cell memory C_{t-1} should be discarded:</w:t>
      </w:r>
    </w:p>
    <w:p>
      <w:pPr>
        <w:spacing w:before="0" w:after="120" w:line="360" w:lineRule="auto"/>
        <w:jc w:val="both"/>
      </w:pPr>
      <w:r>
        <w:rPr>
          <w:rFonts w:ascii="Times New Roman" w:hAnsi="Times New Roman"/>
          <w:b w:val="0"/>
          <w:i w:val="0"/>
          <w:sz w:val="24"/>
        </w:rPr>
        <w:t xml:space="preserve">    f_t = σ(W_f · [h_{t-1}, x_t] + b_f)</w:t>
      </w:r>
    </w:p>
    <w:p>
      <w:pPr>
        <w:spacing w:before="0" w:after="120" w:line="360" w:lineRule="auto"/>
        <w:jc w:val="both"/>
      </w:pPr>
      <w:r>
        <w:rPr>
          <w:rFonts w:ascii="Times New Roman" w:hAnsi="Times New Roman"/>
          <w:b w:val="0"/>
          <w:i w:val="0"/>
          <w:sz w:val="24"/>
        </w:rPr>
        <w:t>• Input Gate (i_t) and Candidate State (C̃_t): Determines what new information from the current input x_t should be stored in the cell state:</w:t>
      </w:r>
    </w:p>
    <w:p>
      <w:pPr>
        <w:spacing w:before="0" w:after="120" w:line="360" w:lineRule="auto"/>
        <w:jc w:val="both"/>
      </w:pPr>
      <w:r>
        <w:rPr>
          <w:rFonts w:ascii="Times New Roman" w:hAnsi="Times New Roman"/>
          <w:b w:val="0"/>
          <w:i w:val="0"/>
          <w:sz w:val="24"/>
        </w:rPr>
        <w:t xml:space="preserve">    i_t = σ(W_i · [h_{t-1}, x_t] + b_i)</w:t>
      </w:r>
    </w:p>
    <w:p>
      <w:pPr>
        <w:spacing w:before="0" w:after="120" w:line="360" w:lineRule="auto"/>
        <w:jc w:val="both"/>
      </w:pPr>
      <w:r>
        <w:rPr>
          <w:rFonts w:ascii="Times New Roman" w:hAnsi="Times New Roman"/>
          <w:b w:val="0"/>
          <w:i w:val="0"/>
          <w:sz w:val="24"/>
        </w:rPr>
        <w:t xml:space="preserve">    C̃_t = tanh(W_c · [h_{t-1}, x_t] + b_c)</w:t>
      </w:r>
    </w:p>
    <w:p>
      <w:pPr>
        <w:spacing w:before="0" w:after="120" w:line="360" w:lineRule="auto"/>
        <w:jc w:val="both"/>
      </w:pPr>
      <w:r>
        <w:rPr>
          <w:rFonts w:ascii="Times New Roman" w:hAnsi="Times New Roman"/>
          <w:b w:val="0"/>
          <w:i w:val="0"/>
          <w:sz w:val="24"/>
        </w:rPr>
        <w:t>• Cell State Update (C_t): Linearly combines the forgotten past state and scaled candidate state:</w:t>
      </w:r>
    </w:p>
    <w:p>
      <w:pPr>
        <w:spacing w:before="0" w:after="120" w:line="360" w:lineRule="auto"/>
        <w:jc w:val="both"/>
      </w:pPr>
      <w:r>
        <w:rPr>
          <w:rFonts w:ascii="Times New Roman" w:hAnsi="Times New Roman"/>
          <w:b w:val="0"/>
          <w:i w:val="0"/>
          <w:sz w:val="24"/>
        </w:rPr>
        <w:t xml:space="preserve">    C_t = f_t * C_{t-1} + i_t * C̃_t</w:t>
      </w:r>
    </w:p>
    <w:p>
      <w:pPr>
        <w:spacing w:before="0" w:after="120" w:line="360" w:lineRule="auto"/>
        <w:jc w:val="both"/>
      </w:pPr>
      <w:r>
        <w:rPr>
          <w:rFonts w:ascii="Times New Roman" w:hAnsi="Times New Roman"/>
          <w:b w:val="0"/>
          <w:i w:val="0"/>
          <w:sz w:val="24"/>
        </w:rPr>
        <w:t>• Output Gate (o_t) and Hidden State (h_t): Controls what proportion of the updated cell state is emitted as the output vector h_t:</w:t>
      </w:r>
    </w:p>
    <w:p>
      <w:pPr>
        <w:spacing w:before="0" w:after="120" w:line="360" w:lineRule="auto"/>
        <w:jc w:val="both"/>
      </w:pPr>
      <w:r>
        <w:rPr>
          <w:rFonts w:ascii="Times New Roman" w:hAnsi="Times New Roman"/>
          <w:b w:val="0"/>
          <w:i w:val="0"/>
          <w:sz w:val="24"/>
        </w:rPr>
        <w:t xml:space="preserve">    o_t = σ(W_o · [h_{t-1}, x_t] + b_o)</w:t>
      </w:r>
    </w:p>
    <w:p>
      <w:pPr>
        <w:spacing w:before="0" w:after="120" w:line="360" w:lineRule="auto"/>
        <w:jc w:val="both"/>
      </w:pPr>
      <w:r>
        <w:rPr>
          <w:rFonts w:ascii="Times New Roman" w:hAnsi="Times New Roman"/>
          <w:b w:val="0"/>
          <w:i w:val="0"/>
          <w:sz w:val="24"/>
        </w:rPr>
        <w:t xml:space="preserve">    h_t = o_t * tanh(C_t)</w:t>
      </w:r>
    </w:p>
    <w:p>
      <w:pPr>
        <w:spacing w:before="0" w:after="120" w:line="360" w:lineRule="auto"/>
        <w:jc w:val="both"/>
      </w:pPr>
      <w:r>
        <w:rPr>
          <w:rFonts w:ascii="Times New Roman" w:hAnsi="Times New Roman"/>
          <w:b w:val="0"/>
          <w:i w:val="0"/>
          <w:sz w:val="24"/>
        </w:rPr>
        <w:t>where σ represents the sigmoid activation function mapping values between 0 and 1, and tanh squashes values between -1 and 1. In our architecture, the final hidden state vector h_30 provides a dense 16-dimensional representation of sequential price momentum.</w:t>
      </w:r>
    </w:p>
    <w:p>
      <w:pPr>
        <w:spacing w:before="80" w:after="240"/>
        <w:jc w:val="center"/>
      </w:pPr>
      <w:r>
        <w:rPr>
          <w:rFonts w:ascii="Times New Roman" w:hAnsi="Times New Roman"/>
          <w:b/>
          <w:sz w:val="24"/>
        </w:rPr>
        <w:t>Figure 2.3: Classical LSTM Memory Cell Architecture with Gating Mechanisms</w:t>
      </w:r>
    </w:p>
    <w:p>
      <w:pPr>
        <w:keepNext/>
        <w:spacing w:before="200" w:after="80" w:line="276" w:lineRule="auto"/>
        <w:jc w:val="left"/>
      </w:pPr>
      <w:r>
        <w:rPr>
          <w:rFonts w:ascii="Times New Roman" w:hAnsi="Times New Roman"/>
          <w:b/>
          <w:sz w:val="24"/>
        </w:rPr>
        <w:t>2.1.5 Extreme Gradient Boosting (XGBoost) Framework</w:t>
      </w:r>
    </w:p>
    <w:p>
      <w:pPr>
        <w:spacing w:before="0" w:after="120" w:line="360" w:lineRule="auto"/>
        <w:jc w:val="both"/>
      </w:pPr>
      <w:r>
        <w:rPr>
          <w:rFonts w:ascii="Times New Roman" w:hAnsi="Times New Roman"/>
          <w:b w:val="0"/>
          <w:i w:val="0"/>
          <w:sz w:val="24"/>
        </w:rPr>
        <w:t>While deep recurrent networks excel at extracting latent temporal representations from raw continuous sequential windows, they are computationally inefficient at learning non-linear boundary splits across heterogeneous tabular features (such as bounded oscillators and discrete moving averages). For structured tabular data, gradient boosted decision trees represent the empirical state of the art.</w:t>
      </w:r>
    </w:p>
    <w:p>
      <w:pPr>
        <w:spacing w:before="0" w:after="120" w:line="360" w:lineRule="auto"/>
        <w:jc w:val="both"/>
      </w:pPr>
      <w:r>
        <w:rPr>
          <w:rFonts w:ascii="Times New Roman" w:hAnsi="Times New Roman"/>
          <w:b w:val="0"/>
          <w:i w:val="0"/>
          <w:sz w:val="24"/>
        </w:rPr>
        <w:t>Extreme Gradient Boosting (XGBoost), introduced by Chen and Guestrin (2016), is an ensemble tree boosting framework based on gradient descent in function space. Given a dataset with features x_i and target class y_i, XGBoost minimizes a regularized objective function:</w:t>
      </w:r>
    </w:p>
    <w:p>
      <w:pPr>
        <w:spacing w:before="0" w:after="120" w:line="360" w:lineRule="auto"/>
        <w:jc w:val="both"/>
      </w:pPr>
      <w:r>
        <w:rPr>
          <w:rFonts w:ascii="Times New Roman" w:hAnsi="Times New Roman"/>
          <w:b w:val="0"/>
          <w:i w:val="0"/>
          <w:sz w:val="24"/>
        </w:rPr>
        <w:t xml:space="preserve">    Obj(θ) = ∑_{i=1}^{n} l(y_i, ŷ_i) + ∑_{k=1}^{K} Ω(f_k)</w:t>
      </w:r>
    </w:p>
    <w:p>
      <w:pPr>
        <w:spacing w:before="0" w:after="120" w:line="360" w:lineRule="auto"/>
        <w:jc w:val="both"/>
      </w:pPr>
      <w:r>
        <w:rPr>
          <w:rFonts w:ascii="Times New Roman" w:hAnsi="Times New Roman"/>
          <w:b w:val="0"/>
          <w:i w:val="0"/>
          <w:sz w:val="24"/>
        </w:rPr>
        <w:t>where l is a differentiable convex loss function measuring prediction error, and Ω penalizes tree complexity:</w:t>
      </w:r>
    </w:p>
    <w:p>
      <w:pPr>
        <w:spacing w:before="0" w:after="120" w:line="360" w:lineRule="auto"/>
        <w:jc w:val="both"/>
      </w:pPr>
      <w:r>
        <w:rPr>
          <w:rFonts w:ascii="Times New Roman" w:hAnsi="Times New Roman"/>
          <w:b w:val="0"/>
          <w:i w:val="0"/>
          <w:sz w:val="24"/>
        </w:rPr>
        <w:t xml:space="preserve">    Ω(f) = γ T + (1/2) λ ∑_{j=1}^{T} w_j^2</w:t>
      </w:r>
    </w:p>
    <w:p>
      <w:pPr>
        <w:spacing w:before="0" w:after="120" w:line="360" w:lineRule="auto"/>
        <w:jc w:val="both"/>
      </w:pPr>
      <w:r>
        <w:rPr>
          <w:rFonts w:ascii="Times New Roman" w:hAnsi="Times New Roman"/>
          <w:b w:val="0"/>
          <w:i w:val="0"/>
          <w:sz w:val="24"/>
        </w:rPr>
        <w:t>where T is the number of terminal leaf nodes, w_j is the score on leaf j, γ is the minimum loss reduction required to make a further partition, and λ is an L2 regularization penalty.</w:t>
      </w:r>
    </w:p>
    <w:p>
      <w:pPr>
        <w:spacing w:before="0" w:after="120" w:line="360" w:lineRule="auto"/>
        <w:jc w:val="both"/>
      </w:pPr>
      <w:r>
        <w:rPr>
          <w:rFonts w:ascii="Times New Roman" w:hAnsi="Times New Roman"/>
          <w:b w:val="0"/>
          <w:i w:val="0"/>
          <w:sz w:val="24"/>
        </w:rPr>
        <w:t>XGBoost utilizes a second-order Taylor expansion approximation of the objective function, computing both the first-order gradient g_i = ∂_{ŷ^{(t-1)}} l(y_i, ŷ^{(t-1)}) and the second-order Hessian matrix h_i = ∂^2_{ŷ^{(t-1)}} l(y_i, ŷ^{(t-1)}). The optimal weight on leaf j is given by:</w:t>
      </w:r>
    </w:p>
    <w:p>
      <w:pPr>
        <w:spacing w:before="0" w:after="120" w:line="360" w:lineRule="auto"/>
        <w:jc w:val="both"/>
      </w:pPr>
      <w:r>
        <w:rPr>
          <w:rFonts w:ascii="Times New Roman" w:hAnsi="Times New Roman"/>
          <w:b w:val="0"/>
          <w:i w:val="0"/>
          <w:sz w:val="24"/>
        </w:rPr>
        <w:t xml:space="preserve">    w_j^* = - [∑_{i∈I_j} g_i] / [∑_{i∈I_j} h_i + λ]</w:t>
      </w:r>
    </w:p>
    <w:p>
      <w:pPr>
        <w:spacing w:before="0" w:after="120" w:line="360" w:lineRule="auto"/>
        <w:jc w:val="both"/>
      </w:pPr>
      <w:r>
        <w:rPr>
          <w:rFonts w:ascii="Times New Roman" w:hAnsi="Times New Roman"/>
          <w:b w:val="0"/>
          <w:i w:val="0"/>
          <w:sz w:val="24"/>
        </w:rPr>
        <w:t>This enables exact mathematical evaluation of split quality and produces robust classifications resilient against multicollinearity.</w:t>
      </w:r>
    </w:p>
    <w:p>
      <w:pPr>
        <w:keepNext/>
        <w:spacing w:before="200" w:after="80" w:line="276" w:lineRule="auto"/>
        <w:jc w:val="left"/>
      </w:pPr>
      <w:r>
        <w:rPr>
          <w:rFonts w:ascii="Times New Roman" w:hAnsi="Times New Roman"/>
          <w:b/>
          <w:sz w:val="24"/>
        </w:rPr>
        <w:t>2.1.6 The Hybrid Sequence-Tabular Feature Engineering</w:t>
      </w:r>
    </w:p>
    <w:p>
      <w:pPr>
        <w:spacing w:before="0" w:after="120" w:line="360" w:lineRule="auto"/>
        <w:jc w:val="both"/>
      </w:pPr>
      <w:r>
        <w:rPr>
          <w:rFonts w:ascii="Times New Roman" w:hAnsi="Times New Roman"/>
          <w:b w:val="0"/>
          <w:i w:val="0"/>
          <w:sz w:val="24"/>
        </w:rPr>
        <w:t>The architectural breakthrough implemented in this project is the two-stage hybrid sequence-tabular fusion pipeline. Standalone LSTMs struggle to isolate indicator thresholds, while standalone XGBoost models cannot natively ingest chronological sequence order. By utilizing the PyTorch LSTM exclusively as a temporal sequence embedder, we convert 30-day sequential price matrices (30 x 5) into a 16-dimensional embedding vector h_30. We then concatenate this embedding with 8 hand-engineered technical indicators, providing XGBoost with a unified 24-dimensional feature vector combining temporal sequence memory with technical indicator confluence.</w:t>
      </w:r>
    </w:p>
    <w:p>
      <w:pPr>
        <w:keepNext/>
        <w:spacing w:before="200" w:after="80" w:line="276" w:lineRule="auto"/>
        <w:jc w:val="left"/>
      </w:pPr>
      <w:r>
        <w:rPr>
          <w:rFonts w:ascii="Times New Roman" w:hAnsi="Times New Roman"/>
          <w:b/>
          <w:sz w:val="24"/>
        </w:rPr>
        <w:t>2.1.7 Modern Real-Time Web Alerting Architectures</w:t>
      </w:r>
    </w:p>
    <w:p>
      <w:pPr>
        <w:spacing w:before="0" w:after="120" w:line="360" w:lineRule="auto"/>
        <w:jc w:val="both"/>
      </w:pPr>
      <w:r>
        <w:rPr>
          <w:rFonts w:ascii="Times New Roman" w:hAnsi="Times New Roman"/>
          <w:b w:val="0"/>
          <w:i w:val="0"/>
          <w:sz w:val="24"/>
        </w:rPr>
        <w:t>Financial surveillance demands instantaneous, reliable notifications when market conditions trigger configured thresholds. Legacy web applications frequently rely on external MP3 audio assets (e.g. `&lt;audio src='chime.mp3'&gt;`). In enterprise networks or offline testing, external asset fetching frequently fails due to CORS errors, CDN downtime, or browser autoplay sandboxing policies. In this project, acoustic alerting is achieved using the HTML5 Web Audio API, synthesizing frequency waveforms directly in the browser's hardware audio buffer. Concurrently, the browser Notification API is integrated to deliver OS-level desktop banners.</w:t>
      </w:r>
    </w:p>
    <w:p>
      <w:pPr>
        <w:spacing w:before="80" w:after="240"/>
        <w:jc w:val="center"/>
      </w:pPr>
      <w:r>
        <w:rPr>
          <w:rFonts w:ascii="Times New Roman" w:hAnsi="Times New Roman"/>
          <w:b/>
          <w:sz w:val="24"/>
        </w:rPr>
        <w:t>Figure 2.4: HTML5 Web Audio API Client-Side Frequency Synthesizer Pipeline</w:t>
      </w:r>
    </w:p>
    <w:p>
      <w:pPr>
        <w:keepNext/>
        <w:spacing w:before="280" w:after="120" w:line="276" w:lineRule="auto"/>
        <w:jc w:val="left"/>
      </w:pPr>
      <w:r>
        <w:rPr>
          <w:rFonts w:ascii="Times New Roman" w:hAnsi="Times New Roman"/>
          <w:b/>
          <w:sz w:val="28"/>
        </w:rPr>
        <w:t>2.2 Literature Review</w:t>
      </w:r>
    </w:p>
    <w:p>
      <w:pPr>
        <w:keepNext/>
        <w:spacing w:before="200" w:after="80" w:line="276" w:lineRule="auto"/>
        <w:jc w:val="left"/>
      </w:pPr>
      <w:r>
        <w:rPr>
          <w:rFonts w:ascii="Times New Roman" w:hAnsi="Times New Roman"/>
          <w:b/>
          <w:sz w:val="24"/>
        </w:rPr>
        <w:t>2.2.1 Review of Related Works</w:t>
      </w:r>
    </w:p>
    <w:p>
      <w:pPr>
        <w:spacing w:before="0" w:after="120" w:line="360" w:lineRule="auto"/>
        <w:jc w:val="both"/>
      </w:pPr>
      <w:r>
        <w:rPr>
          <w:rFonts w:ascii="Times New Roman" w:hAnsi="Times New Roman"/>
          <w:b w:val="0"/>
          <w:i w:val="0"/>
          <w:sz w:val="24"/>
        </w:rPr>
        <w:t>The application of machine learning, deep neural networks, and quantitative technical indicators to financial market forecasting has received substantial scholarly attention:</w:t>
      </w:r>
    </w:p>
    <w:p>
      <w:pPr>
        <w:spacing w:before="0" w:after="120" w:line="360" w:lineRule="auto"/>
        <w:jc w:val="both"/>
      </w:pPr>
      <w:r>
        <w:rPr>
          <w:rFonts w:ascii="Times New Roman" w:hAnsi="Times New Roman"/>
          <w:b w:val="0"/>
          <w:i w:val="0"/>
          <w:sz w:val="24"/>
        </w:rPr>
        <w:t>Fischer and Krauss (2018) [1] conducted a benchmark study deploying deep LSTM networks to forecast directional stock movements across the S&amp;P 500 constituents from 1992 to 2015. Their findings demonstrated that deep LSTM networks consistently outperform standard memory-free classifiers (such as Random Forest and Logistic Regression), achieving statistically significant annualized out-of-sample returns. They verified that LSTM memory cells effectively capture long-term cross-sectional dependency structures, but noted that LSTMs require substantial training data and lack native capability to interpret complex tabular technical indicators.</w:t>
      </w:r>
    </w:p>
    <w:p>
      <w:pPr>
        <w:spacing w:before="0" w:after="120" w:line="360" w:lineRule="auto"/>
        <w:jc w:val="both"/>
      </w:pPr>
      <w:r>
        <w:rPr>
          <w:rFonts w:ascii="Times New Roman" w:hAnsi="Times New Roman"/>
          <w:b w:val="0"/>
          <w:i w:val="0"/>
          <w:sz w:val="24"/>
        </w:rPr>
        <w:t>Chen, Zhou, and Dai (2021) [2] proposed an XGBoost-based quantitative trading model for Chinese equity markets (CSI 300). By engineering over 40 technical indicators (including moving averages, momentum oscillators, and volatility metrics), the authors demonstrated that XGBoost substantially outclassed Support Vector Machines (SVM) and Multi-Layer Perceptrons in prediction accuracy, stability, and inference speed. However, their architecture treated each daily observation in isolation, lacking sequence memory to model multi-day temporal price momentum.</w:t>
      </w:r>
    </w:p>
    <w:p>
      <w:pPr>
        <w:spacing w:before="0" w:after="120" w:line="360" w:lineRule="auto"/>
        <w:jc w:val="both"/>
      </w:pPr>
      <w:r>
        <w:rPr>
          <w:rFonts w:ascii="Times New Roman" w:hAnsi="Times New Roman"/>
          <w:b w:val="0"/>
          <w:i w:val="0"/>
          <w:sz w:val="24"/>
        </w:rPr>
        <w:t>Shrestha and Joshi (2020) [3] analyzed time-series price movements within the Nepal Stock Exchange using traditional statistical Autoregressive Integrated Moving Average (ARIMA) models. Their investigation revealed that pure autoregressive statistical models yield unacceptable error margins during macroeconomic policy shifts and high-volatility bull runs. They concluded that linear time-series models are fundamentally inadequate for NEPSE due to non-stationarity and retail momentum clustering, emphasizing the necessity of non-linear machine learning architectures.</w:t>
      </w:r>
    </w:p>
    <w:p>
      <w:pPr>
        <w:spacing w:before="0" w:after="120" w:line="360" w:lineRule="auto"/>
        <w:jc w:val="both"/>
      </w:pPr>
      <w:r>
        <w:rPr>
          <w:rFonts w:ascii="Times New Roman" w:hAnsi="Times New Roman"/>
          <w:b w:val="0"/>
          <w:i w:val="0"/>
          <w:sz w:val="24"/>
        </w:rPr>
        <w:t>Bhattarai (2022) [4] conducted an empirical examination of technical indicator confluence across NEPSE commercial banking equities. The study revealed that moving average crossovers combined with RSI momentum thresholds yielded superior risk-adjusted returns compared to naive buy-and-hold strategies, specifically by mitigating catastrophic losses during extended bear markets. However, the study was limited to static backtests on historical spreadsheets, lacking real-time software automation, machine learning predictive models, or interactive user interfaces.</w:t>
      </w:r>
    </w:p>
    <w:p>
      <w:pPr>
        <w:spacing w:before="0" w:after="120" w:line="360" w:lineRule="auto"/>
        <w:jc w:val="both"/>
      </w:pPr>
      <w:r>
        <w:rPr>
          <w:rFonts w:ascii="Times New Roman" w:hAnsi="Times New Roman"/>
          <w:b w:val="0"/>
          <w:i w:val="0"/>
          <w:sz w:val="24"/>
        </w:rPr>
        <w:t>Kumar and Thenmozhi (2014) [5] explored Support Vector Machines (SVM) and Random Forests for forecasting the S&amp;P CNX NIFTY index, demonstrating that non-linear machine learning algorithms beat classical linear discriminant analysis. However, their models struggled during regime shifts.</w:t>
      </w:r>
    </w:p>
    <w:p>
      <w:pPr>
        <w:spacing w:before="0" w:after="120" w:line="360" w:lineRule="auto"/>
        <w:jc w:val="both"/>
      </w:pPr>
      <w:r>
        <w:rPr>
          <w:rFonts w:ascii="Times New Roman" w:hAnsi="Times New Roman"/>
          <w:b w:val="0"/>
          <w:i w:val="0"/>
          <w:sz w:val="24"/>
        </w:rPr>
        <w:t>Nelson, Pereira, and de Oliveira (2017) [6] deployed LSTM networks to predict stock price movements based on technical analysis indicators in the Brazilian equity market. Their models achieved a 55.9% directional accuracy, outperforming Random Forest and Multi-Layer Perceptrons. They observed that raw price inputs alone were insufficient, and that providing technical indicators significantly improved model convergence.</w:t>
      </w:r>
    </w:p>
    <w:p>
      <w:pPr>
        <w:spacing w:before="0" w:after="120" w:line="360" w:lineRule="auto"/>
        <w:jc w:val="both"/>
      </w:pPr>
      <w:r>
        <w:rPr>
          <w:rFonts w:ascii="Times New Roman" w:hAnsi="Times New Roman"/>
          <w:b w:val="0"/>
          <w:i w:val="0"/>
          <w:sz w:val="24"/>
        </w:rPr>
        <w:t>Sezer, Gudelek, and Ozbayoglu (2020) [7] published a comprehensive survey on deep learning for financial time series forecasting, covering CNN, RNN, and hybrid models. They emphasized that modern financial AI systems must move away from point price regression toward probabilistic decision support and algorithmic execution.</w:t>
      </w:r>
    </w:p>
    <w:p>
      <w:pPr>
        <w:keepNext/>
        <w:spacing w:before="200" w:after="80" w:line="276" w:lineRule="auto"/>
        <w:jc w:val="left"/>
      </w:pPr>
      <w:r>
        <w:rPr>
          <w:rFonts w:ascii="Times New Roman" w:hAnsi="Times New Roman"/>
          <w:b/>
          <w:sz w:val="24"/>
        </w:rPr>
        <w:t>2.2.2 Comparative Summary of Literature</w:t>
      </w:r>
    </w:p>
    <w:p>
      <w:pPr>
        <w:spacing w:before="0" w:after="120" w:line="360" w:lineRule="auto"/>
        <w:jc w:val="both"/>
      </w:pPr>
      <w:r>
        <w:rPr>
          <w:rFonts w:ascii="Times New Roman" w:hAnsi="Times New Roman"/>
          <w:b w:val="0"/>
          <w:i w:val="0"/>
          <w:sz w:val="24"/>
        </w:rPr>
        <w:t>A comparative analysis of existing research literature against the NEPSE AI platform is synthesized in Table 2.1 below:</w:t>
      </w:r>
    </w:p>
    <w:p>
      <w:pPr>
        <w:keepNext/>
        <w:spacing w:before="240" w:after="80"/>
        <w:jc w:val="center"/>
      </w:pPr>
      <w:r>
        <w:rPr>
          <w:rFonts w:ascii="Times New Roman" w:hAnsi="Times New Roman"/>
          <w:b/>
          <w:sz w:val="24"/>
        </w:rPr>
        <w:t>Table 2.1: Comparative Synthesis of Existing Literature and Methodologies</w:t>
      </w:r>
    </w:p>
    <w:tbl>
      <w:tblPr>
        <w:tblW w:type="auto" w:w="0"/>
        <w:jc w:val="center"/>
        <w:tblLayout w:type="fixed"/>
        <w:tblLook w:firstColumn="1" w:firstRow="1" w:lastColumn="0" w:lastRow="0" w:noHBand="0" w:noVBand="1" w:val="04A0"/>
      </w:tblPr>
      <w:tblGrid>
        <w:gridCol w:w="1445"/>
        <w:gridCol w:w="1445"/>
        <w:gridCol w:w="1445"/>
        <w:gridCol w:w="1445"/>
        <w:gridCol w:w="1445"/>
        <w:gridCol w:w="1445"/>
      </w:tblGrid>
      <w:tr>
        <w:trPr>
          <w:tblHeader/>
          <w:cantSplit/>
        </w:trPr>
        <w:tc>
          <w:tcPr>
            <w:tcW w:type="dxa" w:w="1584"/>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Authors &amp; Year</w:t>
            </w:r>
          </w:p>
        </w:tc>
        <w:tc>
          <w:tcPr>
            <w:tcW w:type="dxa" w:w="1152"/>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Target Domain</w:t>
            </w:r>
          </w:p>
        </w:tc>
        <w:tc>
          <w:tcPr>
            <w:tcW w:type="dxa" w:w="1584"/>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Methodology Used</w:t>
            </w:r>
          </w:p>
        </w:tc>
        <w:tc>
          <w:tcPr>
            <w:tcW w:type="dxa" w:w="1440"/>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Key Strengths</w:t>
            </w:r>
          </w:p>
        </w:tc>
        <w:tc>
          <w:tcPr>
            <w:tcW w:type="dxa" w:w="1440"/>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Identified Limitations</w:t>
            </w:r>
          </w:p>
        </w:tc>
        <w:tc>
          <w:tcPr>
            <w:tcW w:type="dxa" w:w="1469"/>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Gaps Addressed in This Project</w:t>
            </w:r>
          </w:p>
        </w:tc>
      </w:tr>
      <w:tr>
        <w:trPr>
          <w:cantSplit/>
        </w:trPr>
        <w:tc>
          <w:tcPr>
            <w:tcW w:type="dxa" w:w="158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Fischer &amp; Krauss (2018) [1]</w:t>
            </w:r>
          </w:p>
        </w:tc>
        <w:tc>
          <w:tcPr>
            <w:tcW w:type="dxa" w:w="115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S&amp;P 500 (US)</w:t>
            </w:r>
          </w:p>
        </w:tc>
        <w:tc>
          <w:tcPr>
            <w:tcW w:type="dxa" w:w="158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Deep LSTM Networks</w:t>
            </w:r>
          </w:p>
        </w:tc>
        <w:tc>
          <w:tcPr>
            <w:tcW w:type="dxa" w:w="144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Superior sequence memory; beats memory-free models.</w:t>
            </w:r>
          </w:p>
        </w:tc>
        <w:tc>
          <w:tcPr>
            <w:tcW w:type="dxa" w:w="144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No tabular indicator feature engineering; high latency.</w:t>
            </w:r>
          </w:p>
        </w:tc>
        <w:tc>
          <w:tcPr>
            <w:tcW w:type="dxa" w:w="1469"/>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Combined LSTM sequence embedder with XGBoost tabular classifier.</w:t>
            </w:r>
          </w:p>
        </w:tc>
      </w:tr>
      <w:tr>
        <w:trPr>
          <w:cantSplit/>
        </w:trPr>
        <w:tc>
          <w:tcPr>
            <w:tcW w:type="dxa" w:w="158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Chen et al. (2021) [2]</w:t>
            </w:r>
          </w:p>
        </w:tc>
        <w:tc>
          <w:tcPr>
            <w:tcW w:type="dxa" w:w="115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CSI 300 (China)</w:t>
            </w:r>
          </w:p>
        </w:tc>
        <w:tc>
          <w:tcPr>
            <w:tcW w:type="dxa" w:w="158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XGBoost Classifier</w:t>
            </w:r>
          </w:p>
        </w:tc>
        <w:tc>
          <w:tcPr>
            <w:tcW w:type="dxa" w:w="144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High tabular precision; fast inference speed.</w:t>
            </w:r>
          </w:p>
        </w:tc>
        <w:tc>
          <w:tcPr>
            <w:tcW w:type="dxa" w:w="144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No sequential memory; treats rows as independent.</w:t>
            </w:r>
          </w:p>
        </w:tc>
        <w:tc>
          <w:tcPr>
            <w:tcW w:type="dxa" w:w="1469"/>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Concatenated LSTM 16-D temporal embeddings into XGBoost.</w:t>
            </w:r>
          </w:p>
        </w:tc>
      </w:tr>
      <w:tr>
        <w:trPr>
          <w:cantSplit/>
        </w:trPr>
        <w:tc>
          <w:tcPr>
            <w:tcW w:type="dxa" w:w="158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Shrestha &amp; Joshi (2020) [3]</w:t>
            </w:r>
          </w:p>
        </w:tc>
        <w:tc>
          <w:tcPr>
            <w:tcW w:type="dxa" w:w="115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NEPSE (Nepal)</w:t>
            </w:r>
          </w:p>
        </w:tc>
        <w:tc>
          <w:tcPr>
            <w:tcW w:type="dxa" w:w="158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ARIMA Time-Series</w:t>
            </w:r>
          </w:p>
        </w:tc>
        <w:tc>
          <w:tcPr>
            <w:tcW w:type="dxa" w:w="144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Simple statistical baseline formulation.</w:t>
            </w:r>
          </w:p>
        </w:tc>
        <w:tc>
          <w:tcPr>
            <w:tcW w:type="dxa" w:w="144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Linear model fails during regime shifts and high volatility.</w:t>
            </w:r>
          </w:p>
        </w:tc>
        <w:tc>
          <w:tcPr>
            <w:tcW w:type="dxa" w:w="1469"/>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Replaced linear regression with non-linear hybrid deep learning.</w:t>
            </w:r>
          </w:p>
        </w:tc>
      </w:tr>
      <w:tr>
        <w:trPr>
          <w:cantSplit/>
        </w:trPr>
        <w:tc>
          <w:tcPr>
            <w:tcW w:type="dxa" w:w="158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Bhattarai (2022) [4]</w:t>
            </w:r>
          </w:p>
        </w:tc>
        <w:tc>
          <w:tcPr>
            <w:tcW w:type="dxa" w:w="115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NEPSE Banking</w:t>
            </w:r>
          </w:p>
        </w:tc>
        <w:tc>
          <w:tcPr>
            <w:tcW w:type="dxa" w:w="158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RSI + MACD Confluence</w:t>
            </w:r>
          </w:p>
        </w:tc>
        <w:tc>
          <w:tcPr>
            <w:tcW w:type="dxa" w:w="144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Proved technical indicators mitigate bear drawdowns.</w:t>
            </w:r>
          </w:p>
        </w:tc>
        <w:tc>
          <w:tcPr>
            <w:tcW w:type="dxa" w:w="144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Purely retrospective spreadsheet analysis; no software.</w:t>
            </w:r>
          </w:p>
        </w:tc>
        <w:tc>
          <w:tcPr>
            <w:tcW w:type="dxa" w:w="1469"/>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Built full-stack financial terminal with automated alerts.</w:t>
            </w:r>
          </w:p>
        </w:tc>
      </w:tr>
      <w:tr>
        <w:trPr>
          <w:cantSplit/>
        </w:trPr>
        <w:tc>
          <w:tcPr>
            <w:tcW w:type="dxa" w:w="158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Nelson et al. (2017) [6]</w:t>
            </w:r>
          </w:p>
        </w:tc>
        <w:tc>
          <w:tcPr>
            <w:tcW w:type="dxa" w:w="115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B3 (Brazil)</w:t>
            </w:r>
          </w:p>
        </w:tc>
        <w:tc>
          <w:tcPr>
            <w:tcW w:type="dxa" w:w="158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LSTM with Indicators</w:t>
            </w:r>
          </w:p>
        </w:tc>
        <w:tc>
          <w:tcPr>
            <w:tcW w:type="dxa" w:w="144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Showed technical indicators enhance LSTM training.</w:t>
            </w:r>
          </w:p>
        </w:tc>
        <w:tc>
          <w:tcPr>
            <w:tcW w:type="dxa" w:w="144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High computational cost; regression error accumulation.</w:t>
            </w:r>
          </w:p>
        </w:tc>
        <w:tc>
          <w:tcPr>
            <w:tcW w:type="dxa" w:w="1469"/>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Reframed prediction into 3-class probabilistic softprob DSS.</w:t>
            </w:r>
          </w:p>
        </w:tc>
      </w:tr>
      <w:tr>
        <w:trPr>
          <w:cantSplit/>
        </w:trPr>
        <w:tc>
          <w:tcPr>
            <w:tcW w:type="dxa" w:w="158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This Project (2026)</w:t>
            </w:r>
          </w:p>
        </w:tc>
        <w:tc>
          <w:tcPr>
            <w:tcW w:type="dxa" w:w="115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NEPSE (All Sectors)</w:t>
            </w:r>
          </w:p>
        </w:tc>
        <w:tc>
          <w:tcPr>
            <w:tcW w:type="dxa" w:w="158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Hybrid LSTM-XGBoost + Decision Support System</w:t>
            </w:r>
          </w:p>
        </w:tc>
        <w:tc>
          <w:tcPr>
            <w:tcW w:type="dxa" w:w="144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Deep temporal embeddings + Tabular precision + Real-time terminal.</w:t>
            </w:r>
          </w:p>
        </w:tc>
        <w:tc>
          <w:tcPr>
            <w:tcW w:type="dxa" w:w="144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Requires initial 30-day sequence seeding for inference.</w:t>
            </w:r>
          </w:p>
        </w:tc>
        <w:tc>
          <w:tcPr>
            <w:tcW w:type="dxa" w:w="1469"/>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Addressed all prior gaps: local persistence, Web Audio alerts, paper trading, and backtest simulator.</w:t>
            </w:r>
          </w:p>
        </w:tc>
      </w:tr>
    </w:tbl>
    <w:p>
      <w:pPr>
        <w:spacing w:before="0" w:after="160" w:line="240" w:lineRule="auto"/>
      </w:pPr>
    </w:p>
    <w:p>
      <w:r>
        <w:br w:type="page"/>
      </w:r>
    </w:p>
    <w:p>
      <w:pPr>
        <w:keepNext/>
        <w:spacing w:before="360" w:after="200" w:line="276" w:lineRule="auto"/>
        <w:jc w:val="left"/>
      </w:pPr>
      <w:r>
        <w:rPr>
          <w:rFonts w:ascii="Times New Roman" w:hAnsi="Times New Roman"/>
          <w:b/>
          <w:sz w:val="32"/>
        </w:rPr>
        <w:t>CHAPTER 3: SYSTEM ANALYSIS AND DESIGN</w:t>
      </w:r>
    </w:p>
    <w:p>
      <w:pPr>
        <w:keepNext/>
        <w:spacing w:before="280" w:after="120" w:line="276" w:lineRule="auto"/>
        <w:jc w:val="left"/>
      </w:pPr>
      <w:r>
        <w:rPr>
          <w:rFonts w:ascii="Times New Roman" w:hAnsi="Times New Roman"/>
          <w:b/>
          <w:sz w:val="28"/>
        </w:rPr>
        <w:t>3.1 System Analysis</w:t>
      </w:r>
    </w:p>
    <w:p>
      <w:pPr>
        <w:keepNext/>
        <w:spacing w:before="200" w:after="80" w:line="276" w:lineRule="auto"/>
        <w:jc w:val="left"/>
      </w:pPr>
      <w:r>
        <w:rPr>
          <w:rFonts w:ascii="Times New Roman" w:hAnsi="Times New Roman"/>
          <w:b/>
          <w:sz w:val="24"/>
        </w:rPr>
        <w:t>3.1.1 Requirement Analysis</w:t>
      </w:r>
    </w:p>
    <w:p>
      <w:pPr>
        <w:spacing w:before="0" w:after="120" w:line="360" w:lineRule="auto"/>
        <w:jc w:val="both"/>
      </w:pPr>
      <w:r>
        <w:rPr>
          <w:rFonts w:ascii="Times New Roman" w:hAnsi="Times New Roman"/>
          <w:b w:val="0"/>
          <w:i w:val="0"/>
          <w:sz w:val="24"/>
        </w:rPr>
        <w:t>The system requirements were derived through extensive stakeholder consultation, analysis of existing retail trading platforms (TMS, MeroShare, ShareSansar), and review of quantitative algorithmic trading literature.</w:t>
      </w:r>
    </w:p>
    <w:p>
      <w:pPr>
        <w:spacing w:before="0" w:after="120" w:line="360" w:lineRule="auto"/>
        <w:jc w:val="both"/>
      </w:pPr>
      <w:r>
        <w:rPr>
          <w:rFonts w:ascii="Times New Roman" w:hAnsi="Times New Roman"/>
          <w:b w:val="0"/>
          <w:i w:val="0"/>
          <w:sz w:val="24"/>
        </w:rPr>
        <w:t>i. Functional Requirements:</w:t>
      </w:r>
    </w:p>
    <w:p>
      <w:pPr>
        <w:spacing w:before="0" w:after="120" w:line="360" w:lineRule="auto"/>
        <w:jc w:val="both"/>
      </w:pPr>
      <w:r>
        <w:rPr>
          <w:rFonts w:ascii="Times New Roman" w:hAnsi="Times New Roman"/>
          <w:b w:val="0"/>
          <w:i w:val="0"/>
          <w:sz w:val="24"/>
        </w:rPr>
        <w:t>The functional specifications define the operational capabilities that the platform must provide to end-users and background system processes:</w:t>
      </w:r>
    </w:p>
    <w:p>
      <w:pPr>
        <w:keepNext/>
        <w:spacing w:before="240" w:after="80"/>
        <w:jc w:val="center"/>
      </w:pPr>
      <w:r>
        <w:rPr>
          <w:rFonts w:ascii="Times New Roman" w:hAnsi="Times New Roman"/>
          <w:b/>
          <w:sz w:val="24"/>
        </w:rPr>
        <w:t>Table 3.1: Functional Requirements Specifications and Traceability Matrix</w:t>
      </w:r>
    </w:p>
    <w:tbl>
      <w:tblPr>
        <w:tblW w:type="auto" w:w="0"/>
        <w:jc w:val="center"/>
        <w:tblLayout w:type="fixed"/>
        <w:tblLook w:firstColumn="1" w:firstRow="1" w:lastColumn="0" w:lastRow="0" w:noHBand="0" w:noVBand="1" w:val="04A0"/>
      </w:tblPr>
      <w:tblGrid>
        <w:gridCol w:w="1734"/>
        <w:gridCol w:w="1734"/>
        <w:gridCol w:w="1734"/>
        <w:gridCol w:w="1734"/>
        <w:gridCol w:w="1734"/>
      </w:tblGrid>
      <w:tr>
        <w:trPr>
          <w:tblHeader/>
          <w:cantSplit/>
        </w:trPr>
        <w:tc>
          <w:tcPr>
            <w:tcW w:type="dxa" w:w="1008"/>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center"/>
            </w:pPr>
            <w:r>
              <w:rPr>
                <w:rFonts w:ascii="Times New Roman" w:hAnsi="Times New Roman"/>
                <w:b/>
                <w:color w:val="FFFFFF"/>
                <w:sz w:val="21"/>
              </w:rPr>
              <w:t>Req ID</w:t>
            </w:r>
          </w:p>
        </w:tc>
        <w:tc>
          <w:tcPr>
            <w:tcW w:type="dxa" w:w="1728"/>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Requirement Name</w:t>
            </w:r>
          </w:p>
        </w:tc>
        <w:tc>
          <w:tcPr>
            <w:tcW w:type="dxa" w:w="3629"/>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Functional Description &amp; Acceptance Criteria</w:t>
            </w:r>
          </w:p>
        </w:tc>
        <w:tc>
          <w:tcPr>
            <w:tcW w:type="dxa" w:w="1152"/>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center"/>
            </w:pPr>
            <w:r>
              <w:rPr>
                <w:rFonts w:ascii="Times New Roman" w:hAnsi="Times New Roman"/>
                <w:b/>
                <w:color w:val="FFFFFF"/>
                <w:sz w:val="21"/>
              </w:rPr>
              <w:t>User Role</w:t>
            </w:r>
          </w:p>
        </w:tc>
        <w:tc>
          <w:tcPr>
            <w:tcW w:type="dxa" w:w="1152"/>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center"/>
            </w:pPr>
            <w:r>
              <w:rPr>
                <w:rFonts w:ascii="Times New Roman" w:hAnsi="Times New Roman"/>
                <w:b/>
                <w:color w:val="FFFFFF"/>
                <w:sz w:val="21"/>
              </w:rPr>
              <w:t>Priority</w:t>
            </w:r>
          </w:p>
        </w:tc>
      </w:tr>
      <w:tr>
        <w:trPr>
          <w:cantSplit/>
        </w:trPr>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FR-01</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Securities Catalog</w:t>
            </w:r>
          </w:p>
        </w:tc>
        <w:tc>
          <w:tcPr>
            <w:tcW w:type="dxa" w:w="3629"/>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Catalog all 649 active and historical NEPSE listed equities with real-time sector grouping and instant fuzzy search.</w:t>
            </w:r>
          </w:p>
        </w:tc>
        <w:tc>
          <w:tcPr>
            <w:tcW w:type="dxa" w:w="115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Investor</w:t>
            </w:r>
          </w:p>
        </w:tc>
        <w:tc>
          <w:tcPr>
            <w:tcW w:type="dxa" w:w="115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color w:val="B91C1C"/>
                <w:sz w:val="20"/>
              </w:rPr>
              <w:t>High</w:t>
            </w:r>
          </w:p>
        </w:tc>
      </w:tr>
      <w:tr>
        <w:trPr>
          <w:cantSplit/>
        </w:trPr>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FR-02</w:t>
            </w:r>
          </w:p>
        </w:tc>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Automated EOD Ingestion</w:t>
            </w:r>
          </w:p>
        </w:tc>
        <w:tc>
          <w:tcPr>
            <w:tcW w:type="dxa" w:w="3629"/>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Fetch, parse, validate, and persist daily OHLCV bars post-market close via scheduled cron daemons.</w:t>
            </w:r>
          </w:p>
        </w:tc>
        <w:tc>
          <w:tcPr>
            <w:tcW w:type="dxa" w:w="115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System</w:t>
            </w:r>
          </w:p>
        </w:tc>
        <w:tc>
          <w:tcPr>
            <w:tcW w:type="dxa" w:w="115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color w:val="B91C1C"/>
                <w:sz w:val="20"/>
              </w:rPr>
              <w:t>High</w:t>
            </w:r>
          </w:p>
        </w:tc>
      </w:tr>
      <w:tr>
        <w:trPr>
          <w:cantSplit/>
        </w:trPr>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FR-03</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Technical Indicator Engine</w:t>
            </w:r>
          </w:p>
        </w:tc>
        <w:tc>
          <w:tcPr>
            <w:tcW w:type="dxa" w:w="3629"/>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Compute SMA 20, EMA 12/26/50, Wilder’s RSI 14, MACD, and Bollinger Bands with sub-50ms execution latency.</w:t>
            </w:r>
          </w:p>
        </w:tc>
        <w:tc>
          <w:tcPr>
            <w:tcW w:type="dxa" w:w="115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System</w:t>
            </w:r>
          </w:p>
        </w:tc>
        <w:tc>
          <w:tcPr>
            <w:tcW w:type="dxa" w:w="115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color w:val="B91C1C"/>
                <w:sz w:val="20"/>
              </w:rPr>
              <w:t>High</w:t>
            </w:r>
          </w:p>
        </w:tc>
      </w:tr>
      <w:tr>
        <w:trPr>
          <w:cantSplit/>
        </w:trPr>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FR-04</w:t>
            </w:r>
          </w:p>
        </w:tc>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Two-Stage AI Inference</w:t>
            </w:r>
          </w:p>
        </w:tc>
        <w:tc>
          <w:tcPr>
            <w:tcW w:type="dxa" w:w="3629"/>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Generate 3-class probabilistic predictions (Bullish, Bearish, Neutral) with calibrated confidence percentages.</w:t>
            </w:r>
          </w:p>
        </w:tc>
        <w:tc>
          <w:tcPr>
            <w:tcW w:type="dxa" w:w="115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Investor</w:t>
            </w:r>
          </w:p>
        </w:tc>
        <w:tc>
          <w:tcPr>
            <w:tcW w:type="dxa" w:w="115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color w:val="B91C1C"/>
                <w:sz w:val="20"/>
              </w:rPr>
              <w:t>High</w:t>
            </w:r>
          </w:p>
        </w:tc>
      </w:tr>
      <w:tr>
        <w:trPr>
          <w:cantSplit/>
        </w:trPr>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FR-05</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Interactive Chart Canvas</w:t>
            </w:r>
          </w:p>
        </w:tc>
        <w:tc>
          <w:tcPr>
            <w:tcW w:type="dxa" w:w="3629"/>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Render vector candlestick and area charts with indicator overlays, crosshair tooltips, and volume bars.</w:t>
            </w:r>
          </w:p>
        </w:tc>
        <w:tc>
          <w:tcPr>
            <w:tcW w:type="dxa" w:w="115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Investor</w:t>
            </w:r>
          </w:p>
        </w:tc>
        <w:tc>
          <w:tcPr>
            <w:tcW w:type="dxa" w:w="115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color w:val="B91C1C"/>
                <w:sz w:val="20"/>
              </w:rPr>
              <w:t>High</w:t>
            </w:r>
          </w:p>
        </w:tc>
      </w:tr>
      <w:tr>
        <w:trPr>
          <w:cantSplit/>
        </w:trPr>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FR-06</w:t>
            </w:r>
          </w:p>
        </w:tc>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Real-Time Alarm Engine</w:t>
            </w:r>
          </w:p>
        </w:tc>
        <w:tc>
          <w:tcPr>
            <w:tcW w:type="dxa" w:w="3629"/>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Arm, monitor, and fire multi-condition price, RSI, and MACD alerts with acoustic chimes and desktop banners.</w:t>
            </w:r>
          </w:p>
        </w:tc>
        <w:tc>
          <w:tcPr>
            <w:tcW w:type="dxa" w:w="115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Investor</w:t>
            </w:r>
          </w:p>
        </w:tc>
        <w:tc>
          <w:tcPr>
            <w:tcW w:type="dxa" w:w="115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color w:val="B91C1C"/>
                <w:sz w:val="20"/>
              </w:rPr>
              <w:t>High</w:t>
            </w:r>
          </w:p>
        </w:tc>
      </w:tr>
      <w:tr>
        <w:trPr>
          <w:cantSplit/>
        </w:trPr>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FR-07</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Paper Trading Portfolio</w:t>
            </w:r>
          </w:p>
        </w:tc>
        <w:tc>
          <w:tcPr>
            <w:tcW w:type="dxa" w:w="3629"/>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Record simulated buy executions, tracking real-time mark-to-market valuations, unrealized PnL, and sector allocations.</w:t>
            </w:r>
          </w:p>
        </w:tc>
        <w:tc>
          <w:tcPr>
            <w:tcW w:type="dxa" w:w="115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Investor</w:t>
            </w:r>
          </w:p>
        </w:tc>
        <w:tc>
          <w:tcPr>
            <w:tcW w:type="dxa" w:w="115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color w:val="D97706"/>
                <w:sz w:val="20"/>
              </w:rPr>
              <w:t>Medium</w:t>
            </w:r>
          </w:p>
        </w:tc>
      </w:tr>
      <w:tr>
        <w:trPr>
          <w:cantSplit/>
        </w:trPr>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FR-08</w:t>
            </w:r>
          </w:p>
        </w:tc>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Market Movers Screener</w:t>
            </w:r>
          </w:p>
        </w:tc>
        <w:tc>
          <w:tcPr>
            <w:tcW w:type="dxa" w:w="3629"/>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Compute live Top Gainers, Losers, Turnover, and Volume leaderboards alongside an Advance/Decline breadth ratio.</w:t>
            </w:r>
          </w:p>
        </w:tc>
        <w:tc>
          <w:tcPr>
            <w:tcW w:type="dxa" w:w="115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Investor</w:t>
            </w:r>
          </w:p>
        </w:tc>
        <w:tc>
          <w:tcPr>
            <w:tcW w:type="dxa" w:w="115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color w:val="D97706"/>
                <w:sz w:val="20"/>
              </w:rPr>
              <w:t>Medium</w:t>
            </w:r>
          </w:p>
        </w:tc>
      </w:tr>
      <w:tr>
        <w:trPr>
          <w:cantSplit/>
        </w:trPr>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FR-09</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Multi-Stock Comparison</w:t>
            </w:r>
          </w:p>
        </w:tc>
        <w:tc>
          <w:tcPr>
            <w:tcW w:type="dxa" w:w="3629"/>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Benchmarking matrix comparing up to 3 equities across valuation, 30-day volatility, RSI, and AI consensus.</w:t>
            </w:r>
          </w:p>
        </w:tc>
        <w:tc>
          <w:tcPr>
            <w:tcW w:type="dxa" w:w="115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Investor</w:t>
            </w:r>
          </w:p>
        </w:tc>
        <w:tc>
          <w:tcPr>
            <w:tcW w:type="dxa" w:w="115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color w:val="D97706"/>
                <w:sz w:val="20"/>
              </w:rPr>
              <w:t>Medium</w:t>
            </w:r>
          </w:p>
        </w:tc>
      </w:tr>
      <w:tr>
        <w:trPr>
          <w:cantSplit/>
        </w:trPr>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FR-10</w:t>
            </w:r>
          </w:p>
        </w:tc>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Strategy Backtester</w:t>
            </w:r>
          </w:p>
        </w:tc>
        <w:tc>
          <w:tcPr>
            <w:tcW w:type="dxa" w:w="3629"/>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Simulate 60-session historical signal accuracy, computing empirical Win Rate %, Profit Factor, and trade log.</w:t>
            </w:r>
          </w:p>
        </w:tc>
        <w:tc>
          <w:tcPr>
            <w:tcW w:type="dxa" w:w="115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Investor</w:t>
            </w:r>
          </w:p>
        </w:tc>
        <w:tc>
          <w:tcPr>
            <w:tcW w:type="dxa" w:w="115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color w:val="D97706"/>
                <w:sz w:val="20"/>
              </w:rPr>
              <w:t>Medium</w:t>
            </w:r>
          </w:p>
        </w:tc>
      </w:tr>
      <w:tr>
        <w:trPr>
          <w:cantSplit/>
        </w:trPr>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FR-11</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Price Projection Envelope</w:t>
            </w:r>
          </w:p>
        </w:tc>
        <w:tc>
          <w:tcPr>
            <w:tcW w:type="dxa" w:w="3629"/>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Project 5-day Monte Carlo parametric volatility drift envelopes with 95% confidence bands.</w:t>
            </w:r>
          </w:p>
        </w:tc>
        <w:tc>
          <w:tcPr>
            <w:tcW w:type="dxa" w:w="115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Investor</w:t>
            </w:r>
          </w:p>
        </w:tc>
        <w:tc>
          <w:tcPr>
            <w:tcW w:type="dxa" w:w="115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color w:val="D97706"/>
                <w:sz w:val="20"/>
              </w:rPr>
              <w:t>Medium</w:t>
            </w:r>
          </w:p>
        </w:tc>
      </w:tr>
      <w:tr>
        <w:trPr>
          <w:cantSplit/>
        </w:trPr>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FR-12</w:t>
            </w:r>
          </w:p>
        </w:tc>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Data Export Utility</w:t>
            </w:r>
          </w:p>
        </w:tc>
        <w:tc>
          <w:tcPr>
            <w:tcW w:type="dxa" w:w="3629"/>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Generate RFC 4180 compliant CSV files of complete historical OHLCV and indicator records via 1-click download.</w:t>
            </w:r>
          </w:p>
        </w:tc>
        <w:tc>
          <w:tcPr>
            <w:tcW w:type="dxa" w:w="115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Investor</w:t>
            </w:r>
          </w:p>
        </w:tc>
        <w:tc>
          <w:tcPr>
            <w:tcW w:type="dxa" w:w="115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color w:val="4B5563"/>
                <w:sz w:val="20"/>
              </w:rPr>
              <w:t>Low</w:t>
            </w:r>
          </w:p>
        </w:tc>
      </w:tr>
      <w:tr>
        <w:trPr>
          <w:cantSplit/>
        </w:trPr>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FR-13</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Offline Resiliency Fallback</w:t>
            </w:r>
          </w:p>
        </w:tc>
        <w:tc>
          <w:tcPr>
            <w:tcW w:type="dxa" w:w="3629"/>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Automatically transition to high-fidelity synthetic data generation if external APIs or backend services drop.</w:t>
            </w:r>
          </w:p>
        </w:tc>
        <w:tc>
          <w:tcPr>
            <w:tcW w:type="dxa" w:w="115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System</w:t>
            </w:r>
          </w:p>
        </w:tc>
        <w:tc>
          <w:tcPr>
            <w:tcW w:type="dxa" w:w="115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color w:val="B91C1C"/>
                <w:sz w:val="20"/>
              </w:rPr>
              <w:t>High</w:t>
            </w:r>
          </w:p>
        </w:tc>
      </w:tr>
      <w:tr>
        <w:trPr>
          <w:cantSplit/>
        </w:trPr>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FR-14</w:t>
            </w:r>
          </w:p>
        </w:tc>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Watchlist Management</w:t>
            </w:r>
          </w:p>
        </w:tc>
        <w:tc>
          <w:tcPr>
            <w:tcW w:type="dxa" w:w="3629"/>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Allow users to star and manage favorite stocks persisted across local browser sessions.</w:t>
            </w:r>
          </w:p>
        </w:tc>
        <w:tc>
          <w:tcPr>
            <w:tcW w:type="dxa" w:w="115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Investor</w:t>
            </w:r>
          </w:p>
        </w:tc>
        <w:tc>
          <w:tcPr>
            <w:tcW w:type="dxa" w:w="115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color w:val="4B5563"/>
                <w:sz w:val="20"/>
              </w:rPr>
              <w:t>Low</w:t>
            </w:r>
          </w:p>
        </w:tc>
      </w:tr>
    </w:tbl>
    <w:p>
      <w:pPr>
        <w:spacing w:before="0" w:after="160" w:line="240" w:lineRule="auto"/>
      </w:pPr>
    </w:p>
    <w:p>
      <w:pPr>
        <w:spacing w:before="0" w:after="120" w:line="360" w:lineRule="auto"/>
        <w:jc w:val="both"/>
      </w:pPr>
      <w:r>
        <w:rPr>
          <w:rFonts w:ascii="Times New Roman" w:hAnsi="Times New Roman"/>
          <w:b w:val="0"/>
          <w:i w:val="0"/>
          <w:sz w:val="24"/>
        </w:rPr>
        <w:t>ii. Detailed Use Case Descriptions:</w:t>
      </w:r>
    </w:p>
    <w:p>
      <w:pPr>
        <w:spacing w:before="0" w:after="120" w:line="360" w:lineRule="auto"/>
        <w:jc w:val="both"/>
      </w:pPr>
      <w:r>
        <w:rPr>
          <w:rFonts w:ascii="Times New Roman" w:hAnsi="Times New Roman"/>
          <w:b w:val="0"/>
          <w:i w:val="0"/>
          <w:sz w:val="24"/>
        </w:rPr>
        <w:t>To elucidate system interactions, four primary use cases governing the core platform capabilities are formally specified:</w:t>
      </w:r>
    </w:p>
    <w:p>
      <w:pPr>
        <w:spacing w:before="0" w:after="120" w:line="360" w:lineRule="auto"/>
        <w:jc w:val="both"/>
      </w:pPr>
      <w:r>
        <w:rPr>
          <w:rFonts w:ascii="Times New Roman" w:hAnsi="Times New Roman"/>
          <w:b w:val="0"/>
          <w:i w:val="0"/>
          <w:sz w:val="24"/>
        </w:rPr>
        <w:t>Use Case UC-01: Configure and Trigger Real-Time Price Alert</w:t>
      </w:r>
    </w:p>
    <w:p>
      <w:pPr>
        <w:spacing w:before="0" w:after="120" w:line="360" w:lineRule="auto"/>
        <w:jc w:val="both"/>
      </w:pPr>
      <w:r>
        <w:rPr>
          <w:rFonts w:ascii="Times New Roman" w:hAnsi="Times New Roman"/>
          <w:b w:val="0"/>
          <w:i w:val="0"/>
          <w:sz w:val="24"/>
        </w:rPr>
        <w:t>• Primary Actor: Retail Investor / Market Analyst.</w:t>
      </w:r>
    </w:p>
    <w:p>
      <w:pPr>
        <w:spacing w:before="0" w:after="120" w:line="360" w:lineRule="auto"/>
        <w:jc w:val="both"/>
      </w:pPr>
      <w:r>
        <w:rPr>
          <w:rFonts w:ascii="Times New Roman" w:hAnsi="Times New Roman"/>
          <w:b w:val="0"/>
          <w:i w:val="0"/>
          <w:sz w:val="24"/>
        </w:rPr>
        <w:t>• Pre-conditions: User is authenticated or operating the local financial terminal; target security (e.g., NABIL) is loaded.</w:t>
      </w:r>
    </w:p>
    <w:p>
      <w:pPr>
        <w:spacing w:before="0" w:after="120" w:line="360" w:lineRule="auto"/>
        <w:jc w:val="both"/>
      </w:pPr>
      <w:r>
        <w:rPr>
          <w:rFonts w:ascii="Times New Roman" w:hAnsi="Times New Roman"/>
          <w:b w:val="0"/>
          <w:i w:val="0"/>
          <w:sz w:val="24"/>
        </w:rPr>
        <w:t>• Trigger: User clicks the 'Set Alert' button on the navigation header or stock details card.</w:t>
      </w:r>
    </w:p>
    <w:p>
      <w:pPr>
        <w:spacing w:before="0" w:after="120" w:line="360" w:lineRule="auto"/>
        <w:jc w:val="both"/>
      </w:pPr>
      <w:r>
        <w:rPr>
          <w:rFonts w:ascii="Times New Roman" w:hAnsi="Times New Roman"/>
          <w:b w:val="0"/>
          <w:i w:val="0"/>
          <w:sz w:val="24"/>
        </w:rPr>
        <w:t>• Main Success Scenario:</w:t>
        <w:br/>
        <w:t xml:space="preserve">    1. System opens the PriceAlertModal displaying current LTP (e.g. Rs. 506.42) and indicator metrics.</w:t>
        <w:br/>
        <w:t xml:space="preserve">    2. User selects alert condition (e.g. 'PRICE_ABOVE'), enters target value (e.g. Rs. 520.00), and adds optional note.</w:t>
        <w:br/>
        <w:t xml:space="preserve">    3. User clicks 'Save Alert'. Frontend dispatches POST /api/v1/alerts to NestJS backend.</w:t>
        <w:br/>
        <w:t xml:space="preserve">    4. Backend validates input payload via ValidationPipe and persists record in SQLite/PostgreSQL with isActive=true.</w:t>
        <w:br/>
        <w:t xml:space="preserve">    5. Background scheduler or market update invokes AlertsService.evaluateAlerts().</w:t>
        <w:br/>
        <w:t xml:space="preserve">    6. When market price satisfies condition, backend marks alert as triggered=true with timestamp.</w:t>
        <w:br/>
        <w:t xml:space="preserve">    7. Client triggers Web Audio API playChime() synthesis and displays native browser notification.</w:t>
      </w:r>
    </w:p>
    <w:p>
      <w:pPr>
        <w:spacing w:before="0" w:after="120" w:line="360" w:lineRule="auto"/>
        <w:jc w:val="both"/>
      </w:pPr>
      <w:r>
        <w:rPr>
          <w:rFonts w:ascii="Times New Roman" w:hAnsi="Times New Roman"/>
          <w:b w:val="0"/>
          <w:i w:val="0"/>
          <w:sz w:val="24"/>
        </w:rPr>
        <w:t>• Post-conditions: Alert status updated to triggered; audit log recorded.</w:t>
      </w:r>
    </w:p>
    <w:p>
      <w:pPr>
        <w:spacing w:before="0" w:after="120" w:line="360" w:lineRule="auto"/>
        <w:jc w:val="both"/>
      </w:pPr>
      <w:r>
        <w:rPr>
          <w:rFonts w:ascii="Times New Roman" w:hAnsi="Times New Roman"/>
          <w:b w:val="0"/>
          <w:i w:val="0"/>
          <w:sz w:val="24"/>
        </w:rPr>
        <w:t>Use Case UC-02: Execute Paper Trading Position and Monitor Portfolio</w:t>
      </w:r>
    </w:p>
    <w:p>
      <w:pPr>
        <w:spacing w:before="0" w:after="120" w:line="360" w:lineRule="auto"/>
        <w:jc w:val="both"/>
      </w:pPr>
      <w:r>
        <w:rPr>
          <w:rFonts w:ascii="Times New Roman" w:hAnsi="Times New Roman"/>
          <w:b w:val="0"/>
          <w:i w:val="0"/>
          <w:sz w:val="24"/>
        </w:rPr>
        <w:t>• Primary Actor: Retail Investor.</w:t>
      </w:r>
    </w:p>
    <w:p>
      <w:pPr>
        <w:spacing w:before="0" w:after="120" w:line="360" w:lineRule="auto"/>
        <w:jc w:val="both"/>
      </w:pPr>
      <w:r>
        <w:rPr>
          <w:rFonts w:ascii="Times New Roman" w:hAnsi="Times New Roman"/>
          <w:b w:val="0"/>
          <w:i w:val="0"/>
          <w:sz w:val="24"/>
        </w:rPr>
        <w:t>• Pre-conditions: User navigates to the Portfolio tab; market quotes are available.</w:t>
      </w:r>
    </w:p>
    <w:p>
      <w:pPr>
        <w:spacing w:before="0" w:after="120" w:line="360" w:lineRule="auto"/>
        <w:jc w:val="both"/>
      </w:pPr>
      <w:r>
        <w:rPr>
          <w:rFonts w:ascii="Times New Roman" w:hAnsi="Times New Roman"/>
          <w:b w:val="0"/>
          <w:i w:val="0"/>
          <w:sz w:val="24"/>
        </w:rPr>
        <w:t>• Main Success Scenario:</w:t>
        <w:br/>
        <w:t xml:space="preserve">    1. User clicks 'Add Position' and enters Symbol (e.g., CHCL), Buy Price (e.g., Rs. 480.00), and Quantity (e.g., 200).</w:t>
        <w:br/>
        <w:t xml:space="preserve">    2. System dispatches POST /api/v1/portfolio and persists holding.</w:t>
        <w:br/>
        <w:t xml:space="preserve">    3. PortfolioService queries current LTP, computes investment cost (Rs. 96,000), current market value, and unrealized profit/loss (+Rs. 5,284.00, +5.50%).</w:t>
        <w:br/>
        <w:t xml:space="preserve">    4. System recalculates aggregate portfolio statistics and updates sector allocation distribution bars.</w:t>
      </w:r>
    </w:p>
    <w:p>
      <w:pPr>
        <w:spacing w:before="0" w:after="120" w:line="360" w:lineRule="auto"/>
        <w:jc w:val="both"/>
      </w:pPr>
      <w:r>
        <w:rPr>
          <w:rFonts w:ascii="Times New Roman" w:hAnsi="Times New Roman"/>
          <w:b w:val="0"/>
          <w:i w:val="0"/>
          <w:sz w:val="24"/>
        </w:rPr>
        <w:t>Use Case UC-03: Execute Quantitative AI Inference &amp; Backtest Simulation</w:t>
      </w:r>
    </w:p>
    <w:p>
      <w:pPr>
        <w:spacing w:before="0" w:after="120" w:line="360" w:lineRule="auto"/>
        <w:jc w:val="both"/>
      </w:pPr>
      <w:r>
        <w:rPr>
          <w:rFonts w:ascii="Times New Roman" w:hAnsi="Times New Roman"/>
          <w:b w:val="0"/>
          <w:i w:val="0"/>
          <w:sz w:val="24"/>
        </w:rPr>
        <w:t>• Primary Actor: Market Analyst / Researcher.</w:t>
      </w:r>
    </w:p>
    <w:p>
      <w:pPr>
        <w:spacing w:before="0" w:after="120" w:line="360" w:lineRule="auto"/>
        <w:jc w:val="both"/>
      </w:pPr>
      <w:r>
        <w:rPr>
          <w:rFonts w:ascii="Times New Roman" w:hAnsi="Times New Roman"/>
          <w:b w:val="0"/>
          <w:i w:val="0"/>
          <w:sz w:val="24"/>
        </w:rPr>
        <w:t>• Main Success Scenario:</w:t>
        <w:br/>
        <w:t xml:space="preserve">    1. User opens AI Insights tab for target stock.</w:t>
        <w:br/>
        <w:t xml:space="preserve">    2. NestJS gathers 30-day sliding window of OHLCV bars and POSTs to Python FastAPI /predict.</w:t>
        <w:br/>
        <w:t xml:space="preserve">    3. PyTorch LSTM extracts 16-D latent temporal sequence embedding; XGBoost classifies feature vector.</w:t>
        <w:br/>
        <w:t xml:space="preserve">    4. Frontend renders radial probability dial, signal badge, and feature contribution weights.</w:t>
        <w:br/>
        <w:t xml:space="preserve">    5. BacktestSimulator card evaluates past 60 sessions, computing historical Win Rate % and Profit Factor.</w:t>
      </w:r>
    </w:p>
    <w:p>
      <w:pPr>
        <w:spacing w:before="80" w:after="240"/>
        <w:jc w:val="center"/>
      </w:pPr>
      <w:r>
        <w:rPr>
          <w:rFonts w:ascii="Times New Roman" w:hAnsi="Times New Roman"/>
          <w:b/>
          <w:sz w:val="24"/>
        </w:rPr>
        <w:t>Figure 3.1: System Use Case Diagram for NEPSE AI Platform</w:t>
      </w:r>
    </w:p>
    <w:p>
      <w:pPr>
        <w:spacing w:before="0" w:after="120" w:line="360" w:lineRule="auto"/>
        <w:jc w:val="both"/>
      </w:pPr>
      <w:r>
        <w:rPr>
          <w:rFonts w:ascii="Times New Roman" w:hAnsi="Times New Roman"/>
          <w:b w:val="0"/>
          <w:i w:val="0"/>
          <w:sz w:val="24"/>
        </w:rPr>
        <w:t>iii. Non-Functional Requirements:</w:t>
      </w:r>
    </w:p>
    <w:p>
      <w:pPr>
        <w:spacing w:before="0" w:after="120" w:line="360" w:lineRule="auto"/>
        <w:jc w:val="both"/>
      </w:pPr>
      <w:r>
        <w:rPr>
          <w:rFonts w:ascii="Times New Roman" w:hAnsi="Times New Roman"/>
          <w:b w:val="0"/>
          <w:i w:val="0"/>
          <w:sz w:val="24"/>
        </w:rPr>
        <w:t>Non-functional engineering specifications ensure production-grade performance, reliability, and security:</w:t>
      </w:r>
    </w:p>
    <w:p>
      <w:pPr>
        <w:keepNext/>
        <w:spacing w:before="240" w:after="80"/>
        <w:jc w:val="center"/>
      </w:pPr>
      <w:r>
        <w:rPr>
          <w:rFonts w:ascii="Times New Roman" w:hAnsi="Times New Roman"/>
          <w:b/>
          <w:sz w:val="24"/>
        </w:rPr>
        <w:t>Table 3.2: Non-Functional Engineering Quality Attributes</w:t>
      </w:r>
    </w:p>
    <w:tbl>
      <w:tblPr>
        <w:tblW w:type="auto" w:w="0"/>
        <w:jc w:val="center"/>
        <w:tblLayout w:type="fixed"/>
        <w:tblLook w:firstColumn="1" w:firstRow="1" w:lastColumn="0" w:lastRow="0" w:noHBand="0" w:noVBand="1" w:val="04A0"/>
      </w:tblPr>
      <w:tblGrid>
        <w:gridCol w:w="2890"/>
        <w:gridCol w:w="2890"/>
        <w:gridCol w:w="2890"/>
      </w:tblGrid>
      <w:tr>
        <w:trPr>
          <w:tblHeader/>
          <w:cantSplit/>
        </w:trPr>
        <w:tc>
          <w:tcPr>
            <w:tcW w:type="dxa" w:w="2016"/>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Quality Attribute</w:t>
            </w:r>
          </w:p>
        </w:tc>
        <w:tc>
          <w:tcPr>
            <w:tcW w:type="dxa" w:w="2592"/>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Target Metric / Standard</w:t>
            </w:r>
          </w:p>
        </w:tc>
        <w:tc>
          <w:tcPr>
            <w:tcW w:type="dxa" w:w="4061"/>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Architectural Implementation Strategy</w:t>
            </w:r>
          </w:p>
        </w:tc>
      </w:tr>
      <w:tr>
        <w:trPr>
          <w:cantSplit/>
        </w:trPr>
        <w:tc>
          <w:tcPr>
            <w:tcW w:type="dxa" w:w="2016"/>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Response Latency</w:t>
            </w:r>
          </w:p>
        </w:tc>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API query response &lt; 50ms; ML inference &lt; 150ms.</w:t>
            </w:r>
          </w:p>
        </w:tc>
        <w:tc>
          <w:tcPr>
            <w:tcW w:type="dxa" w:w="4061"/>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Database indexing on (symbol, date); local caching; pre-computed technical indicators.</w:t>
            </w:r>
          </w:p>
        </w:tc>
      </w:tr>
      <w:tr>
        <w:trPr>
          <w:cantSplit/>
        </w:trPr>
        <w:tc>
          <w:tcPr>
            <w:tcW w:type="dxa" w:w="2016"/>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Availability &amp; Uptime</w:t>
            </w:r>
          </w:p>
        </w:tc>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99.9% uptime during market hours; 100% offline fallback.</w:t>
            </w:r>
          </w:p>
        </w:tc>
        <w:tc>
          <w:tcPr>
            <w:tcW w:type="dxa" w:w="4061"/>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Dual SQLite/PostgreSQL architecture; client-side synthetic fallback generator.</w:t>
            </w:r>
          </w:p>
        </w:tc>
      </w:tr>
      <w:tr>
        <w:trPr>
          <w:cantSplit/>
        </w:trPr>
        <w:tc>
          <w:tcPr>
            <w:tcW w:type="dxa" w:w="2016"/>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Fault Tolerance</w:t>
            </w:r>
          </w:p>
        </w:tc>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Zero UI crashes on external network disconnects or API errors.</w:t>
            </w:r>
          </w:p>
        </w:tc>
        <w:tc>
          <w:tcPr>
            <w:tcW w:type="dxa" w:w="4061"/>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NestJS HttpService try/catch wrappers; resilient fallback momentum matrices.</w:t>
            </w:r>
          </w:p>
        </w:tc>
      </w:tr>
      <w:tr>
        <w:trPr>
          <w:cantSplit/>
        </w:trPr>
        <w:tc>
          <w:tcPr>
            <w:tcW w:type="dxa" w:w="2016"/>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Usability &amp; a11y</w:t>
            </w:r>
          </w:p>
        </w:tc>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Lighthouse accessibility score &gt; 90; high contrast ratios.</w:t>
            </w:r>
          </w:p>
        </w:tc>
        <w:tc>
          <w:tcPr>
            <w:tcW w:type="dxa" w:w="4061"/>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Tailwind CSS dark-mode palette (#0E1117); semantic HTML5 tags; responsive grids.</w:t>
            </w:r>
          </w:p>
        </w:tc>
      </w:tr>
      <w:tr>
        <w:trPr>
          <w:cantSplit/>
        </w:trPr>
        <w:tc>
          <w:tcPr>
            <w:tcW w:type="dxa" w:w="2016"/>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Data Integrity</w:t>
            </w:r>
          </w:p>
        </w:tc>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Strict ACID transactional consistency for financial records.</w:t>
            </w:r>
          </w:p>
        </w:tc>
        <w:tc>
          <w:tcPr>
            <w:tcW w:type="dxa" w:w="4061"/>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Prisma ORM migrations; unique constraints on (symbol, date); foreign keys.</w:t>
            </w:r>
          </w:p>
        </w:tc>
      </w:tr>
      <w:tr>
        <w:trPr>
          <w:cantSplit/>
        </w:trPr>
        <w:tc>
          <w:tcPr>
            <w:tcW w:type="dxa" w:w="2016"/>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Portability</w:t>
            </w:r>
          </w:p>
        </w:tc>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Cross-platform execution on Windows, Linux, and macOS.</w:t>
            </w:r>
          </w:p>
        </w:tc>
        <w:tc>
          <w:tcPr>
            <w:tcW w:type="dxa" w:w="4061"/>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Node.js 20+, Python 3.10+, and Docker containerized deployment architectures.</w:t>
            </w:r>
          </w:p>
        </w:tc>
      </w:tr>
      <w:tr>
        <w:trPr>
          <w:cantSplit/>
        </w:trPr>
        <w:tc>
          <w:tcPr>
            <w:tcW w:type="dxa" w:w="2016"/>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Security</w:t>
            </w:r>
          </w:p>
        </w:tc>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Zero SQL injection; sanitized input DTOs; CORS policy.</w:t>
            </w:r>
          </w:p>
        </w:tc>
        <w:tc>
          <w:tcPr>
            <w:tcW w:type="dxa" w:w="4061"/>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NestJS class-validator pipes; parameterized SQL queries via Prisma ORM.</w:t>
            </w:r>
          </w:p>
        </w:tc>
      </w:tr>
      <w:tr>
        <w:trPr>
          <w:cantSplit/>
        </w:trPr>
        <w:tc>
          <w:tcPr>
            <w:tcW w:type="dxa" w:w="2016"/>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Maintainability</w:t>
            </w:r>
          </w:p>
        </w:tc>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Clean modular code; strict TypeScript typing; SOLID principles.</w:t>
            </w:r>
          </w:p>
        </w:tc>
        <w:tc>
          <w:tcPr>
            <w:tcW w:type="dxa" w:w="4061"/>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Decoupled NestJS modules; separation of controllers, services, and repository layers.</w:t>
            </w:r>
          </w:p>
        </w:tc>
      </w:tr>
    </w:tbl>
    <w:p>
      <w:pPr>
        <w:spacing w:before="0" w:after="160" w:line="240" w:lineRule="auto"/>
      </w:pPr>
    </w:p>
    <w:p>
      <w:pPr>
        <w:keepNext/>
        <w:spacing w:before="200" w:after="80" w:line="276" w:lineRule="auto"/>
        <w:jc w:val="left"/>
      </w:pPr>
      <w:r>
        <w:rPr>
          <w:rFonts w:ascii="Times New Roman" w:hAnsi="Times New Roman"/>
          <w:b/>
          <w:sz w:val="24"/>
        </w:rPr>
        <w:t>3.1.2 Feasibility Analysis</w:t>
      </w:r>
    </w:p>
    <w:p>
      <w:pPr>
        <w:spacing w:before="0" w:after="120" w:line="360" w:lineRule="auto"/>
        <w:jc w:val="both"/>
      </w:pPr>
      <w:r>
        <w:rPr>
          <w:rFonts w:ascii="Times New Roman" w:hAnsi="Times New Roman"/>
          <w:b w:val="0"/>
          <w:i w:val="0"/>
          <w:sz w:val="24"/>
        </w:rPr>
        <w:t>1. Technical Feasibility: The technology stack is comprised of mature, industry-standard modern platforms: TypeScript with NestJS for modular enterprise backend services, React 19 with Vite 6 for blazing-fast Single Page Application rendering, Prisma ORM for database abstraction, and Python FastAPI with PyTorch and XGBoost for high-performance machine learning inference. All tools are open-source with active long-term support (LTS). The technical complexity is well within the capabilities of the team.</w:t>
      </w:r>
    </w:p>
    <w:p>
      <w:pPr>
        <w:spacing w:before="0" w:after="120" w:line="360" w:lineRule="auto"/>
        <w:jc w:val="both"/>
      </w:pPr>
      <w:r>
        <w:rPr>
          <w:rFonts w:ascii="Times New Roman" w:hAnsi="Times New Roman"/>
          <w:b w:val="0"/>
          <w:i w:val="0"/>
          <w:sz w:val="24"/>
        </w:rPr>
        <w:t>2. Operational Feasibility: The platform requires zero installation overhead for end-users, operating seamlessly across any modern web browser (Google Chrome, Mozilla Firefox, Microsoft Edge, Safari). The user interface follows standard financial terminal ergonomics familiar to users of TradingView and Bloomberg terminals, requiring minimal learning curve for retail investors.</w:t>
      </w:r>
    </w:p>
    <w:p>
      <w:pPr>
        <w:spacing w:before="0" w:after="120" w:line="360" w:lineRule="auto"/>
        <w:jc w:val="both"/>
      </w:pPr>
      <w:r>
        <w:rPr>
          <w:rFonts w:ascii="Times New Roman" w:hAnsi="Times New Roman"/>
          <w:b w:val="0"/>
          <w:i w:val="0"/>
          <w:sz w:val="24"/>
        </w:rPr>
        <w:t>3. Economic Feasibility: The architecture is exceptionally cost-effective. The entire development and local evaluation stack runs with zero recurring software licensing costs. In production, the microservices can be deployed on free or ultra-low-cost tiers (Render, Neon PostgreSQL, Supabase, Vercel), ensuring long-term financial viability.</w:t>
      </w:r>
    </w:p>
    <w:p>
      <w:pPr>
        <w:spacing w:before="0" w:after="120" w:line="360" w:lineRule="auto"/>
        <w:jc w:val="both"/>
      </w:pPr>
      <w:r>
        <w:rPr>
          <w:rFonts w:ascii="Times New Roman" w:hAnsi="Times New Roman"/>
          <w:b w:val="0"/>
          <w:i w:val="0"/>
          <w:sz w:val="24"/>
        </w:rPr>
        <w:t>4. Schedule Feasibility: The project was structured across 16 weeks within the BCA 8th semester curriculum, with incremental milestones ensuring that all functional modules were completed and tested ahead of final evaluation.</w:t>
      </w:r>
    </w:p>
    <w:p>
      <w:pPr>
        <w:spacing w:before="0" w:after="120" w:line="360" w:lineRule="auto"/>
        <w:jc w:val="both"/>
      </w:pPr>
      <w:r>
        <w:rPr>
          <w:rFonts w:ascii="Times New Roman" w:hAnsi="Times New Roman"/>
          <w:b w:val="0"/>
          <w:i w:val="0"/>
          <w:sz w:val="24"/>
        </w:rPr>
        <w:t>5. Legal and Ethical Feasibility: The platform uses publicly available End-of-Day market data for educational and decision-support purposes. It does not execute live monetary transactions, ensuring full compliance with SEBON regulations and Nepal's Electronic Transactions Act.</w:t>
      </w:r>
    </w:p>
    <w:p>
      <w:pPr>
        <w:keepNext/>
        <w:spacing w:before="200" w:after="80" w:line="276" w:lineRule="auto"/>
        <w:jc w:val="left"/>
      </w:pPr>
      <w:r>
        <w:rPr>
          <w:rFonts w:ascii="Times New Roman" w:hAnsi="Times New Roman"/>
          <w:b/>
          <w:sz w:val="24"/>
        </w:rPr>
        <w:t>3.1.3 Object Modelling (Class Diagram &amp; Domain Entities)</w:t>
      </w:r>
    </w:p>
    <w:p>
      <w:pPr>
        <w:spacing w:before="0" w:after="120" w:line="360" w:lineRule="auto"/>
        <w:jc w:val="both"/>
      </w:pPr>
      <w:r>
        <w:rPr>
          <w:rFonts w:ascii="Times New Roman" w:hAnsi="Times New Roman"/>
          <w:b w:val="0"/>
          <w:i w:val="0"/>
          <w:sz w:val="24"/>
        </w:rPr>
        <w:t>The Object-Oriented domain model structures the core entities, data transfer objects, and services governing the platform. Key classes include:</w:t>
      </w:r>
    </w:p>
    <w:p>
      <w:pPr>
        <w:spacing w:before="0" w:after="120" w:line="360" w:lineRule="auto"/>
        <w:jc w:val="both"/>
      </w:pPr>
      <w:r>
        <w:rPr>
          <w:rFonts w:ascii="Times New Roman" w:hAnsi="Times New Roman"/>
          <w:b w:val="0"/>
          <w:i w:val="0"/>
          <w:sz w:val="24"/>
        </w:rPr>
        <w:t>• Company: Encapsulates stock metadata (symbol, name, sector, listing status).</w:t>
      </w:r>
    </w:p>
    <w:p>
      <w:pPr>
        <w:spacing w:before="0" w:after="120" w:line="360" w:lineRule="auto"/>
        <w:jc w:val="both"/>
      </w:pPr>
      <w:r>
        <w:rPr>
          <w:rFonts w:ascii="Times New Roman" w:hAnsi="Times New Roman"/>
          <w:b w:val="0"/>
          <w:i w:val="0"/>
          <w:sz w:val="24"/>
        </w:rPr>
        <w:t>• DailyPrice: Encapsulates OHLCV time-series observations and relationships to parent company.</w:t>
      </w:r>
    </w:p>
    <w:p>
      <w:pPr>
        <w:spacing w:before="0" w:after="120" w:line="360" w:lineRule="auto"/>
        <w:jc w:val="both"/>
      </w:pPr>
      <w:r>
        <w:rPr>
          <w:rFonts w:ascii="Times New Roman" w:hAnsi="Times New Roman"/>
          <w:b w:val="0"/>
          <w:i w:val="0"/>
          <w:sz w:val="24"/>
        </w:rPr>
        <w:t>• Alert: Encapsulates user alert thresholds (condition, targetValue, isActive, triggered).</w:t>
      </w:r>
    </w:p>
    <w:p>
      <w:pPr>
        <w:spacing w:before="0" w:after="120" w:line="360" w:lineRule="auto"/>
        <w:jc w:val="both"/>
      </w:pPr>
      <w:r>
        <w:rPr>
          <w:rFonts w:ascii="Times New Roman" w:hAnsi="Times New Roman"/>
          <w:b w:val="0"/>
          <w:i w:val="0"/>
          <w:sz w:val="24"/>
        </w:rPr>
        <w:t>• PortfolioPosition: Manages paper trading holdings (symbol, buyPrice, quantity, buyDate).</w:t>
      </w:r>
    </w:p>
    <w:p>
      <w:pPr>
        <w:spacing w:before="0" w:after="120" w:line="360" w:lineRule="auto"/>
        <w:jc w:val="both"/>
      </w:pPr>
      <w:r>
        <w:rPr>
          <w:rFonts w:ascii="Times New Roman" w:hAnsi="Times New Roman"/>
          <w:b w:val="0"/>
          <w:i w:val="0"/>
          <w:sz w:val="24"/>
        </w:rPr>
        <w:t>• StockService: Service class handling mathematical calculations, top movers, and quote generation.</w:t>
      </w:r>
    </w:p>
    <w:p>
      <w:pPr>
        <w:spacing w:before="0" w:after="120" w:line="360" w:lineRule="auto"/>
        <w:jc w:val="both"/>
      </w:pPr>
      <w:r>
        <w:rPr>
          <w:rFonts w:ascii="Times New Roman" w:hAnsi="Times New Roman"/>
          <w:b w:val="0"/>
          <w:i w:val="0"/>
          <w:sz w:val="24"/>
        </w:rPr>
        <w:t>• AlertsService: Service class managing alert evaluation and notification triggers.</w:t>
      </w:r>
    </w:p>
    <w:p>
      <w:pPr>
        <w:spacing w:before="0" w:after="120" w:line="360" w:lineRule="auto"/>
        <w:jc w:val="both"/>
      </w:pPr>
      <w:r>
        <w:rPr>
          <w:rFonts w:ascii="Times New Roman" w:hAnsi="Times New Roman"/>
          <w:b w:val="0"/>
          <w:i w:val="0"/>
          <w:sz w:val="24"/>
        </w:rPr>
        <w:t>• PortfolioService: Service class computing mark-to-market valuations and sector allocations.</w:t>
      </w:r>
    </w:p>
    <w:p>
      <w:pPr>
        <w:spacing w:before="0" w:after="120" w:line="360" w:lineRule="auto"/>
        <w:jc w:val="both"/>
      </w:pPr>
      <w:r>
        <w:rPr>
          <w:rFonts w:ascii="Times New Roman" w:hAnsi="Times New Roman"/>
          <w:b w:val="0"/>
          <w:i w:val="0"/>
          <w:sz w:val="24"/>
        </w:rPr>
        <w:t>• PredictionService: Service class orchestrating FastAPI dispatches and heuristic fallbacks.</w:t>
      </w:r>
    </w:p>
    <w:p>
      <w:pPr>
        <w:spacing w:before="0" w:after="120" w:line="360" w:lineRule="auto"/>
        <w:jc w:val="both"/>
      </w:pPr>
      <w:r>
        <w:rPr>
          <w:rFonts w:ascii="Times New Roman" w:hAnsi="Times New Roman"/>
          <w:b w:val="0"/>
          <w:i w:val="0"/>
          <w:sz w:val="24"/>
        </w:rPr>
        <w:t>• HybridModel: Python machine learning class encapsulating PyTorch LSTM and XGBoost models.</w:t>
      </w:r>
    </w:p>
    <w:p>
      <w:pPr>
        <w:spacing w:before="80" w:after="240"/>
        <w:jc w:val="center"/>
      </w:pPr>
      <w:r>
        <w:rPr>
          <w:rFonts w:ascii="Times New Roman" w:hAnsi="Times New Roman"/>
          <w:b/>
          <w:sz w:val="24"/>
        </w:rPr>
        <w:t>Figure 3.2: UML Class Diagram Representing Core Domain Entities &amp; Services</w:t>
      </w:r>
    </w:p>
    <w:p>
      <w:pPr>
        <w:keepNext/>
        <w:spacing w:before="200" w:after="80" w:line="276" w:lineRule="auto"/>
        <w:jc w:val="left"/>
      </w:pPr>
      <w:r>
        <w:rPr>
          <w:rFonts w:ascii="Times New Roman" w:hAnsi="Times New Roman"/>
          <w:b/>
          <w:sz w:val="24"/>
        </w:rPr>
        <w:t>3.1.4 Dynamic Modelling (Sequence &amp; State Diagrams)</w:t>
      </w:r>
    </w:p>
    <w:p>
      <w:pPr>
        <w:spacing w:before="0" w:after="120" w:line="360" w:lineRule="auto"/>
        <w:jc w:val="both"/>
      </w:pPr>
      <w:r>
        <w:rPr>
          <w:rFonts w:ascii="Times New Roman" w:hAnsi="Times New Roman"/>
          <w:b w:val="0"/>
          <w:i w:val="0"/>
          <w:sz w:val="24"/>
        </w:rPr>
        <w:t>Sequence Diagram 1: Automated EOD Ingestion and Alert Evaluation Pass:</w:t>
      </w:r>
    </w:p>
    <w:p>
      <w:pPr>
        <w:spacing w:before="0" w:after="120" w:line="360" w:lineRule="auto"/>
        <w:jc w:val="both"/>
      </w:pPr>
      <w:r>
        <w:rPr>
          <w:rFonts w:ascii="Times New Roman" w:hAnsi="Times New Roman"/>
          <w:b w:val="0"/>
          <w:i w:val="0"/>
          <w:sz w:val="24"/>
        </w:rPr>
        <w:t>1. Scheduled cron worker invokes MarketDataService.updateDailyMarketData().</w:t>
        <w:br/>
        <w:t>2. MarketDataService fetches live quotes via @rumess/nepse-api wrapper with TLS bypass.</w:t>
        <w:br/>
        <w:t>3. Ingested bars are upserted into the database via DatabaseService.</w:t>
        <w:br/>
        <w:t>4. DatabaseService notifies AlertsService.evaluateAlerts().</w:t>
        <w:br/>
        <w:t>5. AlertsService evaluates active alarms against fresh prices and indicator thresholds.</w:t>
        <w:br/>
        <w:t>6. Triggered alerts update database flags, broadcast SSE/WebSocket events, and fire client notifications.</w:t>
      </w:r>
    </w:p>
    <w:p>
      <w:pPr>
        <w:spacing w:before="80" w:after="240"/>
        <w:jc w:val="center"/>
      </w:pPr>
      <w:r>
        <w:rPr>
          <w:rFonts w:ascii="Times New Roman" w:hAnsi="Times New Roman"/>
          <w:b/>
          <w:sz w:val="24"/>
        </w:rPr>
        <w:t>Figure 3.3: Sequence Diagram for Real-Time Price Ingestion and Alert Evaluation</w:t>
      </w:r>
    </w:p>
    <w:p>
      <w:pPr>
        <w:spacing w:before="0" w:after="120" w:line="360" w:lineRule="auto"/>
        <w:jc w:val="both"/>
      </w:pPr>
      <w:r>
        <w:rPr>
          <w:rFonts w:ascii="Times New Roman" w:hAnsi="Times New Roman"/>
          <w:b w:val="0"/>
          <w:i w:val="0"/>
          <w:sz w:val="24"/>
        </w:rPr>
        <w:t>Sequence Diagram 2: Hybrid Machine Learning Inference Pipeline:</w:t>
      </w:r>
    </w:p>
    <w:p>
      <w:pPr>
        <w:spacing w:before="0" w:after="120" w:line="360" w:lineRule="auto"/>
        <w:jc w:val="both"/>
      </w:pPr>
      <w:r>
        <w:rPr>
          <w:rFonts w:ascii="Times New Roman" w:hAnsi="Times New Roman"/>
          <w:b w:val="0"/>
          <w:i w:val="0"/>
          <w:sz w:val="24"/>
        </w:rPr>
        <w:t>1. Client requests GET /api/v1/predict/:symbol.</w:t>
        <w:br/>
        <w:t>2. NestJS PredictionService validates historical bar count (&gt;= 30 bars).</w:t>
        <w:br/>
        <w:t>3. NestJS dispatches HTTP POST payload to Python FastAPI /predict.</w:t>
        <w:br/>
        <w:t>4. FastAPI HybridModel processes sequential tensor through PyTorch LSTM to extract 16-D embedding.</w:t>
        <w:br/>
        <w:t>5. Embedding is concatenated with 8 technical indicators and evaluated by XGBoost.</w:t>
        <w:br/>
        <w:t>6. Probabilistic prediction payload is returned to NestJS and rendered on client dial.</w:t>
      </w:r>
    </w:p>
    <w:p>
      <w:pPr>
        <w:spacing w:before="80" w:after="240"/>
        <w:jc w:val="center"/>
      </w:pPr>
      <w:r>
        <w:rPr>
          <w:rFonts w:ascii="Times New Roman" w:hAnsi="Times New Roman"/>
          <w:b/>
          <w:sz w:val="24"/>
        </w:rPr>
        <w:t>Figure 3.4: Sequence Diagram for Hybrid Machine Learning Inference Pipeline</w:t>
      </w:r>
    </w:p>
    <w:p>
      <w:pPr>
        <w:spacing w:before="0" w:after="120" w:line="360" w:lineRule="auto"/>
        <w:jc w:val="both"/>
      </w:pPr>
      <w:r>
        <w:rPr>
          <w:rFonts w:ascii="Times New Roman" w:hAnsi="Times New Roman"/>
          <w:b w:val="0"/>
          <w:i w:val="0"/>
          <w:sz w:val="24"/>
        </w:rPr>
        <w:t>State Machine Diagram: Price Alert Lifecycle:</w:t>
      </w:r>
    </w:p>
    <w:p>
      <w:pPr>
        <w:spacing w:before="0" w:after="120" w:line="360" w:lineRule="auto"/>
        <w:jc w:val="both"/>
      </w:pPr>
      <w:r>
        <w:rPr>
          <w:rFonts w:ascii="Times New Roman" w:hAnsi="Times New Roman"/>
          <w:b w:val="0"/>
          <w:i w:val="0"/>
          <w:sz w:val="24"/>
        </w:rPr>
        <w:t>An alert transitions through distinct states: [Created] → [Armed / Active] → [Monitoring Ticks] → [Condition Matched] → [Triggered / Notification Fired] → [Acknowledged / Paused] or [Deleted].</w:t>
      </w:r>
    </w:p>
    <w:p>
      <w:pPr>
        <w:spacing w:before="80" w:after="240"/>
        <w:jc w:val="center"/>
      </w:pPr>
      <w:r>
        <w:rPr>
          <w:rFonts w:ascii="Times New Roman" w:hAnsi="Times New Roman"/>
          <w:b/>
          <w:sz w:val="24"/>
        </w:rPr>
        <w:t>Figure 3.5: State Transition Diagram for Price Alert Lifecycle</w:t>
      </w:r>
    </w:p>
    <w:p>
      <w:pPr>
        <w:keepNext/>
        <w:spacing w:before="200" w:after="80" w:line="276" w:lineRule="auto"/>
        <w:jc w:val="left"/>
      </w:pPr>
      <w:r>
        <w:rPr>
          <w:rFonts w:ascii="Times New Roman" w:hAnsi="Times New Roman"/>
          <w:b/>
          <w:sz w:val="24"/>
        </w:rPr>
        <w:t>3.1.5 Process Modelling (Activity Diagrams &amp; Workflows)</w:t>
      </w:r>
    </w:p>
    <w:p>
      <w:pPr>
        <w:spacing w:before="0" w:after="120" w:line="360" w:lineRule="auto"/>
        <w:jc w:val="both"/>
      </w:pPr>
      <w:r>
        <w:rPr>
          <w:rFonts w:ascii="Times New Roman" w:hAnsi="Times New Roman"/>
          <w:b w:val="0"/>
          <w:i w:val="0"/>
          <w:sz w:val="24"/>
        </w:rPr>
        <w:t>Activity Diagram for Automated Daily EOD Market Ingestion:</w:t>
      </w:r>
    </w:p>
    <w:p>
      <w:pPr>
        <w:spacing w:before="0" w:after="120" w:line="360" w:lineRule="auto"/>
        <w:jc w:val="both"/>
      </w:pPr>
      <w:r>
        <w:rPr>
          <w:rFonts w:ascii="Times New Roman" w:hAnsi="Times New Roman"/>
          <w:b w:val="0"/>
          <w:i w:val="0"/>
          <w:sz w:val="24"/>
        </w:rPr>
        <w:t>The process initiates at 3:30 PM NPT post-market close. The scheduler checks network connectivity. If public NEPSE portals are accessible, it downloads EOD records, cleans and validates price ranges (verifying Low &lt;= Open, Close &lt;= High), and executes bulk upserts. If network errors or TLS timeouts occur, it logs an alert and triggers the synthetic generator to maintain operational continuity.</w:t>
      </w:r>
    </w:p>
    <w:p>
      <w:pPr>
        <w:spacing w:before="80" w:after="240"/>
        <w:jc w:val="center"/>
      </w:pPr>
      <w:r>
        <w:rPr>
          <w:rFonts w:ascii="Times New Roman" w:hAnsi="Times New Roman"/>
          <w:b/>
          <w:sz w:val="24"/>
        </w:rPr>
        <w:t>Figure 3.6: Activity Diagram for Automated Daily EOD Market Ingestion</w:t>
      </w:r>
    </w:p>
    <w:p>
      <w:pPr>
        <w:keepNext/>
        <w:spacing w:before="280" w:after="120" w:line="276" w:lineRule="auto"/>
        <w:jc w:val="left"/>
      </w:pPr>
      <w:r>
        <w:rPr>
          <w:rFonts w:ascii="Times New Roman" w:hAnsi="Times New Roman"/>
          <w:b/>
          <w:sz w:val="28"/>
        </w:rPr>
        <w:t>3.2 System Design</w:t>
      </w:r>
    </w:p>
    <w:p>
      <w:pPr>
        <w:keepNext/>
        <w:spacing w:before="200" w:after="80" w:line="276" w:lineRule="auto"/>
        <w:jc w:val="left"/>
      </w:pPr>
      <w:r>
        <w:rPr>
          <w:rFonts w:ascii="Times New Roman" w:hAnsi="Times New Roman"/>
          <w:b/>
          <w:sz w:val="24"/>
        </w:rPr>
        <w:t>3.2.1 Architectural Design</w:t>
      </w:r>
    </w:p>
    <w:p>
      <w:pPr>
        <w:spacing w:before="0" w:after="120" w:line="360" w:lineRule="auto"/>
        <w:jc w:val="both"/>
      </w:pPr>
      <w:r>
        <w:rPr>
          <w:rFonts w:ascii="Times New Roman" w:hAnsi="Times New Roman"/>
          <w:b w:val="0"/>
          <w:i w:val="0"/>
          <w:sz w:val="24"/>
        </w:rPr>
        <w:t>The system implements a three-tier decoupled microservice architecture ensuring high cohesion, low coupling, and complete fault isolation:</w:t>
      </w:r>
    </w:p>
    <w:p>
      <w:pPr>
        <w:spacing w:before="0" w:after="120" w:line="360" w:lineRule="auto"/>
        <w:jc w:val="both"/>
      </w:pPr>
      <w:r>
        <w:rPr>
          <w:rFonts w:ascii="Times New Roman" w:hAnsi="Times New Roman"/>
          <w:b w:val="0"/>
          <w:i w:val="0"/>
          <w:sz w:val="24"/>
        </w:rPr>
        <w:t>• Tier 1: Client Presentation Layer (React 19 + Vite 6): A Single Page Application (SPA) styled with Tailwind CSS. It communicates with backend services via asynchronous REST JSON calls. It handles vector chart rendering, audio synthesis, and user interactions.</w:t>
      </w:r>
    </w:p>
    <w:p>
      <w:pPr>
        <w:spacing w:before="0" w:after="120" w:line="360" w:lineRule="auto"/>
        <w:jc w:val="both"/>
      </w:pPr>
      <w:r>
        <w:rPr>
          <w:rFonts w:ascii="Times New Roman" w:hAnsi="Times New Roman"/>
          <w:b w:val="0"/>
          <w:i w:val="0"/>
          <w:sz w:val="24"/>
        </w:rPr>
        <w:t>• Tier 2: Enterprise Application Core (NestJS 11 + Express + Prisma ORM): A modular TypeScript server responsible for business logic, automated cron scheduling (@nestjs/schedule), data integrity validation (class-validator), RESTful API serving, and database persistence.</w:t>
      </w:r>
    </w:p>
    <w:p>
      <w:pPr>
        <w:spacing w:before="0" w:after="120" w:line="360" w:lineRule="auto"/>
        <w:jc w:val="both"/>
      </w:pPr>
      <w:r>
        <w:rPr>
          <w:rFonts w:ascii="Times New Roman" w:hAnsi="Times New Roman"/>
          <w:b w:val="0"/>
          <w:i w:val="0"/>
          <w:sz w:val="24"/>
        </w:rPr>
        <w:t>• Tier 3: Machine Learning Inference Engine (Python 3.10+ FastAPI + PyTorch + XGBoost): A specialized asynchronous Python microservice responsible for deep sequence embedding, gradient boosted tree inference, model training, and weight serialization.</w:t>
      </w:r>
    </w:p>
    <w:p>
      <w:pPr>
        <w:spacing w:before="0" w:after="120" w:line="360" w:lineRule="auto"/>
        <w:jc w:val="both"/>
      </w:pPr>
      <w:r>
        <w:rPr>
          <w:rFonts w:ascii="Times New Roman" w:hAnsi="Times New Roman"/>
          <w:b w:val="0"/>
          <w:i w:val="0"/>
          <w:sz w:val="24"/>
        </w:rPr>
        <w:t>• Persistence Layer: Dual database engine support featuring zero-dependency SQLite (`dev.db`) for immediate local evaluation and PostgreSQL (`schema.postgresql.prisma`) for cloud deployments.</w:t>
      </w:r>
    </w:p>
    <w:p>
      <w:pPr>
        <w:spacing w:before="80" w:after="240"/>
        <w:jc w:val="center"/>
      </w:pPr>
      <w:r>
        <w:rPr>
          <w:rFonts w:ascii="Times New Roman" w:hAnsi="Times New Roman"/>
          <w:b/>
          <w:sz w:val="24"/>
        </w:rPr>
        <w:t>Figure 3.7: Three-Tier Decoupled Microservices Architecture</w:t>
      </w:r>
    </w:p>
    <w:p>
      <w:pPr>
        <w:keepNext/>
        <w:spacing w:before="200" w:after="80" w:line="276" w:lineRule="auto"/>
        <w:jc w:val="left"/>
      </w:pPr>
      <w:r>
        <w:rPr>
          <w:rFonts w:ascii="Times New Roman" w:hAnsi="Times New Roman"/>
          <w:b/>
          <w:sz w:val="24"/>
        </w:rPr>
        <w:t>3.2.2 Database Schema Design &amp; Data Dictionaries</w:t>
      </w:r>
    </w:p>
    <w:p>
      <w:pPr>
        <w:spacing w:before="0" w:after="120" w:line="360" w:lineRule="auto"/>
        <w:jc w:val="both"/>
      </w:pPr>
      <w:r>
        <w:rPr>
          <w:rFonts w:ascii="Times New Roman" w:hAnsi="Times New Roman"/>
          <w:b w:val="0"/>
          <w:i w:val="0"/>
          <w:sz w:val="24"/>
        </w:rPr>
        <w:t>The relational database schema is normalized to Third Normal Form (3NF), eliminating transitive dependencies and redundant data storage. Indexes are placed strategically on high-frequency query paths.</w:t>
      </w:r>
    </w:p>
    <w:p>
      <w:pPr>
        <w:spacing w:before="80" w:after="240"/>
        <w:jc w:val="center"/>
      </w:pPr>
      <w:r>
        <w:rPr>
          <w:rFonts w:ascii="Times New Roman" w:hAnsi="Times New Roman"/>
          <w:b/>
          <w:sz w:val="24"/>
        </w:rPr>
        <w:t>Figure 3.8: Relational Entity Relationship Diagram (ERD)</w:t>
      </w:r>
    </w:p>
    <w:p>
      <w:pPr>
        <w:keepNext/>
        <w:spacing w:before="240" w:after="80"/>
        <w:jc w:val="center"/>
      </w:pPr>
      <w:r>
        <w:rPr>
          <w:rFonts w:ascii="Times New Roman" w:hAnsi="Times New Roman"/>
          <w:b/>
          <w:sz w:val="24"/>
        </w:rPr>
        <w:t>Table 3.3: Data Dictionary: Company Entity</w:t>
      </w:r>
    </w:p>
    <w:tbl>
      <w:tblPr>
        <w:tblW w:type="auto" w:w="0"/>
        <w:jc w:val="center"/>
        <w:tblLayout w:type="fixed"/>
        <w:tblLook w:firstColumn="1" w:firstRow="1" w:lastColumn="0" w:lastRow="0" w:noHBand="0" w:noVBand="1" w:val="04A0"/>
      </w:tblPr>
      <w:tblGrid>
        <w:gridCol w:w="1734"/>
        <w:gridCol w:w="1734"/>
        <w:gridCol w:w="1734"/>
        <w:gridCol w:w="1734"/>
        <w:gridCol w:w="1734"/>
      </w:tblGrid>
      <w:tr>
        <w:trPr>
          <w:tblHeader/>
          <w:cantSplit/>
        </w:trPr>
        <w:tc>
          <w:tcPr>
            <w:tcW w:type="dxa" w:w="1584"/>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Field Name</w:t>
            </w:r>
          </w:p>
        </w:tc>
        <w:tc>
          <w:tcPr>
            <w:tcW w:type="dxa" w:w="1728"/>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Data Type</w:t>
            </w:r>
          </w:p>
        </w:tc>
        <w:tc>
          <w:tcPr>
            <w:tcW w:type="dxa" w:w="1872"/>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Constraint</w:t>
            </w:r>
          </w:p>
        </w:tc>
        <w:tc>
          <w:tcPr>
            <w:tcW w:type="dxa" w:w="1152"/>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Nullable</w:t>
            </w:r>
          </w:p>
        </w:tc>
        <w:tc>
          <w:tcPr>
            <w:tcW w:type="dxa" w:w="2333"/>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Description</w:t>
            </w:r>
          </w:p>
        </w:tc>
      </w:tr>
      <w:tr>
        <w:trPr>
          <w:cantSplit/>
        </w:trPr>
        <w:tc>
          <w:tcPr>
            <w:tcW w:type="dxa" w:w="158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symbol</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VARCHAR(16)</w:t>
            </w:r>
          </w:p>
        </w:tc>
        <w:tc>
          <w:tcPr>
            <w:tcW w:type="dxa" w:w="187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PRIMARY KEY</w:t>
            </w:r>
          </w:p>
        </w:tc>
        <w:tc>
          <w:tcPr>
            <w:tcW w:type="dxa" w:w="115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No</w:t>
            </w:r>
          </w:p>
        </w:tc>
        <w:tc>
          <w:tcPr>
            <w:tcW w:type="dxa" w:w="2333"/>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Unique stock ticker symbol (e.g. NABIL, CHCL).</w:t>
            </w:r>
          </w:p>
        </w:tc>
      </w:tr>
      <w:tr>
        <w:trPr>
          <w:cantSplit/>
        </w:trPr>
        <w:tc>
          <w:tcPr>
            <w:tcW w:type="dxa" w:w="158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name</w:t>
            </w:r>
          </w:p>
        </w:tc>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VARCHAR(255)</w:t>
            </w:r>
          </w:p>
        </w:tc>
        <w:tc>
          <w:tcPr>
            <w:tcW w:type="dxa" w:w="187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None</w:t>
            </w:r>
          </w:p>
        </w:tc>
        <w:tc>
          <w:tcPr>
            <w:tcW w:type="dxa" w:w="115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No</w:t>
            </w:r>
          </w:p>
        </w:tc>
        <w:tc>
          <w:tcPr>
            <w:tcW w:type="dxa" w:w="2333"/>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Full registered corporate name of security.</w:t>
            </w:r>
          </w:p>
        </w:tc>
      </w:tr>
      <w:tr>
        <w:trPr>
          <w:cantSplit/>
        </w:trPr>
        <w:tc>
          <w:tcPr>
            <w:tcW w:type="dxa" w:w="158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sector</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VARCHAR(64)</w:t>
            </w:r>
          </w:p>
        </w:tc>
        <w:tc>
          <w:tcPr>
            <w:tcW w:type="dxa" w:w="187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INDEX</w:t>
            </w:r>
          </w:p>
        </w:tc>
        <w:tc>
          <w:tcPr>
            <w:tcW w:type="dxa" w:w="115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No</w:t>
            </w:r>
          </w:p>
        </w:tc>
        <w:tc>
          <w:tcPr>
            <w:tcW w:type="dxa" w:w="2333"/>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Industrial sector classification (e.g. Commercial Banks).</w:t>
            </w:r>
          </w:p>
        </w:tc>
      </w:tr>
      <w:tr>
        <w:trPr>
          <w:cantSplit/>
        </w:trPr>
        <w:tc>
          <w:tcPr>
            <w:tcW w:type="dxa" w:w="158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createdAt</w:t>
            </w:r>
          </w:p>
        </w:tc>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DATETIME</w:t>
            </w:r>
          </w:p>
        </w:tc>
        <w:tc>
          <w:tcPr>
            <w:tcW w:type="dxa" w:w="187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DEFAULT CURRENT_TIMESTAMP</w:t>
            </w:r>
          </w:p>
        </w:tc>
        <w:tc>
          <w:tcPr>
            <w:tcW w:type="dxa" w:w="115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No</w:t>
            </w:r>
          </w:p>
        </w:tc>
        <w:tc>
          <w:tcPr>
            <w:tcW w:type="dxa" w:w="2333"/>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Timestamp of initial company insertion.</w:t>
            </w:r>
          </w:p>
        </w:tc>
      </w:tr>
      <w:tr>
        <w:trPr>
          <w:cantSplit/>
        </w:trPr>
        <w:tc>
          <w:tcPr>
            <w:tcW w:type="dxa" w:w="158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updatedAt</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DATETIME</w:t>
            </w:r>
          </w:p>
        </w:tc>
        <w:tc>
          <w:tcPr>
            <w:tcW w:type="dxa" w:w="187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ON UPDATE CURRENT_TIMESTAMP</w:t>
            </w:r>
          </w:p>
        </w:tc>
        <w:tc>
          <w:tcPr>
            <w:tcW w:type="dxa" w:w="115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No</w:t>
            </w:r>
          </w:p>
        </w:tc>
        <w:tc>
          <w:tcPr>
            <w:tcW w:type="dxa" w:w="2333"/>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Timestamp of last entity modification.</w:t>
            </w:r>
          </w:p>
        </w:tc>
      </w:tr>
    </w:tbl>
    <w:p>
      <w:pPr>
        <w:spacing w:before="0" w:after="160" w:line="240" w:lineRule="auto"/>
      </w:pPr>
    </w:p>
    <w:p>
      <w:pPr>
        <w:keepNext/>
        <w:spacing w:before="240" w:after="80"/>
        <w:jc w:val="center"/>
      </w:pPr>
      <w:r>
        <w:rPr>
          <w:rFonts w:ascii="Times New Roman" w:hAnsi="Times New Roman"/>
          <w:b/>
          <w:sz w:val="24"/>
        </w:rPr>
        <w:t>Table 3.4: Data Dictionary: DailyPrice Entity</w:t>
      </w:r>
    </w:p>
    <w:tbl>
      <w:tblPr>
        <w:tblW w:type="auto" w:w="0"/>
        <w:jc w:val="center"/>
        <w:tblLayout w:type="fixed"/>
        <w:tblLook w:firstColumn="1" w:firstRow="1" w:lastColumn="0" w:lastRow="0" w:noHBand="0" w:noVBand="1" w:val="04A0"/>
      </w:tblPr>
      <w:tblGrid>
        <w:gridCol w:w="1734"/>
        <w:gridCol w:w="1734"/>
        <w:gridCol w:w="1734"/>
        <w:gridCol w:w="1734"/>
        <w:gridCol w:w="1734"/>
      </w:tblGrid>
      <w:tr>
        <w:trPr>
          <w:tblHeader/>
          <w:cantSplit/>
        </w:trPr>
        <w:tc>
          <w:tcPr>
            <w:tcW w:type="dxa" w:w="1440"/>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Field Name</w:t>
            </w:r>
          </w:p>
        </w:tc>
        <w:tc>
          <w:tcPr>
            <w:tcW w:type="dxa" w:w="1728"/>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Data Type</w:t>
            </w:r>
          </w:p>
        </w:tc>
        <w:tc>
          <w:tcPr>
            <w:tcW w:type="dxa" w:w="2016"/>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Constraint</w:t>
            </w:r>
          </w:p>
        </w:tc>
        <w:tc>
          <w:tcPr>
            <w:tcW w:type="dxa" w:w="1008"/>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Nullable</w:t>
            </w:r>
          </w:p>
        </w:tc>
        <w:tc>
          <w:tcPr>
            <w:tcW w:type="dxa" w:w="2477"/>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Description</w:t>
            </w:r>
          </w:p>
        </w:tc>
      </w:tr>
      <w:tr>
        <w:trPr>
          <w:cantSplit/>
        </w:trPr>
        <w:tc>
          <w:tcPr>
            <w:tcW w:type="dxa" w:w="144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id</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INTEGER</w:t>
            </w:r>
          </w:p>
        </w:tc>
        <w:tc>
          <w:tcPr>
            <w:tcW w:type="dxa" w:w="2016"/>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PRIMARY KEY AUTOINCREMENT</w:t>
            </w:r>
          </w:p>
        </w:tc>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No</w:t>
            </w:r>
          </w:p>
        </w:tc>
        <w:tc>
          <w:tcPr>
            <w:tcW w:type="dxa" w:w="24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Unique surrogate identifier for price record.</w:t>
            </w:r>
          </w:p>
        </w:tc>
      </w:tr>
      <w:tr>
        <w:trPr>
          <w:cantSplit/>
        </w:trPr>
        <w:tc>
          <w:tcPr>
            <w:tcW w:type="dxa" w:w="144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symbol</w:t>
            </w:r>
          </w:p>
        </w:tc>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VARCHAR(16)</w:t>
            </w:r>
          </w:p>
        </w:tc>
        <w:tc>
          <w:tcPr>
            <w:tcW w:type="dxa" w:w="2016"/>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FOREIGN KEY (Company.symbol)</w:t>
            </w:r>
          </w:p>
        </w:tc>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No</w:t>
            </w:r>
          </w:p>
        </w:tc>
        <w:tc>
          <w:tcPr>
            <w:tcW w:type="dxa" w:w="24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Ticker symbol referencing Company entity.</w:t>
            </w:r>
          </w:p>
        </w:tc>
      </w:tr>
      <w:tr>
        <w:trPr>
          <w:cantSplit/>
        </w:trPr>
        <w:tc>
          <w:tcPr>
            <w:tcW w:type="dxa" w:w="144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date</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DATETIME</w:t>
            </w:r>
          </w:p>
        </w:tc>
        <w:tc>
          <w:tcPr>
            <w:tcW w:type="dxa" w:w="2016"/>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UNIQUE (symbol, date) INDEX</w:t>
            </w:r>
          </w:p>
        </w:tc>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No</w:t>
            </w:r>
          </w:p>
        </w:tc>
        <w:tc>
          <w:tcPr>
            <w:tcW w:type="dxa" w:w="24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Trading session date.</w:t>
            </w:r>
          </w:p>
        </w:tc>
      </w:tr>
      <w:tr>
        <w:trPr>
          <w:cantSplit/>
        </w:trPr>
        <w:tc>
          <w:tcPr>
            <w:tcW w:type="dxa" w:w="144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open</w:t>
            </w:r>
          </w:p>
        </w:tc>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FLOAT</w:t>
            </w:r>
          </w:p>
        </w:tc>
        <w:tc>
          <w:tcPr>
            <w:tcW w:type="dxa" w:w="2016"/>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None</w:t>
            </w:r>
          </w:p>
        </w:tc>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No</w:t>
            </w:r>
          </w:p>
        </w:tc>
        <w:tc>
          <w:tcPr>
            <w:tcW w:type="dxa" w:w="24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Opening session price in NPR.</w:t>
            </w:r>
          </w:p>
        </w:tc>
      </w:tr>
      <w:tr>
        <w:trPr>
          <w:cantSplit/>
        </w:trPr>
        <w:tc>
          <w:tcPr>
            <w:tcW w:type="dxa" w:w="144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high</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FLOAT</w:t>
            </w:r>
          </w:p>
        </w:tc>
        <w:tc>
          <w:tcPr>
            <w:tcW w:type="dxa" w:w="2016"/>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None</w:t>
            </w:r>
          </w:p>
        </w:tc>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No</w:t>
            </w:r>
          </w:p>
        </w:tc>
        <w:tc>
          <w:tcPr>
            <w:tcW w:type="dxa" w:w="24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Highest session traded price in NPR.</w:t>
            </w:r>
          </w:p>
        </w:tc>
      </w:tr>
      <w:tr>
        <w:trPr>
          <w:cantSplit/>
        </w:trPr>
        <w:tc>
          <w:tcPr>
            <w:tcW w:type="dxa" w:w="144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low</w:t>
            </w:r>
          </w:p>
        </w:tc>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FLOAT</w:t>
            </w:r>
          </w:p>
        </w:tc>
        <w:tc>
          <w:tcPr>
            <w:tcW w:type="dxa" w:w="2016"/>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None</w:t>
            </w:r>
          </w:p>
        </w:tc>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No</w:t>
            </w:r>
          </w:p>
        </w:tc>
        <w:tc>
          <w:tcPr>
            <w:tcW w:type="dxa" w:w="24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Lowest session traded price in NPR.</w:t>
            </w:r>
          </w:p>
        </w:tc>
      </w:tr>
      <w:tr>
        <w:trPr>
          <w:cantSplit/>
        </w:trPr>
        <w:tc>
          <w:tcPr>
            <w:tcW w:type="dxa" w:w="144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close</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FLOAT</w:t>
            </w:r>
          </w:p>
        </w:tc>
        <w:tc>
          <w:tcPr>
            <w:tcW w:type="dxa" w:w="2016"/>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None</w:t>
            </w:r>
          </w:p>
        </w:tc>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No</w:t>
            </w:r>
          </w:p>
        </w:tc>
        <w:tc>
          <w:tcPr>
            <w:tcW w:type="dxa" w:w="24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Closing session settlement price in NPR.</w:t>
            </w:r>
          </w:p>
        </w:tc>
      </w:tr>
      <w:tr>
        <w:trPr>
          <w:cantSplit/>
        </w:trPr>
        <w:tc>
          <w:tcPr>
            <w:tcW w:type="dxa" w:w="144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volume</w:t>
            </w:r>
          </w:p>
        </w:tc>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FLOAT</w:t>
            </w:r>
          </w:p>
        </w:tc>
        <w:tc>
          <w:tcPr>
            <w:tcW w:type="dxa" w:w="2016"/>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None</w:t>
            </w:r>
          </w:p>
        </w:tc>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No</w:t>
            </w:r>
          </w:p>
        </w:tc>
        <w:tc>
          <w:tcPr>
            <w:tcW w:type="dxa" w:w="24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Total aggregate volume of equity shares traded.</w:t>
            </w:r>
          </w:p>
        </w:tc>
      </w:tr>
    </w:tbl>
    <w:p>
      <w:pPr>
        <w:spacing w:before="0" w:after="160" w:line="240" w:lineRule="auto"/>
      </w:pPr>
    </w:p>
    <w:p>
      <w:pPr>
        <w:keepNext/>
        <w:spacing w:before="240" w:after="80"/>
        <w:jc w:val="center"/>
      </w:pPr>
      <w:r>
        <w:rPr>
          <w:rFonts w:ascii="Times New Roman" w:hAnsi="Times New Roman"/>
          <w:b/>
          <w:sz w:val="24"/>
        </w:rPr>
        <w:t>Table 3.5: Data Dictionary: Alert Entity</w:t>
      </w:r>
    </w:p>
    <w:tbl>
      <w:tblPr>
        <w:tblW w:type="auto" w:w="0"/>
        <w:jc w:val="center"/>
        <w:tblLayout w:type="fixed"/>
        <w:tblLook w:firstColumn="1" w:firstRow="1" w:lastColumn="0" w:lastRow="0" w:noHBand="0" w:noVBand="1" w:val="04A0"/>
      </w:tblPr>
      <w:tblGrid>
        <w:gridCol w:w="1734"/>
        <w:gridCol w:w="1734"/>
        <w:gridCol w:w="1734"/>
        <w:gridCol w:w="1734"/>
        <w:gridCol w:w="1734"/>
      </w:tblGrid>
      <w:tr>
        <w:trPr>
          <w:tblHeader/>
          <w:cantSplit/>
        </w:trPr>
        <w:tc>
          <w:tcPr>
            <w:tcW w:type="dxa" w:w="1440"/>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Field Name</w:t>
            </w:r>
          </w:p>
        </w:tc>
        <w:tc>
          <w:tcPr>
            <w:tcW w:type="dxa" w:w="1728"/>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Data Type</w:t>
            </w:r>
          </w:p>
        </w:tc>
        <w:tc>
          <w:tcPr>
            <w:tcW w:type="dxa" w:w="2016"/>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Constraint</w:t>
            </w:r>
          </w:p>
        </w:tc>
        <w:tc>
          <w:tcPr>
            <w:tcW w:type="dxa" w:w="1008"/>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Nullable</w:t>
            </w:r>
          </w:p>
        </w:tc>
        <w:tc>
          <w:tcPr>
            <w:tcW w:type="dxa" w:w="2477"/>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Description</w:t>
            </w:r>
          </w:p>
        </w:tc>
      </w:tr>
      <w:tr>
        <w:trPr>
          <w:cantSplit/>
        </w:trPr>
        <w:tc>
          <w:tcPr>
            <w:tcW w:type="dxa" w:w="144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id</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VARCHAR(36)</w:t>
            </w:r>
          </w:p>
        </w:tc>
        <w:tc>
          <w:tcPr>
            <w:tcW w:type="dxa" w:w="2016"/>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PRIMARY KEY UUID</w:t>
            </w:r>
          </w:p>
        </w:tc>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No</w:t>
            </w:r>
          </w:p>
        </w:tc>
        <w:tc>
          <w:tcPr>
            <w:tcW w:type="dxa" w:w="24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Universally unique identifier for alert record.</w:t>
            </w:r>
          </w:p>
        </w:tc>
      </w:tr>
      <w:tr>
        <w:trPr>
          <w:cantSplit/>
        </w:trPr>
        <w:tc>
          <w:tcPr>
            <w:tcW w:type="dxa" w:w="144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symbol</w:t>
            </w:r>
          </w:p>
        </w:tc>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VARCHAR(16)</w:t>
            </w:r>
          </w:p>
        </w:tc>
        <w:tc>
          <w:tcPr>
            <w:tcW w:type="dxa" w:w="2016"/>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INDEX</w:t>
            </w:r>
          </w:p>
        </w:tc>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No</w:t>
            </w:r>
          </w:p>
        </w:tc>
        <w:tc>
          <w:tcPr>
            <w:tcW w:type="dxa" w:w="24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Stock symbol to monitor.</w:t>
            </w:r>
          </w:p>
        </w:tc>
      </w:tr>
      <w:tr>
        <w:trPr>
          <w:cantSplit/>
        </w:trPr>
        <w:tc>
          <w:tcPr>
            <w:tcW w:type="dxa" w:w="144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condition</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VARCHAR(32)</w:t>
            </w:r>
          </w:p>
        </w:tc>
        <w:tc>
          <w:tcPr>
            <w:tcW w:type="dxa" w:w="2016"/>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None</w:t>
            </w:r>
          </w:p>
        </w:tc>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No</w:t>
            </w:r>
          </w:p>
        </w:tc>
        <w:tc>
          <w:tcPr>
            <w:tcW w:type="dxa" w:w="24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Trigger condition (ABOVE, BELOW, RSI_OVERSOLD, etc.).</w:t>
            </w:r>
          </w:p>
        </w:tc>
      </w:tr>
      <w:tr>
        <w:trPr>
          <w:cantSplit/>
        </w:trPr>
        <w:tc>
          <w:tcPr>
            <w:tcW w:type="dxa" w:w="144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targetValue</w:t>
            </w:r>
          </w:p>
        </w:tc>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FLOAT</w:t>
            </w:r>
          </w:p>
        </w:tc>
        <w:tc>
          <w:tcPr>
            <w:tcW w:type="dxa" w:w="2016"/>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None</w:t>
            </w:r>
          </w:p>
        </w:tc>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No</w:t>
            </w:r>
          </w:p>
        </w:tc>
        <w:tc>
          <w:tcPr>
            <w:tcW w:type="dxa" w:w="24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Numerical threshold for alarm activation.</w:t>
            </w:r>
          </w:p>
        </w:tc>
      </w:tr>
      <w:tr>
        <w:trPr>
          <w:cantSplit/>
        </w:trPr>
        <w:tc>
          <w:tcPr>
            <w:tcW w:type="dxa" w:w="144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isActive</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BOOLEAN</w:t>
            </w:r>
          </w:p>
        </w:tc>
        <w:tc>
          <w:tcPr>
            <w:tcW w:type="dxa" w:w="2016"/>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DEFAULT TRUE</w:t>
            </w:r>
          </w:p>
        </w:tc>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No</w:t>
            </w:r>
          </w:p>
        </w:tc>
        <w:tc>
          <w:tcPr>
            <w:tcW w:type="dxa" w:w="24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Flag indicating whether alarm is actively armed.</w:t>
            </w:r>
          </w:p>
        </w:tc>
      </w:tr>
      <w:tr>
        <w:trPr>
          <w:cantSplit/>
        </w:trPr>
        <w:tc>
          <w:tcPr>
            <w:tcW w:type="dxa" w:w="144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triggered</w:t>
            </w:r>
          </w:p>
        </w:tc>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BOOLEAN</w:t>
            </w:r>
          </w:p>
        </w:tc>
        <w:tc>
          <w:tcPr>
            <w:tcW w:type="dxa" w:w="2016"/>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DEFAULT FALSE</w:t>
            </w:r>
          </w:p>
        </w:tc>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No</w:t>
            </w:r>
          </w:p>
        </w:tc>
        <w:tc>
          <w:tcPr>
            <w:tcW w:type="dxa" w:w="24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Flag indicating whether alarm has fired.</w:t>
            </w:r>
          </w:p>
        </w:tc>
      </w:tr>
      <w:tr>
        <w:trPr>
          <w:cantSplit/>
        </w:trPr>
        <w:tc>
          <w:tcPr>
            <w:tcW w:type="dxa" w:w="144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triggeredAt</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DATETIME</w:t>
            </w:r>
          </w:p>
        </w:tc>
        <w:tc>
          <w:tcPr>
            <w:tcW w:type="dxa" w:w="2016"/>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None</w:t>
            </w:r>
          </w:p>
        </w:tc>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Yes</w:t>
            </w:r>
          </w:p>
        </w:tc>
        <w:tc>
          <w:tcPr>
            <w:tcW w:type="dxa" w:w="24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Timestamp when condition was fulfilled.</w:t>
            </w:r>
          </w:p>
        </w:tc>
      </w:tr>
      <w:tr>
        <w:trPr>
          <w:cantSplit/>
        </w:trPr>
        <w:tc>
          <w:tcPr>
            <w:tcW w:type="dxa" w:w="144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note</w:t>
            </w:r>
          </w:p>
        </w:tc>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TEXT</w:t>
            </w:r>
          </w:p>
        </w:tc>
        <w:tc>
          <w:tcPr>
            <w:tcW w:type="dxa" w:w="2016"/>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None</w:t>
            </w:r>
          </w:p>
        </w:tc>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Yes</w:t>
            </w:r>
          </w:p>
        </w:tc>
        <w:tc>
          <w:tcPr>
            <w:tcW w:type="dxa" w:w="24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Optional user note or trading execution rationale.</w:t>
            </w:r>
          </w:p>
        </w:tc>
      </w:tr>
    </w:tbl>
    <w:p>
      <w:pPr>
        <w:spacing w:before="0" w:after="160" w:line="240" w:lineRule="auto"/>
      </w:pPr>
    </w:p>
    <w:p>
      <w:pPr>
        <w:keepNext/>
        <w:spacing w:before="240" w:after="80"/>
        <w:jc w:val="center"/>
      </w:pPr>
      <w:r>
        <w:rPr>
          <w:rFonts w:ascii="Times New Roman" w:hAnsi="Times New Roman"/>
          <w:b/>
          <w:sz w:val="24"/>
        </w:rPr>
        <w:t>Table 3.6: Data Dictionary: PortfolioPosition Entity</w:t>
      </w:r>
    </w:p>
    <w:tbl>
      <w:tblPr>
        <w:tblW w:type="auto" w:w="0"/>
        <w:jc w:val="center"/>
        <w:tblLayout w:type="fixed"/>
        <w:tblLook w:firstColumn="1" w:firstRow="1" w:lastColumn="0" w:lastRow="0" w:noHBand="0" w:noVBand="1" w:val="04A0"/>
      </w:tblPr>
      <w:tblGrid>
        <w:gridCol w:w="1734"/>
        <w:gridCol w:w="1734"/>
        <w:gridCol w:w="1734"/>
        <w:gridCol w:w="1734"/>
        <w:gridCol w:w="1734"/>
      </w:tblGrid>
      <w:tr>
        <w:trPr>
          <w:tblHeader/>
          <w:cantSplit/>
        </w:trPr>
        <w:tc>
          <w:tcPr>
            <w:tcW w:type="dxa" w:w="1440"/>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Field Name</w:t>
            </w:r>
          </w:p>
        </w:tc>
        <w:tc>
          <w:tcPr>
            <w:tcW w:type="dxa" w:w="1728"/>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Data Type</w:t>
            </w:r>
          </w:p>
        </w:tc>
        <w:tc>
          <w:tcPr>
            <w:tcW w:type="dxa" w:w="2016"/>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Constraint</w:t>
            </w:r>
          </w:p>
        </w:tc>
        <w:tc>
          <w:tcPr>
            <w:tcW w:type="dxa" w:w="1008"/>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Nullable</w:t>
            </w:r>
          </w:p>
        </w:tc>
        <w:tc>
          <w:tcPr>
            <w:tcW w:type="dxa" w:w="2477"/>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Description</w:t>
            </w:r>
          </w:p>
        </w:tc>
      </w:tr>
      <w:tr>
        <w:trPr>
          <w:cantSplit/>
        </w:trPr>
        <w:tc>
          <w:tcPr>
            <w:tcW w:type="dxa" w:w="144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id</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VARCHAR(36)</w:t>
            </w:r>
          </w:p>
        </w:tc>
        <w:tc>
          <w:tcPr>
            <w:tcW w:type="dxa" w:w="2016"/>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PRIMARY KEY UUID</w:t>
            </w:r>
          </w:p>
        </w:tc>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No</w:t>
            </w:r>
          </w:p>
        </w:tc>
        <w:tc>
          <w:tcPr>
            <w:tcW w:type="dxa" w:w="24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Universally unique identifier for position record.</w:t>
            </w:r>
          </w:p>
        </w:tc>
      </w:tr>
      <w:tr>
        <w:trPr>
          <w:cantSplit/>
        </w:trPr>
        <w:tc>
          <w:tcPr>
            <w:tcW w:type="dxa" w:w="144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symbol</w:t>
            </w:r>
          </w:p>
        </w:tc>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VARCHAR(16)</w:t>
            </w:r>
          </w:p>
        </w:tc>
        <w:tc>
          <w:tcPr>
            <w:tcW w:type="dxa" w:w="2016"/>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INDEX</w:t>
            </w:r>
          </w:p>
        </w:tc>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No</w:t>
            </w:r>
          </w:p>
        </w:tc>
        <w:tc>
          <w:tcPr>
            <w:tcW w:type="dxa" w:w="24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Purchased stock symbol.</w:t>
            </w:r>
          </w:p>
        </w:tc>
      </w:tr>
      <w:tr>
        <w:trPr>
          <w:cantSplit/>
        </w:trPr>
        <w:tc>
          <w:tcPr>
            <w:tcW w:type="dxa" w:w="144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buyPrice</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FLOAT</w:t>
            </w:r>
          </w:p>
        </w:tc>
        <w:tc>
          <w:tcPr>
            <w:tcW w:type="dxa" w:w="2016"/>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None</w:t>
            </w:r>
          </w:p>
        </w:tc>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No</w:t>
            </w:r>
          </w:p>
        </w:tc>
        <w:tc>
          <w:tcPr>
            <w:tcW w:type="dxa" w:w="24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Execution purchase price per share in NPR.</w:t>
            </w:r>
          </w:p>
        </w:tc>
      </w:tr>
      <w:tr>
        <w:trPr>
          <w:cantSplit/>
        </w:trPr>
        <w:tc>
          <w:tcPr>
            <w:tcW w:type="dxa" w:w="144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quantity</w:t>
            </w:r>
          </w:p>
        </w:tc>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FLOAT</w:t>
            </w:r>
          </w:p>
        </w:tc>
        <w:tc>
          <w:tcPr>
            <w:tcW w:type="dxa" w:w="2016"/>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None</w:t>
            </w:r>
          </w:p>
        </w:tc>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No</w:t>
            </w:r>
          </w:p>
        </w:tc>
        <w:tc>
          <w:tcPr>
            <w:tcW w:type="dxa" w:w="24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Number of equity shares held.</w:t>
            </w:r>
          </w:p>
        </w:tc>
      </w:tr>
      <w:tr>
        <w:trPr>
          <w:cantSplit/>
        </w:trPr>
        <w:tc>
          <w:tcPr>
            <w:tcW w:type="dxa" w:w="144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buyDate</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DATETIME</w:t>
            </w:r>
          </w:p>
        </w:tc>
        <w:tc>
          <w:tcPr>
            <w:tcW w:type="dxa" w:w="2016"/>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DEFAULT CURRENT_TIMESTAMP</w:t>
            </w:r>
          </w:p>
        </w:tc>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No</w:t>
            </w:r>
          </w:p>
        </w:tc>
        <w:tc>
          <w:tcPr>
            <w:tcW w:type="dxa" w:w="247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Transaction execution date.</w:t>
            </w:r>
          </w:p>
        </w:tc>
      </w:tr>
      <w:tr>
        <w:trPr>
          <w:cantSplit/>
        </w:trPr>
        <w:tc>
          <w:tcPr>
            <w:tcW w:type="dxa" w:w="144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notes</w:t>
            </w:r>
          </w:p>
        </w:tc>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TEXT</w:t>
            </w:r>
          </w:p>
        </w:tc>
        <w:tc>
          <w:tcPr>
            <w:tcW w:type="dxa" w:w="2016"/>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None</w:t>
            </w:r>
          </w:p>
        </w:tc>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Yes</w:t>
            </w:r>
          </w:p>
        </w:tc>
        <w:tc>
          <w:tcPr>
            <w:tcW w:type="dxa" w:w="247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Target investment strategy notes or rationale.</w:t>
            </w:r>
          </w:p>
        </w:tc>
      </w:tr>
    </w:tbl>
    <w:p>
      <w:pPr>
        <w:spacing w:before="0" w:after="160" w:line="240" w:lineRule="auto"/>
      </w:pPr>
    </w:p>
    <w:p>
      <w:pPr>
        <w:keepNext/>
        <w:spacing w:before="240" w:after="80"/>
        <w:jc w:val="center"/>
      </w:pPr>
      <w:r>
        <w:rPr>
          <w:rFonts w:ascii="Times New Roman" w:hAnsi="Times New Roman"/>
          <w:b/>
          <w:sz w:val="24"/>
        </w:rPr>
        <w:t>Table 3.7: Database Indexing Strategy and Query Optimization Matrix</w:t>
      </w:r>
    </w:p>
    <w:tbl>
      <w:tblPr>
        <w:tblW w:type="auto" w:w="0"/>
        <w:jc w:val="center"/>
        <w:tblLayout w:type="fixed"/>
        <w:tblLook w:firstColumn="1" w:firstRow="1" w:lastColumn="0" w:lastRow="0" w:noHBand="0" w:noVBand="1" w:val="04A0"/>
      </w:tblPr>
      <w:tblGrid>
        <w:gridCol w:w="2167"/>
        <w:gridCol w:w="2167"/>
        <w:gridCol w:w="2167"/>
        <w:gridCol w:w="2167"/>
      </w:tblGrid>
      <w:tr>
        <w:trPr>
          <w:tblHeader/>
          <w:cantSplit/>
        </w:trPr>
        <w:tc>
          <w:tcPr>
            <w:tcW w:type="dxa" w:w="1584"/>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Table Name</w:t>
            </w:r>
          </w:p>
        </w:tc>
        <w:tc>
          <w:tcPr>
            <w:tcW w:type="dxa" w:w="1872"/>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Indexed Fields</w:t>
            </w:r>
          </w:p>
        </w:tc>
        <w:tc>
          <w:tcPr>
            <w:tcW w:type="dxa" w:w="1872"/>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Index Type</w:t>
            </w:r>
          </w:p>
        </w:tc>
        <w:tc>
          <w:tcPr>
            <w:tcW w:type="dxa" w:w="3341"/>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Justification &amp; Query Optimization Target</w:t>
            </w:r>
          </w:p>
        </w:tc>
      </w:tr>
      <w:tr>
        <w:trPr>
          <w:cantSplit/>
        </w:trPr>
        <w:tc>
          <w:tcPr>
            <w:tcW w:type="dxa" w:w="158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DailyPrice</w:t>
            </w:r>
          </w:p>
        </w:tc>
        <w:tc>
          <w:tcPr>
            <w:tcW w:type="dxa" w:w="187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(symbol, date)</w:t>
            </w:r>
          </w:p>
        </w:tc>
        <w:tc>
          <w:tcPr>
            <w:tcW w:type="dxa" w:w="187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Composite B-Tree Unique</w:t>
            </w:r>
          </w:p>
        </w:tc>
        <w:tc>
          <w:tcPr>
            <w:tcW w:type="dxa" w:w="3341"/>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Optimizes sliding window historical queries; enforces unique EOD records.</w:t>
            </w:r>
          </w:p>
        </w:tc>
      </w:tr>
      <w:tr>
        <w:trPr>
          <w:cantSplit/>
        </w:trPr>
        <w:tc>
          <w:tcPr>
            <w:tcW w:type="dxa" w:w="158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DailyPrice</w:t>
            </w:r>
          </w:p>
        </w:tc>
        <w:tc>
          <w:tcPr>
            <w:tcW w:type="dxa" w:w="187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(date DESC)</w:t>
            </w:r>
          </w:p>
        </w:tc>
        <w:tc>
          <w:tcPr>
            <w:tcW w:type="dxa" w:w="187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Single Column B-Tree</w:t>
            </w:r>
          </w:p>
        </w:tc>
        <w:tc>
          <w:tcPr>
            <w:tcW w:type="dxa" w:w="3341"/>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Accelerates market-wide Top Gainers, Losers, and Turnover queries.</w:t>
            </w:r>
          </w:p>
        </w:tc>
      </w:tr>
      <w:tr>
        <w:trPr>
          <w:cantSplit/>
        </w:trPr>
        <w:tc>
          <w:tcPr>
            <w:tcW w:type="dxa" w:w="158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Company</w:t>
            </w:r>
          </w:p>
        </w:tc>
        <w:tc>
          <w:tcPr>
            <w:tcW w:type="dxa" w:w="187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sector</w:t>
            </w:r>
          </w:p>
        </w:tc>
        <w:tc>
          <w:tcPr>
            <w:tcW w:type="dxa" w:w="187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Single Column B-Tree</w:t>
            </w:r>
          </w:p>
        </w:tc>
        <w:tc>
          <w:tcPr>
            <w:tcW w:type="dxa" w:w="3341"/>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Accelerates sector-filtered catalog queries and diversification breakdowns.</w:t>
            </w:r>
          </w:p>
        </w:tc>
      </w:tr>
      <w:tr>
        <w:trPr>
          <w:cantSplit/>
        </w:trPr>
        <w:tc>
          <w:tcPr>
            <w:tcW w:type="dxa" w:w="158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Alert</w:t>
            </w:r>
          </w:p>
        </w:tc>
        <w:tc>
          <w:tcPr>
            <w:tcW w:type="dxa" w:w="187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(symbol, isActive)</w:t>
            </w:r>
          </w:p>
        </w:tc>
        <w:tc>
          <w:tcPr>
            <w:tcW w:type="dxa" w:w="187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Composite B-Tree</w:t>
            </w:r>
          </w:p>
        </w:tc>
        <w:tc>
          <w:tcPr>
            <w:tcW w:type="dxa" w:w="3341"/>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Enables sub-5ms lookup of actively armed alerts during tick evaluation passes.</w:t>
            </w:r>
          </w:p>
        </w:tc>
      </w:tr>
      <w:tr>
        <w:trPr>
          <w:cantSplit/>
        </w:trPr>
        <w:tc>
          <w:tcPr>
            <w:tcW w:type="dxa" w:w="158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PortfolioPosition</w:t>
            </w:r>
          </w:p>
        </w:tc>
        <w:tc>
          <w:tcPr>
            <w:tcW w:type="dxa" w:w="187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symbol</w:t>
            </w:r>
          </w:p>
        </w:tc>
        <w:tc>
          <w:tcPr>
            <w:tcW w:type="dxa" w:w="187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Single Column B-Tree</w:t>
            </w:r>
          </w:p>
        </w:tc>
        <w:tc>
          <w:tcPr>
            <w:tcW w:type="dxa" w:w="3341"/>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Speeds up portfolio mark-to-market valuation against live prices.</w:t>
            </w:r>
          </w:p>
        </w:tc>
      </w:tr>
    </w:tbl>
    <w:p>
      <w:pPr>
        <w:spacing w:before="0" w:after="160" w:line="240" w:lineRule="auto"/>
      </w:pPr>
    </w:p>
    <w:p>
      <w:pPr>
        <w:keepNext/>
        <w:spacing w:before="200" w:after="80" w:line="276" w:lineRule="auto"/>
        <w:jc w:val="left"/>
      </w:pPr>
      <w:r>
        <w:rPr>
          <w:rFonts w:ascii="Times New Roman" w:hAnsi="Times New Roman"/>
          <w:b/>
          <w:sz w:val="24"/>
        </w:rPr>
        <w:t>3.2.3 Interface Design (UI/UX Ergonomics &amp; Visual System)</w:t>
      </w:r>
    </w:p>
    <w:p>
      <w:pPr>
        <w:spacing w:before="0" w:after="120" w:line="360" w:lineRule="auto"/>
        <w:jc w:val="both"/>
      </w:pPr>
      <w:r>
        <w:rPr>
          <w:rFonts w:ascii="Times New Roman" w:hAnsi="Times New Roman"/>
          <w:b w:val="0"/>
          <w:i w:val="0"/>
          <w:sz w:val="24"/>
        </w:rPr>
        <w:t>The user interface follows professional financial workstation standards inspired by TradingView and Bloomberg terminals:</w:t>
      </w:r>
    </w:p>
    <w:p>
      <w:pPr>
        <w:spacing w:before="0" w:after="120" w:line="360" w:lineRule="auto"/>
        <w:jc w:val="both"/>
      </w:pPr>
      <w:r>
        <w:rPr>
          <w:rFonts w:ascii="Times New Roman" w:hAnsi="Times New Roman"/>
          <w:b w:val="0"/>
          <w:i w:val="0"/>
          <w:sz w:val="24"/>
        </w:rPr>
        <w:t>• Dark Mode Aesthetic System: Built upon a curated slate palette: Background `#0E1117`, Surface `#1E293B`, Borders `#334155`, Primary Accent `#2563EB`, Bullish Accent `#10B981`, and Bearish Accent `#EF4444`. High-contrast ratios prevent eye fatigue during prolonged analysis sessions.</w:t>
      </w:r>
    </w:p>
    <w:p>
      <w:pPr>
        <w:spacing w:before="0" w:after="120" w:line="360" w:lineRule="auto"/>
        <w:jc w:val="both"/>
      </w:pPr>
      <w:r>
        <w:rPr>
          <w:rFonts w:ascii="Times New Roman" w:hAnsi="Times New Roman"/>
          <w:b w:val="0"/>
          <w:i w:val="0"/>
          <w:sz w:val="24"/>
        </w:rPr>
        <w:t>• Market Ticker Tape: Positioned across the header, displaying live composite index values, percentage change, and market status.</w:t>
      </w:r>
    </w:p>
    <w:p>
      <w:pPr>
        <w:spacing w:before="0" w:after="120" w:line="360" w:lineRule="auto"/>
        <w:jc w:val="both"/>
      </w:pPr>
      <w:r>
        <w:rPr>
          <w:rFonts w:ascii="Times New Roman" w:hAnsi="Times New Roman"/>
          <w:b w:val="0"/>
          <w:i w:val="0"/>
          <w:sz w:val="24"/>
        </w:rPr>
        <w:t>• Charting Workspace: Responsive SVG candlestick and area rendering using Recharts. Includes interactive crosshairs, timeframe toggles (1W, 1M, 3M, 6M, 1Y, ALL), and dynamic overlay switches for EMA 12/26/50, Bollinger Bands, and Volume bars.</w:t>
      </w:r>
    </w:p>
    <w:p>
      <w:pPr>
        <w:spacing w:before="0" w:after="120" w:line="360" w:lineRule="auto"/>
        <w:jc w:val="both"/>
      </w:pPr>
      <w:r>
        <w:rPr>
          <w:rFonts w:ascii="Times New Roman" w:hAnsi="Times New Roman"/>
          <w:b w:val="0"/>
          <w:i w:val="0"/>
          <w:sz w:val="24"/>
        </w:rPr>
        <w:t>• AI Probability Dial: A semi-circular radial gauge rendering real-time model confidence percentages, accompanied by a directional badge and feature contribution bars.</w:t>
      </w:r>
    </w:p>
    <w:p>
      <w:pPr>
        <w:spacing w:before="0" w:after="120" w:line="360" w:lineRule="auto"/>
        <w:jc w:val="both"/>
      </w:pPr>
      <w:r>
        <w:rPr>
          <w:rFonts w:ascii="Times New Roman" w:hAnsi="Times New Roman"/>
          <w:b w:val="0"/>
          <w:i w:val="0"/>
          <w:sz w:val="24"/>
        </w:rPr>
        <w:t>• Market Movers Screener: Real-time 4-column leaderboards for Top Gainers, Losers, Turnover, and Volume, plus an Advance/Decline breadth ratio bar.</w:t>
      </w:r>
    </w:p>
    <w:p>
      <w:pPr>
        <w:spacing w:before="0" w:after="120" w:line="360" w:lineRule="auto"/>
        <w:jc w:val="both"/>
      </w:pPr>
      <w:r>
        <w:rPr>
          <w:rFonts w:ascii="Times New Roman" w:hAnsi="Times New Roman"/>
          <w:b w:val="0"/>
          <w:i w:val="0"/>
          <w:sz w:val="24"/>
        </w:rPr>
        <w:t>• Paper Trading Portfolio: Holdings ledger calculating investment value, market value, unrealized PnL, and sector allocation progress bars.</w:t>
      </w:r>
    </w:p>
    <w:p>
      <w:pPr>
        <w:spacing w:before="0" w:after="120" w:line="360" w:lineRule="auto"/>
        <w:jc w:val="both"/>
      </w:pPr>
      <w:r>
        <w:rPr>
          <w:rFonts w:ascii="Times New Roman" w:hAnsi="Times New Roman"/>
          <w:b w:val="0"/>
          <w:i w:val="0"/>
          <w:sz w:val="24"/>
        </w:rPr>
        <w:t>• Multi-Stock Comparison Modal: Benchmarking modal comparing valuation, volatility, and AI sentiment across up to 3 securities simultaneously.</w:t>
      </w:r>
    </w:p>
    <w:p>
      <w:pPr>
        <w:keepNext/>
        <w:spacing w:before="200" w:after="80" w:line="276" w:lineRule="auto"/>
        <w:jc w:val="left"/>
      </w:pPr>
      <w:r>
        <w:rPr>
          <w:rFonts w:ascii="Times New Roman" w:hAnsi="Times New Roman"/>
          <w:b/>
          <w:sz w:val="24"/>
        </w:rPr>
        <w:t>3.2.4 Component and Deployment Architecture</w:t>
      </w:r>
    </w:p>
    <w:p>
      <w:pPr>
        <w:spacing w:before="0" w:after="120" w:line="360" w:lineRule="auto"/>
        <w:jc w:val="both"/>
      </w:pPr>
      <w:r>
        <w:rPr>
          <w:rFonts w:ascii="Times New Roman" w:hAnsi="Times New Roman"/>
          <w:b w:val="0"/>
          <w:i w:val="0"/>
          <w:sz w:val="24"/>
        </w:rPr>
        <w:t>The physical deployment architecture leverages containerization principles:</w:t>
      </w:r>
    </w:p>
    <w:p>
      <w:pPr>
        <w:spacing w:before="0" w:after="120" w:line="360" w:lineRule="auto"/>
        <w:jc w:val="both"/>
      </w:pPr>
      <w:r>
        <w:rPr>
          <w:rFonts w:ascii="Times New Roman" w:hAnsi="Times New Roman"/>
          <w:b w:val="0"/>
          <w:i w:val="0"/>
          <w:sz w:val="24"/>
        </w:rPr>
        <w:t>• Frontend Container: Nginx web server serving pre-built production static Vite bundles.</w:t>
      </w:r>
    </w:p>
    <w:p>
      <w:pPr>
        <w:spacing w:before="0" w:after="120" w:line="360" w:lineRule="auto"/>
        <w:jc w:val="both"/>
      </w:pPr>
      <w:r>
        <w:rPr>
          <w:rFonts w:ascii="Times New Roman" w:hAnsi="Times New Roman"/>
          <w:b w:val="0"/>
          <w:i w:val="0"/>
          <w:sz w:val="24"/>
        </w:rPr>
        <w:t>• Application Core Container: Node.js 20 LTS runtime executing the compiled NestJS application.</w:t>
      </w:r>
    </w:p>
    <w:p>
      <w:pPr>
        <w:spacing w:before="0" w:after="120" w:line="360" w:lineRule="auto"/>
        <w:jc w:val="both"/>
      </w:pPr>
      <w:r>
        <w:rPr>
          <w:rFonts w:ascii="Times New Roman" w:hAnsi="Times New Roman"/>
          <w:b w:val="0"/>
          <w:i w:val="0"/>
          <w:sz w:val="24"/>
        </w:rPr>
        <w:t>• Machine Learning Container: Python 3.10 runtime executing Uvicorn with FastAPI workers, PyTorch, and XGBoost.</w:t>
      </w:r>
    </w:p>
    <w:p>
      <w:pPr>
        <w:spacing w:before="0" w:after="120" w:line="360" w:lineRule="auto"/>
        <w:jc w:val="both"/>
      </w:pPr>
      <w:r>
        <w:rPr>
          <w:rFonts w:ascii="Times New Roman" w:hAnsi="Times New Roman"/>
          <w:b w:val="0"/>
          <w:i w:val="0"/>
          <w:sz w:val="24"/>
        </w:rPr>
        <w:t>• Reverse Proxy / Gateway: Nginx reverse proxy routing `/api/*` traffic to NestJS and serving frontend static files.</w:t>
      </w:r>
    </w:p>
    <w:p>
      <w:pPr>
        <w:spacing w:before="80" w:after="240"/>
        <w:jc w:val="center"/>
      </w:pPr>
      <w:r>
        <w:rPr>
          <w:rFonts w:ascii="Times New Roman" w:hAnsi="Times New Roman"/>
          <w:b/>
          <w:sz w:val="24"/>
        </w:rPr>
        <w:t>Figure 3.9: Component Architecture Diagram of Frontend and Backend Microservices</w:t>
      </w:r>
    </w:p>
    <w:p>
      <w:pPr>
        <w:spacing w:before="80" w:after="240"/>
        <w:jc w:val="center"/>
      </w:pPr>
      <w:r>
        <w:rPr>
          <w:rFonts w:ascii="Times New Roman" w:hAnsi="Times New Roman"/>
          <w:b/>
          <w:sz w:val="24"/>
        </w:rPr>
        <w:t>Figure 3.10: Physical Deployment Topology across Docker Container Environments</w:t>
      </w:r>
    </w:p>
    <w:p>
      <w:pPr>
        <w:keepNext/>
        <w:spacing w:before="280" w:after="120" w:line="276" w:lineRule="auto"/>
        <w:jc w:val="left"/>
      </w:pPr>
      <w:r>
        <w:rPr>
          <w:rFonts w:ascii="Times New Roman" w:hAnsi="Times New Roman"/>
          <w:b/>
          <w:sz w:val="28"/>
        </w:rPr>
        <w:t>3.3 Algorithm Details</w:t>
      </w:r>
    </w:p>
    <w:p>
      <w:pPr>
        <w:keepNext/>
        <w:spacing w:before="200" w:after="80" w:line="276" w:lineRule="auto"/>
        <w:jc w:val="left"/>
      </w:pPr>
      <w:r>
        <w:rPr>
          <w:rFonts w:ascii="Times New Roman" w:hAnsi="Times New Roman"/>
          <w:b/>
          <w:sz w:val="24"/>
        </w:rPr>
        <w:t>3.3.1 Mathematical Formulations of Technical Indicators</w:t>
      </w:r>
    </w:p>
    <w:p>
      <w:pPr>
        <w:spacing w:before="0" w:after="120" w:line="360" w:lineRule="auto"/>
        <w:jc w:val="both"/>
      </w:pPr>
      <w:r>
        <w:rPr>
          <w:rFonts w:ascii="Times New Roman" w:hAnsi="Times New Roman"/>
          <w:b w:val="0"/>
          <w:i w:val="0"/>
          <w:sz w:val="24"/>
        </w:rPr>
        <w:t>The technical indicators are calculated sequentially with linear O(N) time complexity:</w:t>
      </w:r>
    </w:p>
    <w:p>
      <w:pPr>
        <w:spacing w:before="0" w:after="120" w:line="360" w:lineRule="auto"/>
        <w:jc w:val="both"/>
      </w:pPr>
      <w:r>
        <w:rPr>
          <w:rFonts w:ascii="Times New Roman" w:hAnsi="Times New Roman"/>
          <w:b w:val="0"/>
          <w:i w:val="0"/>
          <w:sz w:val="24"/>
        </w:rPr>
        <w:t>• Exponential Moving Average: Initialized with SMA_N, then iteratively updated via EMA_t = (Close_t * α) + (EMA_{t-1} * (1 - α)), where α = 2 / (N + 1).</w:t>
      </w:r>
    </w:p>
    <w:p>
      <w:pPr>
        <w:spacing w:before="0" w:after="120" w:line="360" w:lineRule="auto"/>
        <w:jc w:val="both"/>
      </w:pPr>
      <w:r>
        <w:rPr>
          <w:rFonts w:ascii="Times New Roman" w:hAnsi="Times New Roman"/>
          <w:b w:val="0"/>
          <w:i w:val="0"/>
          <w:sz w:val="24"/>
        </w:rPr>
        <w:t>• Wilder's Smoothed Average Gain/Loss: Uses exponential decay with α = 1/14, yielding smooth RSI bounds resilient to single-day outlier spikes.</w:t>
      </w:r>
    </w:p>
    <w:p>
      <w:pPr>
        <w:spacing w:before="0" w:after="120" w:line="360" w:lineRule="auto"/>
        <w:jc w:val="both"/>
      </w:pPr>
      <w:r>
        <w:rPr>
          <w:rFonts w:ascii="Times New Roman" w:hAnsi="Times New Roman"/>
          <w:b w:val="0"/>
          <w:i w:val="0"/>
          <w:sz w:val="24"/>
        </w:rPr>
        <w:t>• Bollinger Bands: Evaluates rolling variance over a 20-session window, setting upper and lower envelopes at ±2 standard deviations.</w:t>
      </w:r>
    </w:p>
    <w:p>
      <w:pPr>
        <w:keepNext/>
        <w:spacing w:before="200" w:after="80" w:line="276" w:lineRule="auto"/>
        <w:jc w:val="left"/>
      </w:pPr>
      <w:r>
        <w:rPr>
          <w:rFonts w:ascii="Times New Roman" w:hAnsi="Times New Roman"/>
          <w:b/>
          <w:sz w:val="24"/>
        </w:rPr>
        <w:t>3.3.2 Two-Stage Hybrid LSTM-XGBoost Architecture</w:t>
      </w:r>
    </w:p>
    <w:p>
      <w:pPr>
        <w:spacing w:before="0" w:after="120" w:line="360" w:lineRule="auto"/>
        <w:jc w:val="both"/>
      </w:pPr>
      <w:r>
        <w:rPr>
          <w:rFonts w:ascii="Times New Roman" w:hAnsi="Times New Roman"/>
          <w:b w:val="0"/>
          <w:i w:val="0"/>
          <w:sz w:val="24"/>
        </w:rPr>
        <w:t>The detailed mathematical specification of the two-stage predictive pipeline is:</w:t>
      </w:r>
    </w:p>
    <w:p>
      <w:pPr>
        <w:spacing w:before="0" w:after="120" w:line="360" w:lineRule="auto"/>
        <w:jc w:val="both"/>
      </w:pPr>
      <w:r>
        <w:rPr>
          <w:rFonts w:ascii="Times New Roman" w:hAnsi="Times New Roman"/>
          <w:b w:val="0"/>
          <w:i w:val="0"/>
          <w:sz w:val="24"/>
        </w:rPr>
        <w:t>Stage 1 (PyTorch LSTM Sequence Embedding):</w:t>
      </w:r>
    </w:p>
    <w:p>
      <w:pPr>
        <w:spacing w:before="0" w:after="120" w:line="360" w:lineRule="auto"/>
        <w:jc w:val="both"/>
      </w:pPr>
      <w:r>
        <w:rPr>
          <w:rFonts w:ascii="Times New Roman" w:hAnsi="Times New Roman"/>
          <w:b w:val="0"/>
          <w:i w:val="0"/>
          <w:sz w:val="24"/>
        </w:rPr>
        <w:t>• Input Tensor: Sliding window X_seq ∈ ℝ^{B x 30 x 5} containing scaled [Open, High, Low, Close, Volume] normalized via standard z-score normalization:</w:t>
      </w:r>
    </w:p>
    <w:p>
      <w:pPr>
        <w:spacing w:before="0" w:after="120" w:line="360" w:lineRule="auto"/>
        <w:jc w:val="both"/>
      </w:pPr>
      <w:r>
        <w:rPr>
          <w:rFonts w:ascii="Times New Roman" w:hAnsi="Times New Roman"/>
          <w:b w:val="0"/>
          <w:i w:val="0"/>
          <w:sz w:val="24"/>
        </w:rPr>
        <w:t xml:space="preserve">    z = (x - μ) / σ</w:t>
      </w:r>
    </w:p>
    <w:p>
      <w:pPr>
        <w:spacing w:before="0" w:after="120" w:line="360" w:lineRule="auto"/>
        <w:jc w:val="both"/>
      </w:pPr>
      <w:r>
        <w:rPr>
          <w:rFonts w:ascii="Times New Roman" w:hAnsi="Times New Roman"/>
          <w:b w:val="0"/>
          <w:i w:val="0"/>
          <w:sz w:val="24"/>
        </w:rPr>
        <w:t>• LSTM Layer: 1 hidden layer with hidden_dim=16, batch_first=True.</w:t>
      </w:r>
    </w:p>
    <w:p>
      <w:pPr>
        <w:spacing w:before="0" w:after="120" w:line="360" w:lineRule="auto"/>
        <w:jc w:val="both"/>
      </w:pPr>
      <w:r>
        <w:rPr>
          <w:rFonts w:ascii="Times New Roman" w:hAnsi="Times New Roman"/>
          <w:b w:val="0"/>
          <w:i w:val="0"/>
          <w:sz w:val="24"/>
        </w:rPr>
        <w:t>• Forward Pass: Out, (hn, cn) = self.lstm(X_seq). The final hidden state vector h_30 = hn[-1] ∈ ℝ^{B x 16} represents the dense temporal embedding.</w:t>
      </w:r>
    </w:p>
    <w:p>
      <w:pPr>
        <w:spacing w:before="0" w:after="120" w:line="360" w:lineRule="auto"/>
        <w:jc w:val="both"/>
      </w:pPr>
      <w:r>
        <w:rPr>
          <w:rFonts w:ascii="Times New Roman" w:hAnsi="Times New Roman"/>
          <w:b w:val="0"/>
          <w:i w:val="0"/>
          <w:sz w:val="24"/>
        </w:rPr>
        <w:t>Stage 2 (Feature Concatenation &amp; XGBoost Classification):</w:t>
      </w:r>
    </w:p>
    <w:p>
      <w:pPr>
        <w:spacing w:before="0" w:after="120" w:line="360" w:lineRule="auto"/>
        <w:jc w:val="both"/>
      </w:pPr>
      <w:r>
        <w:rPr>
          <w:rFonts w:ascii="Times New Roman" w:hAnsi="Times New Roman"/>
          <w:b w:val="0"/>
          <w:i w:val="0"/>
          <w:sz w:val="24"/>
        </w:rPr>
        <w:t>• Feature Concatenation: The 16-D embedding is horizontally concatenated with 8 engineered technical indicators:</w:t>
        <w:br/>
        <w:t xml:space="preserve">    X_combined = [ h_30  ||  [RSI_14, MACD_line, MACD_signal, MACD_hist, EMA_12, EMA_26, EMA_50, Volume_delta] ] ∈ ℝ^{B x 24}</w:t>
      </w:r>
    </w:p>
    <w:p>
      <w:pPr>
        <w:spacing w:before="0" w:after="120" w:line="360" w:lineRule="auto"/>
        <w:jc w:val="both"/>
      </w:pPr>
      <w:r>
        <w:rPr>
          <w:rFonts w:ascii="Times New Roman" w:hAnsi="Times New Roman"/>
          <w:b w:val="0"/>
          <w:i w:val="0"/>
          <w:sz w:val="24"/>
        </w:rPr>
        <w:t>• XGBoost Softprob Objective: Trained with multi:softprob objective over 3 target classes: 0 (Bearish), 1 (Neutral), 2 (Bullish).</w:t>
      </w:r>
    </w:p>
    <w:p>
      <w:pPr>
        <w:spacing w:before="0" w:after="120" w:line="360" w:lineRule="auto"/>
        <w:jc w:val="both"/>
      </w:pPr>
      <w:r>
        <w:rPr>
          <w:rFonts w:ascii="Times New Roman" w:hAnsi="Times New Roman"/>
          <w:b w:val="0"/>
          <w:i w:val="0"/>
          <w:sz w:val="24"/>
        </w:rPr>
        <w:t>• Probability Softmax Calibration:</w:t>
        <w:br/>
        <w:t xml:space="preserve">    P(y = c | X_combined) = exp(f_c(X)) / ∑_{j=0}^{2} exp(f_j(X))</w:t>
      </w:r>
    </w:p>
    <w:p>
      <w:pPr>
        <w:spacing w:before="0" w:after="120" w:line="360" w:lineRule="auto"/>
        <w:jc w:val="both"/>
      </w:pPr>
      <w:r>
        <w:rPr>
          <w:rFonts w:ascii="Times New Roman" w:hAnsi="Times New Roman"/>
          <w:b w:val="0"/>
          <w:i w:val="0"/>
          <w:sz w:val="24"/>
        </w:rPr>
        <w:t>The class with the highest probability determines the signal, and its value represents prediction confidence.</w:t>
      </w:r>
    </w:p>
    <w:p>
      <w:pPr>
        <w:spacing w:before="80" w:after="240"/>
        <w:jc w:val="center"/>
      </w:pPr>
      <w:r>
        <w:rPr>
          <w:rFonts w:ascii="Times New Roman" w:hAnsi="Times New Roman"/>
          <w:b/>
          <w:sz w:val="24"/>
        </w:rPr>
        <w:t>Figure 3.11: Two-Stage Hybrid LSTM-XGBoost Feature Concatenation Architecture</w:t>
      </w:r>
    </w:p>
    <w:p>
      <w:pPr>
        <w:keepNext/>
        <w:spacing w:before="200" w:after="80" w:line="276" w:lineRule="auto"/>
        <w:jc w:val="left"/>
      </w:pPr>
      <w:r>
        <w:rPr>
          <w:rFonts w:ascii="Times New Roman" w:hAnsi="Times New Roman"/>
          <w:b/>
          <w:sz w:val="24"/>
        </w:rPr>
        <w:t>3.3.3 Real-Time Multi-Condition Alert Evaluation Engine</w:t>
      </w:r>
    </w:p>
    <w:p>
      <w:pPr>
        <w:spacing w:before="0" w:after="120" w:line="360" w:lineRule="auto"/>
        <w:jc w:val="both"/>
      </w:pPr>
      <w:r>
        <w:rPr>
          <w:rFonts w:ascii="Times New Roman" w:hAnsi="Times New Roman"/>
          <w:b w:val="0"/>
          <w:i w:val="0"/>
          <w:sz w:val="24"/>
        </w:rPr>
        <w:t>The alert engine executes deterministic rule matching across active records:</w:t>
      </w:r>
    </w:p>
    <w:p>
      <w:pPr>
        <w:spacing w:before="0" w:after="120" w:line="360" w:lineRule="auto"/>
        <w:jc w:val="both"/>
      </w:pPr>
      <w:r>
        <w:rPr>
          <w:rFonts w:ascii="Times New Roman" w:hAnsi="Times New Roman"/>
          <w:b w:val="0"/>
          <w:i w:val="0"/>
          <w:sz w:val="24"/>
        </w:rPr>
        <w:t>• Condition ABOVE: Current Price &gt;= Target Value</w:t>
        <w:br/>
        <w:t>• Condition BELOW: Current Price &lt;= Target Value</w:t>
        <w:br/>
        <w:t>• Condition RSI_OVERSOLD: Current RSI &lt;= Target Value (e.g. 30)</w:t>
        <w:br/>
        <w:t>• Condition RSI_OVERBOUGHT: Current RSI &gt;= Target Value (e.g. 70)</w:t>
        <w:br/>
        <w:t>• Condition MACD_BULLISH_CROSS: Prev MACD Hist &lt;= 0 and Current MACD Hist &gt; 0</w:t>
        <w:br/>
        <w:t>• Condition MACD_BEARISH_CROSS: Prev MACD Hist &gt;= 0 and Current MACD Hist &lt; 0</w:t>
      </w:r>
    </w:p>
    <w:p>
      <w:pPr>
        <w:spacing w:before="0" w:after="120" w:line="360" w:lineRule="auto"/>
        <w:jc w:val="both"/>
      </w:pPr>
      <w:r>
        <w:rPr>
          <w:rFonts w:ascii="Times New Roman" w:hAnsi="Times New Roman"/>
          <w:b w:val="0"/>
          <w:i w:val="0"/>
          <w:sz w:val="24"/>
        </w:rPr>
        <w:t>When satisfied, the record is flagged triggered=true, triggeredAt is stamped, and notification events are dispatched.</w:t>
      </w:r>
    </w:p>
    <w:p>
      <w:pPr>
        <w:keepNext/>
        <w:spacing w:before="200" w:after="80" w:line="276" w:lineRule="auto"/>
        <w:jc w:val="left"/>
      </w:pPr>
      <w:r>
        <w:rPr>
          <w:rFonts w:ascii="Times New Roman" w:hAnsi="Times New Roman"/>
          <w:b/>
          <w:sz w:val="24"/>
        </w:rPr>
        <w:t>3.3.4 Empirical Signal Backtesting Simulation Algorithm</w:t>
      </w:r>
    </w:p>
    <w:p>
      <w:pPr>
        <w:spacing w:before="0" w:after="120" w:line="360" w:lineRule="auto"/>
        <w:jc w:val="both"/>
      </w:pPr>
      <w:r>
        <w:rPr>
          <w:rFonts w:ascii="Times New Roman" w:hAnsi="Times New Roman"/>
          <w:b w:val="0"/>
          <w:i w:val="0"/>
          <w:sz w:val="24"/>
        </w:rPr>
        <w:t>The backtesting algorithm verifies the historical efficacy of technical momentum signals over the past 60 sessions:</w:t>
      </w:r>
    </w:p>
    <w:p>
      <w:pPr>
        <w:spacing w:before="0" w:after="120" w:line="360" w:lineRule="auto"/>
        <w:jc w:val="both"/>
      </w:pPr>
      <w:r>
        <w:rPr>
          <w:rFonts w:ascii="Times New Roman" w:hAnsi="Times New Roman"/>
          <w:b w:val="0"/>
          <w:i w:val="0"/>
          <w:sz w:val="24"/>
        </w:rPr>
        <w:t>1. For session t ∈ [0, 55], evaluate if momentum indicators generated a Bullish or Bearish trigger.</w:t>
        <w:br/>
        <w:t>2. Calculate 5-session forward return: Return_{t+5} = (Close_{t+5} - Close_t) / Close_t.</w:t>
        <w:br/>
        <w:t>3. If Bullish and Return_{t+5} &gt; 0: Record Win. If Bullish and Return_{t+5} &lt;= 0: Record Loss.</w:t>
        <w:br/>
        <w:t>4. If Bearish and Return_{t+5} &lt; 0: Record Win. If Bearish and Return_{t+5} &gt;= 0: Record Loss.</w:t>
        <w:br/>
        <w:t>5. Compute aggregate metrics:</w:t>
        <w:br/>
        <w:t xml:space="preserve">    Win Rate % = (Wins / Total Signals) * 100</w:t>
        <w:br/>
        <w:t xml:space="preserve">    Profit Factor = Gross Profits / |Gross Losses|</w:t>
        <w:br/>
        <w:t xml:space="preserve">    Maximum Drawdown (MDD) = Max Peak-to-Trough Decline</w:t>
      </w:r>
    </w:p>
    <w:p>
      <w:pPr>
        <w:keepNext/>
        <w:spacing w:before="200" w:after="80" w:line="276" w:lineRule="auto"/>
        <w:jc w:val="left"/>
      </w:pPr>
      <w:r>
        <w:rPr>
          <w:rFonts w:ascii="Times New Roman" w:hAnsi="Times New Roman"/>
          <w:b/>
          <w:sz w:val="24"/>
        </w:rPr>
        <w:t>3.3.5 Monte Carlo Volatility Envelope Simulation Algorithm</w:t>
      </w:r>
    </w:p>
    <w:p>
      <w:pPr>
        <w:spacing w:before="0" w:after="120" w:line="360" w:lineRule="auto"/>
        <w:jc w:val="both"/>
      </w:pPr>
      <w:r>
        <w:rPr>
          <w:rFonts w:ascii="Times New Roman" w:hAnsi="Times New Roman"/>
          <w:b w:val="0"/>
          <w:i w:val="0"/>
          <w:sz w:val="24"/>
        </w:rPr>
        <w:t>The 5-day price projection envelope models asset price drift under Geometric Brownian Motion (GBM):</w:t>
      </w:r>
    </w:p>
    <w:p>
      <w:pPr>
        <w:spacing w:before="0" w:after="120" w:line="360" w:lineRule="auto"/>
        <w:jc w:val="both"/>
      </w:pPr>
      <w:r>
        <w:rPr>
          <w:rFonts w:ascii="Times New Roman" w:hAnsi="Times New Roman"/>
          <w:b w:val="0"/>
          <w:i w:val="0"/>
          <w:sz w:val="24"/>
        </w:rPr>
        <w:t xml:space="preserve">    S_{t+Δt} = S_t * exp( (μ - 0.5 * σ^2) * Δt + σ * sqrt(Δt) * Z )</w:t>
      </w:r>
    </w:p>
    <w:p>
      <w:pPr>
        <w:spacing w:before="0" w:after="120" w:line="360" w:lineRule="auto"/>
        <w:jc w:val="both"/>
      </w:pPr>
      <w:r>
        <w:rPr>
          <w:rFonts w:ascii="Times New Roman" w:hAnsi="Times New Roman"/>
          <w:b w:val="0"/>
          <w:i w:val="0"/>
          <w:sz w:val="24"/>
        </w:rPr>
        <w:t>where μ is historical annualized drift, σ is 30-day historical volatility, and Z ~ N(0, 1). Upper and lower 95% confidence bounds (±1.96 standard deviations) are computed over a 5-day forward horizon, providing realistic risk boundaries.</w:t>
      </w:r>
    </w:p>
    <w:p>
      <w:pPr>
        <w:spacing w:before="80" w:after="240"/>
        <w:jc w:val="center"/>
      </w:pPr>
      <w:r>
        <w:rPr>
          <w:rFonts w:ascii="Times New Roman" w:hAnsi="Times New Roman"/>
          <w:b/>
          <w:sz w:val="24"/>
        </w:rPr>
        <w:t>Figure 3.12: Parametric Volatility Drift Cone and 5-Day Confidence Projection</w:t>
      </w:r>
    </w:p>
    <w:p>
      <w:r>
        <w:br w:type="page"/>
      </w:r>
    </w:p>
    <w:p>
      <w:pPr>
        <w:keepNext/>
        <w:spacing w:before="360" w:after="200" w:line="276" w:lineRule="auto"/>
        <w:jc w:val="left"/>
      </w:pPr>
      <w:r>
        <w:rPr>
          <w:rFonts w:ascii="Times New Roman" w:hAnsi="Times New Roman"/>
          <w:b/>
          <w:sz w:val="32"/>
        </w:rPr>
        <w:t>CHAPTER 4: IMPLEMENTATION AND TESTING</w:t>
      </w:r>
    </w:p>
    <w:p>
      <w:pPr>
        <w:keepNext/>
        <w:spacing w:before="280" w:after="120" w:line="276" w:lineRule="auto"/>
        <w:jc w:val="left"/>
      </w:pPr>
      <w:r>
        <w:rPr>
          <w:rFonts w:ascii="Times New Roman" w:hAnsi="Times New Roman"/>
          <w:b/>
          <w:sz w:val="28"/>
        </w:rPr>
        <w:t>4.1 Implementation</w:t>
      </w:r>
    </w:p>
    <w:p>
      <w:pPr>
        <w:keepNext/>
        <w:spacing w:before="200" w:after="80" w:line="276" w:lineRule="auto"/>
        <w:jc w:val="left"/>
      </w:pPr>
      <w:r>
        <w:rPr>
          <w:rFonts w:ascii="Times New Roman" w:hAnsi="Times New Roman"/>
          <w:b/>
          <w:sz w:val="24"/>
        </w:rPr>
        <w:t>4.1.1 Tools and Platforms Used</w:t>
      </w:r>
    </w:p>
    <w:p>
      <w:pPr>
        <w:spacing w:before="0" w:after="120" w:line="360" w:lineRule="auto"/>
        <w:jc w:val="both"/>
      </w:pPr>
      <w:r>
        <w:rPr>
          <w:rFonts w:ascii="Times New Roman" w:hAnsi="Times New Roman"/>
          <w:b w:val="0"/>
          <w:i w:val="0"/>
          <w:sz w:val="24"/>
        </w:rPr>
        <w:t>The implementation leverages modern, battle-tested software frameworks across each architectural layer:</w:t>
      </w:r>
    </w:p>
    <w:p>
      <w:pPr>
        <w:keepNext/>
        <w:spacing w:before="240" w:after="80"/>
        <w:jc w:val="center"/>
      </w:pPr>
      <w:r>
        <w:rPr>
          <w:rFonts w:ascii="Times New Roman" w:hAnsi="Times New Roman"/>
          <w:b/>
          <w:sz w:val="24"/>
        </w:rPr>
        <w:t>Table 4.1: Software Development Stack, Frameworks, and CASE Tools</w:t>
      </w:r>
    </w:p>
    <w:tbl>
      <w:tblPr>
        <w:tblW w:type="auto" w:w="0"/>
        <w:jc w:val="center"/>
        <w:tblLayout w:type="fixed"/>
        <w:tblLook w:firstColumn="1" w:firstRow="1" w:lastColumn="0" w:lastRow="0" w:noHBand="0" w:noVBand="1" w:val="04A0"/>
      </w:tblPr>
      <w:tblGrid>
        <w:gridCol w:w="1734"/>
        <w:gridCol w:w="1734"/>
        <w:gridCol w:w="1734"/>
        <w:gridCol w:w="1734"/>
        <w:gridCol w:w="1734"/>
      </w:tblGrid>
      <w:tr>
        <w:trPr>
          <w:tblHeader/>
          <w:cantSplit/>
        </w:trPr>
        <w:tc>
          <w:tcPr>
            <w:tcW w:type="dxa" w:w="1584"/>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Tier / Category</w:t>
            </w:r>
          </w:p>
        </w:tc>
        <w:tc>
          <w:tcPr>
            <w:tcW w:type="dxa" w:w="1728"/>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Technology / Library</w:t>
            </w:r>
          </w:p>
        </w:tc>
        <w:tc>
          <w:tcPr>
            <w:tcW w:type="dxa" w:w="1008"/>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Version</w:t>
            </w:r>
          </w:p>
        </w:tc>
        <w:tc>
          <w:tcPr>
            <w:tcW w:type="dxa" w:w="1008"/>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License</w:t>
            </w:r>
          </w:p>
        </w:tc>
        <w:tc>
          <w:tcPr>
            <w:tcW w:type="dxa" w:w="3341"/>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Project Role &amp; Functionality</w:t>
            </w:r>
          </w:p>
        </w:tc>
      </w:tr>
      <w:tr>
        <w:trPr>
          <w:cantSplit/>
        </w:trPr>
        <w:tc>
          <w:tcPr>
            <w:tcW w:type="dxa" w:w="158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Frontend Framework</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React</w:t>
            </w:r>
          </w:p>
        </w:tc>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19.0.0</w:t>
            </w:r>
          </w:p>
        </w:tc>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MIT</w:t>
            </w:r>
          </w:p>
        </w:tc>
        <w:tc>
          <w:tcPr>
            <w:tcW w:type="dxa" w:w="3341"/>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Core Single Page Application component tree rendering.</w:t>
            </w:r>
          </w:p>
        </w:tc>
      </w:tr>
      <w:tr>
        <w:trPr>
          <w:cantSplit/>
        </w:trPr>
        <w:tc>
          <w:tcPr>
            <w:tcW w:type="dxa" w:w="158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Frontend Bundler</w:t>
            </w:r>
          </w:p>
        </w:tc>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Vite</w:t>
            </w:r>
          </w:p>
        </w:tc>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6.1.0</w:t>
            </w:r>
          </w:p>
        </w:tc>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MIT</w:t>
            </w:r>
          </w:p>
        </w:tc>
        <w:tc>
          <w:tcPr>
            <w:tcW w:type="dxa" w:w="3341"/>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Ultra-fast ESM build tool, dev server, and Hot Module Replacement.</w:t>
            </w:r>
          </w:p>
        </w:tc>
      </w:tr>
      <w:tr>
        <w:trPr>
          <w:cantSplit/>
        </w:trPr>
        <w:tc>
          <w:tcPr>
            <w:tcW w:type="dxa" w:w="158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Styling System</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Tailwind CSS</w:t>
            </w:r>
          </w:p>
        </w:tc>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3.4.17</w:t>
            </w:r>
          </w:p>
        </w:tc>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MIT</w:t>
            </w:r>
          </w:p>
        </w:tc>
        <w:tc>
          <w:tcPr>
            <w:tcW w:type="dxa" w:w="3341"/>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Utility-first responsive CSS framework, dark-mode design system.</w:t>
            </w:r>
          </w:p>
        </w:tc>
      </w:tr>
      <w:tr>
        <w:trPr>
          <w:cantSplit/>
        </w:trPr>
        <w:tc>
          <w:tcPr>
            <w:tcW w:type="dxa" w:w="158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Charting Library</w:t>
            </w:r>
          </w:p>
        </w:tc>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Recharts</w:t>
            </w:r>
          </w:p>
        </w:tc>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2.15.0</w:t>
            </w:r>
          </w:p>
        </w:tc>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MIT</w:t>
            </w:r>
          </w:p>
        </w:tc>
        <w:tc>
          <w:tcPr>
            <w:tcW w:type="dxa" w:w="3341"/>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Declarative vector SVG candlestick, area, volume, and line charts.</w:t>
            </w:r>
          </w:p>
        </w:tc>
      </w:tr>
      <w:tr>
        <w:trPr>
          <w:cantSplit/>
        </w:trPr>
        <w:tc>
          <w:tcPr>
            <w:tcW w:type="dxa" w:w="158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Audio Synthesis</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Web Audio API</w:t>
            </w:r>
          </w:p>
        </w:tc>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W3C Std</w:t>
            </w:r>
          </w:p>
        </w:tc>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Open Web</w:t>
            </w:r>
          </w:p>
        </w:tc>
        <w:tc>
          <w:tcPr>
            <w:tcW w:type="dxa" w:w="3341"/>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Zero-dependency client-side acoustic chime synthesis for alerts.</w:t>
            </w:r>
          </w:p>
        </w:tc>
      </w:tr>
      <w:tr>
        <w:trPr>
          <w:cantSplit/>
        </w:trPr>
        <w:tc>
          <w:tcPr>
            <w:tcW w:type="dxa" w:w="158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Backend Framework</w:t>
            </w:r>
          </w:p>
        </w:tc>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NestJS</w:t>
            </w:r>
          </w:p>
        </w:tc>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11.0.1</w:t>
            </w:r>
          </w:p>
        </w:tc>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MIT</w:t>
            </w:r>
          </w:p>
        </w:tc>
        <w:tc>
          <w:tcPr>
            <w:tcW w:type="dxa" w:w="3341"/>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Modular enterprise TypeScript server for REST APIs and cron daemons.</w:t>
            </w:r>
          </w:p>
        </w:tc>
      </w:tr>
      <w:tr>
        <w:trPr>
          <w:cantSplit/>
        </w:trPr>
        <w:tc>
          <w:tcPr>
            <w:tcW w:type="dxa" w:w="158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HTTP Server</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Express</w:t>
            </w:r>
          </w:p>
        </w:tc>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5.0.0</w:t>
            </w:r>
          </w:p>
        </w:tc>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MIT</w:t>
            </w:r>
          </w:p>
        </w:tc>
        <w:tc>
          <w:tcPr>
            <w:tcW w:type="dxa" w:w="3341"/>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Underlying HTTP request dispatcher and middleware pipeline.</w:t>
            </w:r>
          </w:p>
        </w:tc>
      </w:tr>
      <w:tr>
        <w:trPr>
          <w:cantSplit/>
        </w:trPr>
        <w:tc>
          <w:tcPr>
            <w:tcW w:type="dxa" w:w="158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Database ORM</w:t>
            </w:r>
          </w:p>
        </w:tc>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Prisma ORM</w:t>
            </w:r>
          </w:p>
        </w:tc>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6.2.1</w:t>
            </w:r>
          </w:p>
        </w:tc>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Apache 2.0</w:t>
            </w:r>
          </w:p>
        </w:tc>
        <w:tc>
          <w:tcPr>
            <w:tcW w:type="dxa" w:w="3341"/>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Type-safe database abstraction, schema migrations, and client querying.</w:t>
            </w:r>
          </w:p>
        </w:tc>
      </w:tr>
      <w:tr>
        <w:trPr>
          <w:cantSplit/>
        </w:trPr>
        <w:tc>
          <w:tcPr>
            <w:tcW w:type="dxa" w:w="158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Database Engine</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SQLite / PostgreSQL</w:t>
            </w:r>
          </w:p>
        </w:tc>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3.45 / 16</w:t>
            </w:r>
          </w:p>
        </w:tc>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Open / BSD</w:t>
            </w:r>
          </w:p>
        </w:tc>
        <w:tc>
          <w:tcPr>
            <w:tcW w:type="dxa" w:w="3341"/>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Dual persistence engine for zero-dependency local and cloud storage.</w:t>
            </w:r>
          </w:p>
        </w:tc>
      </w:tr>
      <w:tr>
        <w:trPr>
          <w:cantSplit/>
        </w:trPr>
        <w:tc>
          <w:tcPr>
            <w:tcW w:type="dxa" w:w="158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Data Scraping</w:t>
            </w:r>
          </w:p>
        </w:tc>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@rumess/nepse-api</w:t>
            </w:r>
          </w:p>
        </w:tc>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2.1.0</w:t>
            </w:r>
          </w:p>
        </w:tc>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MIT</w:t>
            </w:r>
          </w:p>
        </w:tc>
        <w:tc>
          <w:tcPr>
            <w:tcW w:type="dxa" w:w="3341"/>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NEPSE EOD data wrapper with custom TLS handshake bypass.</w:t>
            </w:r>
          </w:p>
        </w:tc>
      </w:tr>
      <w:tr>
        <w:trPr>
          <w:cantSplit/>
        </w:trPr>
        <w:tc>
          <w:tcPr>
            <w:tcW w:type="dxa" w:w="158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ML Framework</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PyTorch</w:t>
            </w:r>
          </w:p>
        </w:tc>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2.6.0</w:t>
            </w:r>
          </w:p>
        </w:tc>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BSD-3</w:t>
            </w:r>
          </w:p>
        </w:tc>
        <w:tc>
          <w:tcPr>
            <w:tcW w:type="dxa" w:w="3341"/>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Deep learning LSTM sequence feature extraction tensor operations.</w:t>
            </w:r>
          </w:p>
        </w:tc>
      </w:tr>
      <w:tr>
        <w:trPr>
          <w:cantSplit/>
        </w:trPr>
        <w:tc>
          <w:tcPr>
            <w:tcW w:type="dxa" w:w="158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Gradient Boosting</w:t>
            </w:r>
          </w:p>
        </w:tc>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XGBoost</w:t>
            </w:r>
          </w:p>
        </w:tc>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2.1.3</w:t>
            </w:r>
          </w:p>
        </w:tc>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Apache 2.0</w:t>
            </w:r>
          </w:p>
        </w:tc>
        <w:tc>
          <w:tcPr>
            <w:tcW w:type="dxa" w:w="3341"/>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Extreme gradient boosted decision tree softprob classification.</w:t>
            </w:r>
          </w:p>
        </w:tc>
      </w:tr>
      <w:tr>
        <w:trPr>
          <w:cantSplit/>
        </w:trPr>
        <w:tc>
          <w:tcPr>
            <w:tcW w:type="dxa" w:w="158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ML API Server</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FastAPI &amp; Uvicorn</w:t>
            </w:r>
          </w:p>
        </w:tc>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0.115 / 0.34</w:t>
            </w:r>
          </w:p>
        </w:tc>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MIT / BSD</w:t>
            </w:r>
          </w:p>
        </w:tc>
        <w:tc>
          <w:tcPr>
            <w:tcW w:type="dxa" w:w="3341"/>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Asynchronous Python HTTP microservice for model inference.</w:t>
            </w:r>
          </w:p>
        </w:tc>
      </w:tr>
      <w:tr>
        <w:trPr>
          <w:cantSplit/>
        </w:trPr>
        <w:tc>
          <w:tcPr>
            <w:tcW w:type="dxa" w:w="158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CASE Modeling</w:t>
            </w:r>
          </w:p>
        </w:tc>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Draw.io &amp; PlantUML</w:t>
            </w:r>
          </w:p>
        </w:tc>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Online</w:t>
            </w:r>
          </w:p>
        </w:tc>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Open</w:t>
            </w:r>
          </w:p>
        </w:tc>
        <w:tc>
          <w:tcPr>
            <w:tcW w:type="dxa" w:w="3341"/>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UML software architecture, ER diagrams, and sequence flow modeling.</w:t>
            </w:r>
          </w:p>
        </w:tc>
      </w:tr>
    </w:tbl>
    <w:p>
      <w:pPr>
        <w:spacing w:before="0" w:after="160" w:line="240" w:lineRule="auto"/>
      </w:pPr>
    </w:p>
    <w:p>
      <w:pPr>
        <w:keepNext/>
        <w:spacing w:before="200" w:after="80" w:line="276" w:lineRule="auto"/>
        <w:jc w:val="left"/>
      </w:pPr>
      <w:r>
        <w:rPr>
          <w:rFonts w:ascii="Times New Roman" w:hAnsi="Times New Roman"/>
          <w:b/>
          <w:sz w:val="24"/>
        </w:rPr>
        <w:t>4.1.2 Module Implementation Details</w:t>
      </w:r>
    </w:p>
    <w:p>
      <w:pPr>
        <w:spacing w:before="0" w:after="120" w:line="360" w:lineRule="auto"/>
        <w:jc w:val="both"/>
      </w:pPr>
      <w:r>
        <w:rPr>
          <w:rFonts w:ascii="Times New Roman" w:hAnsi="Times New Roman"/>
          <w:b w:val="0"/>
          <w:i w:val="0"/>
          <w:sz w:val="24"/>
        </w:rPr>
        <w:t>1. StockModule (NestJS Application Core):</w:t>
        <w:br/>
        <w:t>Encapsulates StockController and StockService. Responsible for cataloging securities, extracting 52-week high/low boundaries, computing 30-day annualized volatility, and generating real-time quotes. It implements getTopMovers() which filters the latest trading session to produce real-time leaderboards for Top Gainers, Top Losers, Turnover, and Volume.</w:t>
      </w:r>
    </w:p>
    <w:p>
      <w:pPr>
        <w:spacing w:before="0" w:after="120" w:line="360" w:lineRule="auto"/>
        <w:jc w:val="both"/>
      </w:pPr>
      <w:r>
        <w:rPr>
          <w:rFonts w:ascii="Times New Roman" w:hAnsi="Times New Roman"/>
          <w:b w:val="0"/>
          <w:i w:val="0"/>
          <w:sz w:val="24"/>
        </w:rPr>
        <w:t>2. AlertsModule (NestJS Application Core):</w:t>
        <w:br/>
        <w:t>Manages complete CRUD lifecycle for user alerts. It exposes GET /api/v1/alerts, POST /api/v1/alerts, DELETE /api/v1/alerts/:id, and PATCH /api/v1/alerts/:id/toggle. Crucially, it implements the evaluateAlerts() service method, which is invoked automatically whenever market prices are updated or when triggered by the client, evaluating active alerts against latest price and indicator metrics.</w:t>
      </w:r>
    </w:p>
    <w:p>
      <w:pPr>
        <w:spacing w:before="0" w:after="120" w:line="360" w:lineRule="auto"/>
        <w:jc w:val="both"/>
      </w:pPr>
      <w:r>
        <w:rPr>
          <w:rFonts w:ascii="Times New Roman" w:hAnsi="Times New Roman"/>
          <w:b w:val="0"/>
          <w:i w:val="0"/>
          <w:sz w:val="24"/>
        </w:rPr>
        <w:t>3. PortfolioModule (NestJS Application Core):</w:t>
        <w:br/>
        <w:t>Implements simulated paper trading management. It exposes endpoints to record buy positions, delete liquidated holdings, and compute a real-time portfolio summary. The service calculates total investment cost, current market value, unrealized profit/loss (NPR and %), day return, and aggregates holdings by industrial sector to compute capital allocation percentages.</w:t>
      </w:r>
    </w:p>
    <w:p>
      <w:pPr>
        <w:spacing w:before="0" w:after="120" w:line="360" w:lineRule="auto"/>
        <w:jc w:val="both"/>
      </w:pPr>
      <w:r>
        <w:rPr>
          <w:rFonts w:ascii="Times New Roman" w:hAnsi="Times New Roman"/>
          <w:b w:val="0"/>
          <w:i w:val="0"/>
          <w:sz w:val="24"/>
        </w:rPr>
        <w:t>4. PredictionModule (NestJS Application Core):</w:t>
        <w:br/>
        <w:t>Acts as the intelligent bridge between the application core and the Python ML microservice. When a prediction is requested, PredictionService verifies whether the Python microservice is online. If online, it formats the 30-day OHLCV tensor and dispatches an HTTP POST to FastAPI /predict. If the Python microservice is offline or unreachable, PredictionService seamlessly invokes a local quantitative momentum fallback matrix, ensuring 100% uninterrupted response.</w:t>
      </w:r>
    </w:p>
    <w:p>
      <w:pPr>
        <w:spacing w:before="0" w:after="120" w:line="360" w:lineRule="auto"/>
        <w:jc w:val="both"/>
      </w:pPr>
      <w:r>
        <w:rPr>
          <w:rFonts w:ascii="Times New Roman" w:hAnsi="Times New Roman"/>
          <w:b w:val="0"/>
          <w:i w:val="0"/>
          <w:sz w:val="24"/>
        </w:rPr>
        <w:t>5. FastAPI Machine Learning Engine (Python Microservice):</w:t>
        <w:br/>
        <w:t>Implements HybridModel in hybrid_model.py. It maintains a PyTorch LSTMFeatureExtractor module that processes sequential price tensors X ∈ ℝ^{B x 30 x 5} into 16-dimensional embeddings. It concatenates these embeddings with 8 technical indicators and fits an XGBClassifier with multi:softprob objective. The service exposes POST /predict and POST /train endpoints.</w:t>
      </w:r>
    </w:p>
    <w:p>
      <w:pPr>
        <w:spacing w:before="0" w:after="120" w:line="360" w:lineRule="auto"/>
        <w:jc w:val="both"/>
      </w:pPr>
      <w:r>
        <w:rPr>
          <w:rFonts w:ascii="Times New Roman" w:hAnsi="Times New Roman"/>
          <w:b w:val="0"/>
          <w:i w:val="0"/>
          <w:sz w:val="24"/>
        </w:rPr>
        <w:t>6. Frontend Financial Terminal (React 19 + Vite 6):</w:t>
        <w:br/>
        <w:t>The client application orchestrates three custom React hooks: useStockData, useAlerts, and usePortfolio. It provides seamless tabbed navigation across Overview, AI Insights, Technical Analysis, Market Screener, Paper Portfolio, and Sector Breakdown. It implements FinancialChart.tsx with vector candlestick rendering, Bollinger Bands, and CSV download, PriceAlertModal.tsx for alarm creation, and audioAlarm.ts for Web Audio API chime synthesis.</w:t>
      </w:r>
    </w:p>
    <w:p>
      <w:pPr>
        <w:keepNext/>
        <w:spacing w:before="280" w:after="120" w:line="276" w:lineRule="auto"/>
        <w:jc w:val="left"/>
      </w:pPr>
      <w:r>
        <w:rPr>
          <w:rFonts w:ascii="Times New Roman" w:hAnsi="Times New Roman"/>
          <w:b/>
          <w:sz w:val="28"/>
        </w:rPr>
        <w:t>4.2 Testing</w:t>
      </w:r>
    </w:p>
    <w:p>
      <w:pPr>
        <w:keepNext/>
        <w:spacing w:before="200" w:after="80" w:line="276" w:lineRule="auto"/>
        <w:jc w:val="left"/>
      </w:pPr>
      <w:r>
        <w:rPr>
          <w:rFonts w:ascii="Times New Roman" w:hAnsi="Times New Roman"/>
          <w:b/>
          <w:sz w:val="24"/>
        </w:rPr>
        <w:t>4.2.1 Unit Testing</w:t>
      </w:r>
    </w:p>
    <w:p>
      <w:pPr>
        <w:spacing w:before="0" w:after="120" w:line="360" w:lineRule="auto"/>
        <w:jc w:val="both"/>
      </w:pPr>
      <w:r>
        <w:rPr>
          <w:rFonts w:ascii="Times New Roman" w:hAnsi="Times New Roman"/>
          <w:b w:val="0"/>
          <w:i w:val="0"/>
          <w:sz w:val="24"/>
        </w:rPr>
        <w:t>Unit testing was executed across backend services, mathematical formulas, and ML tensor operations using Jest (TypeScript) and PyTest (Python):</w:t>
      </w:r>
    </w:p>
    <w:p>
      <w:pPr>
        <w:keepNext/>
        <w:spacing w:before="240" w:after="80"/>
        <w:jc w:val="center"/>
      </w:pPr>
      <w:r>
        <w:rPr>
          <w:rFonts w:ascii="Times New Roman" w:hAnsi="Times New Roman"/>
          <w:b/>
          <w:sz w:val="24"/>
        </w:rPr>
        <w:t>Table 4.2: Unit Test Suite Specifications and Execution Results</w:t>
      </w:r>
    </w:p>
    <w:tbl>
      <w:tblPr>
        <w:tblW w:type="auto" w:w="0"/>
        <w:jc w:val="center"/>
        <w:tblLayout w:type="fixed"/>
        <w:tblLook w:firstColumn="1" w:firstRow="1" w:lastColumn="0" w:lastRow="0" w:noHBand="0" w:noVBand="1" w:val="04A0"/>
      </w:tblPr>
      <w:tblGrid>
        <w:gridCol w:w="1445"/>
        <w:gridCol w:w="1445"/>
        <w:gridCol w:w="1445"/>
        <w:gridCol w:w="1445"/>
        <w:gridCol w:w="1445"/>
        <w:gridCol w:w="1445"/>
      </w:tblGrid>
      <w:tr>
        <w:trPr>
          <w:tblHeader/>
          <w:cantSplit/>
        </w:trPr>
        <w:tc>
          <w:tcPr>
            <w:tcW w:type="dxa" w:w="1008"/>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center"/>
            </w:pPr>
            <w:r>
              <w:rPr>
                <w:rFonts w:ascii="Times New Roman" w:hAnsi="Times New Roman"/>
                <w:b/>
                <w:color w:val="FFFFFF"/>
                <w:sz w:val="21"/>
              </w:rPr>
              <w:t>Test ID</w:t>
            </w:r>
          </w:p>
        </w:tc>
        <w:tc>
          <w:tcPr>
            <w:tcW w:type="dxa" w:w="1728"/>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Component Under Test</w:t>
            </w:r>
          </w:p>
        </w:tc>
        <w:tc>
          <w:tcPr>
            <w:tcW w:type="dxa" w:w="1872"/>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Functionality Tested</w:t>
            </w:r>
          </w:p>
        </w:tc>
        <w:tc>
          <w:tcPr>
            <w:tcW w:type="dxa" w:w="1584"/>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Input Data</w:t>
            </w:r>
          </w:p>
        </w:tc>
        <w:tc>
          <w:tcPr>
            <w:tcW w:type="dxa" w:w="1613"/>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Expected Output Specification</w:t>
            </w:r>
          </w:p>
        </w:tc>
        <w:tc>
          <w:tcPr>
            <w:tcW w:type="dxa" w:w="864"/>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center"/>
            </w:pPr>
            <w:r>
              <w:rPr>
                <w:rFonts w:ascii="Times New Roman" w:hAnsi="Times New Roman"/>
                <w:b/>
                <w:color w:val="FFFFFF"/>
                <w:sz w:val="21"/>
              </w:rPr>
              <w:t>Status</w:t>
            </w:r>
          </w:p>
        </w:tc>
      </w:tr>
      <w:tr>
        <w:trPr>
          <w:cantSplit/>
        </w:trPr>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UT-01</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StockService</w:t>
            </w:r>
          </w:p>
        </w:tc>
        <w:tc>
          <w:tcPr>
            <w:tcW w:type="dxa" w:w="187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EMA 12 Calculation</w:t>
            </w:r>
          </w:p>
        </w:tc>
        <w:tc>
          <w:tcPr>
            <w:tcW w:type="dxa" w:w="158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Array of 60 closing prices</w:t>
            </w:r>
          </w:p>
        </w:tc>
        <w:tc>
          <w:tcPr>
            <w:tcW w:type="dxa" w:w="1613"/>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EMA array with first 11 indices null; correct α smoothing.</w:t>
            </w:r>
          </w:p>
        </w:tc>
        <w:tc>
          <w:tcPr>
            <w:tcW w:type="dxa" w:w="86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color w:val="108040"/>
                <w:sz w:val="20"/>
              </w:rPr>
              <w:t>PASSED</w:t>
            </w:r>
          </w:p>
        </w:tc>
      </w:tr>
      <w:tr>
        <w:trPr>
          <w:cantSplit/>
        </w:trPr>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UT-02</w:t>
            </w:r>
          </w:p>
        </w:tc>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StockService</w:t>
            </w:r>
          </w:p>
        </w:tc>
        <w:tc>
          <w:tcPr>
            <w:tcW w:type="dxa" w:w="187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EMA 26 Calculation</w:t>
            </w:r>
          </w:p>
        </w:tc>
        <w:tc>
          <w:tcPr>
            <w:tcW w:type="dxa" w:w="158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Array of 60 closing prices</w:t>
            </w:r>
          </w:p>
        </w:tc>
        <w:tc>
          <w:tcPr>
            <w:tcW w:type="dxa" w:w="1613"/>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EMA array with first 25 indices null; correct α smoothing.</w:t>
            </w:r>
          </w:p>
        </w:tc>
        <w:tc>
          <w:tcPr>
            <w:tcW w:type="dxa" w:w="86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color w:val="108040"/>
                <w:sz w:val="20"/>
              </w:rPr>
              <w:t>PASSED</w:t>
            </w:r>
          </w:p>
        </w:tc>
      </w:tr>
      <w:tr>
        <w:trPr>
          <w:cantSplit/>
        </w:trPr>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UT-03</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StockService</w:t>
            </w:r>
          </w:p>
        </w:tc>
        <w:tc>
          <w:tcPr>
            <w:tcW w:type="dxa" w:w="187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Wilder’s RSI 14</w:t>
            </w:r>
          </w:p>
        </w:tc>
        <w:tc>
          <w:tcPr>
            <w:tcW w:type="dxa" w:w="158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Array of 60 closing prices</w:t>
            </w:r>
          </w:p>
        </w:tc>
        <w:tc>
          <w:tcPr>
            <w:tcW w:type="dxa" w:w="1613"/>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RSI values strictly bounded in [0, 100]; accurate smoothing.</w:t>
            </w:r>
          </w:p>
        </w:tc>
        <w:tc>
          <w:tcPr>
            <w:tcW w:type="dxa" w:w="86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color w:val="108040"/>
                <w:sz w:val="20"/>
              </w:rPr>
              <w:t>PASSED</w:t>
            </w:r>
          </w:p>
        </w:tc>
      </w:tr>
      <w:tr>
        <w:trPr>
          <w:cantSplit/>
        </w:trPr>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UT-04</w:t>
            </w:r>
          </w:p>
        </w:tc>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StockService</w:t>
            </w:r>
          </w:p>
        </w:tc>
        <w:tc>
          <w:tcPr>
            <w:tcW w:type="dxa" w:w="187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MACD Histogram</w:t>
            </w:r>
          </w:p>
        </w:tc>
        <w:tc>
          <w:tcPr>
            <w:tcW w:type="dxa" w:w="158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Array of 60 closing prices</w:t>
            </w:r>
          </w:p>
        </w:tc>
        <w:tc>
          <w:tcPr>
            <w:tcW w:type="dxa" w:w="1613"/>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MACD Line - Signal Line matches histogram exactly.</w:t>
            </w:r>
          </w:p>
        </w:tc>
        <w:tc>
          <w:tcPr>
            <w:tcW w:type="dxa" w:w="86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color w:val="108040"/>
                <w:sz w:val="20"/>
              </w:rPr>
              <w:t>PASSED</w:t>
            </w:r>
          </w:p>
        </w:tc>
      </w:tr>
      <w:tr>
        <w:trPr>
          <w:cantSplit/>
        </w:trPr>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UT-05</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StockService</w:t>
            </w:r>
          </w:p>
        </w:tc>
        <w:tc>
          <w:tcPr>
            <w:tcW w:type="dxa" w:w="187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Bollinger Bands</w:t>
            </w:r>
          </w:p>
        </w:tc>
        <w:tc>
          <w:tcPr>
            <w:tcW w:type="dxa" w:w="158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Array of 60 closing prices</w:t>
            </w:r>
          </w:p>
        </w:tc>
        <w:tc>
          <w:tcPr>
            <w:tcW w:type="dxa" w:w="1613"/>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Upper Band &gt; Middle Band &gt; Lower Band across all bars.</w:t>
            </w:r>
          </w:p>
        </w:tc>
        <w:tc>
          <w:tcPr>
            <w:tcW w:type="dxa" w:w="86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color w:val="108040"/>
                <w:sz w:val="20"/>
              </w:rPr>
              <w:t>PASSED</w:t>
            </w:r>
          </w:p>
        </w:tc>
      </w:tr>
      <w:tr>
        <w:trPr>
          <w:cantSplit/>
        </w:trPr>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UT-06</w:t>
            </w:r>
          </w:p>
        </w:tc>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StockService</w:t>
            </w:r>
          </w:p>
        </w:tc>
        <w:tc>
          <w:tcPr>
            <w:tcW w:type="dxa" w:w="187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Top Movers Ranking</w:t>
            </w:r>
          </w:p>
        </w:tc>
        <w:tc>
          <w:tcPr>
            <w:tcW w:type="dxa" w:w="158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649 stocks with price changes</w:t>
            </w:r>
          </w:p>
        </w:tc>
        <w:tc>
          <w:tcPr>
            <w:tcW w:type="dxa" w:w="1613"/>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Top 5 gainers sorted descending; top losers ascending.</w:t>
            </w:r>
          </w:p>
        </w:tc>
        <w:tc>
          <w:tcPr>
            <w:tcW w:type="dxa" w:w="86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color w:val="108040"/>
                <w:sz w:val="20"/>
              </w:rPr>
              <w:t>PASSED</w:t>
            </w:r>
          </w:p>
        </w:tc>
      </w:tr>
      <w:tr>
        <w:trPr>
          <w:cantSplit/>
        </w:trPr>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UT-07</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AlertsService</w:t>
            </w:r>
          </w:p>
        </w:tc>
        <w:tc>
          <w:tcPr>
            <w:tcW w:type="dxa" w:w="187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Price Above Trigger</w:t>
            </w:r>
          </w:p>
        </w:tc>
        <w:tc>
          <w:tcPr>
            <w:tcW w:type="dxa" w:w="158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Target: Rs. 500, LTP: Rs. 506.42</w:t>
            </w:r>
          </w:p>
        </w:tc>
        <w:tc>
          <w:tcPr>
            <w:tcW w:type="dxa" w:w="1613"/>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isActive=true, condition ABOVE triggers; triggered=true.</w:t>
            </w:r>
          </w:p>
        </w:tc>
        <w:tc>
          <w:tcPr>
            <w:tcW w:type="dxa" w:w="86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color w:val="108040"/>
                <w:sz w:val="20"/>
              </w:rPr>
              <w:t>PASSED</w:t>
            </w:r>
          </w:p>
        </w:tc>
      </w:tr>
      <w:tr>
        <w:trPr>
          <w:cantSplit/>
        </w:trPr>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UT-08</w:t>
            </w:r>
          </w:p>
        </w:tc>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AlertsService</w:t>
            </w:r>
          </w:p>
        </w:tc>
        <w:tc>
          <w:tcPr>
            <w:tcW w:type="dxa" w:w="187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Price Below Trigger</w:t>
            </w:r>
          </w:p>
        </w:tc>
        <w:tc>
          <w:tcPr>
            <w:tcW w:type="dxa" w:w="158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Target: Rs. 400, LTP: Rs. 506.42</w:t>
            </w:r>
          </w:p>
        </w:tc>
        <w:tc>
          <w:tcPr>
            <w:tcW w:type="dxa" w:w="1613"/>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Condition not met; alert remains untriggered.</w:t>
            </w:r>
          </w:p>
        </w:tc>
        <w:tc>
          <w:tcPr>
            <w:tcW w:type="dxa" w:w="86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color w:val="108040"/>
                <w:sz w:val="20"/>
              </w:rPr>
              <w:t>PASSED</w:t>
            </w:r>
          </w:p>
        </w:tc>
      </w:tr>
      <w:tr>
        <w:trPr>
          <w:cantSplit/>
        </w:trPr>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UT-09</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AlertsService</w:t>
            </w:r>
          </w:p>
        </w:tc>
        <w:tc>
          <w:tcPr>
            <w:tcW w:type="dxa" w:w="187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RSI Oversold Trigger</w:t>
            </w:r>
          </w:p>
        </w:tc>
        <w:tc>
          <w:tcPr>
            <w:tcW w:type="dxa" w:w="158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Target: 30, Current RSI: 28.4</w:t>
            </w:r>
          </w:p>
        </w:tc>
        <w:tc>
          <w:tcPr>
            <w:tcW w:type="dxa" w:w="1613"/>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Trigger flag set to true; notification payload created.</w:t>
            </w:r>
          </w:p>
        </w:tc>
        <w:tc>
          <w:tcPr>
            <w:tcW w:type="dxa" w:w="86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color w:val="108040"/>
                <w:sz w:val="20"/>
              </w:rPr>
              <w:t>PASSED</w:t>
            </w:r>
          </w:p>
        </w:tc>
      </w:tr>
      <w:tr>
        <w:trPr>
          <w:cantSplit/>
        </w:trPr>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UT-10</w:t>
            </w:r>
          </w:p>
        </w:tc>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PortfolioService</w:t>
            </w:r>
          </w:p>
        </w:tc>
        <w:tc>
          <w:tcPr>
            <w:tcW w:type="dxa" w:w="187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Unrealized PnL Math</w:t>
            </w:r>
          </w:p>
        </w:tc>
        <w:tc>
          <w:tcPr>
            <w:tcW w:type="dxa" w:w="158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100 shares @ Rs. 480, LTP: Rs. 506.42</w:t>
            </w:r>
          </w:p>
        </w:tc>
        <w:tc>
          <w:tcPr>
            <w:tcW w:type="dxa" w:w="1613"/>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PnL = +Rs. 2,642.00 (+5.50%); market value = Rs. 50,642.</w:t>
            </w:r>
          </w:p>
        </w:tc>
        <w:tc>
          <w:tcPr>
            <w:tcW w:type="dxa" w:w="86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color w:val="108040"/>
                <w:sz w:val="20"/>
              </w:rPr>
              <w:t>PASSED</w:t>
            </w:r>
          </w:p>
        </w:tc>
      </w:tr>
      <w:tr>
        <w:trPr>
          <w:cantSplit/>
        </w:trPr>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UT-11</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PortfolioService</w:t>
            </w:r>
          </w:p>
        </w:tc>
        <w:tc>
          <w:tcPr>
            <w:tcW w:type="dxa" w:w="187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Sector Allocation %</w:t>
            </w:r>
          </w:p>
        </w:tc>
        <w:tc>
          <w:tcPr>
            <w:tcW w:type="dxa" w:w="158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NABIL (Bank): 50k, CHCL (Hydro): 50k</w:t>
            </w:r>
          </w:p>
        </w:tc>
        <w:tc>
          <w:tcPr>
            <w:tcW w:type="dxa" w:w="1613"/>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Commercial Banks: 50.0%, Hydropower: 50.0%.</w:t>
            </w:r>
          </w:p>
        </w:tc>
        <w:tc>
          <w:tcPr>
            <w:tcW w:type="dxa" w:w="86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color w:val="108040"/>
                <w:sz w:val="20"/>
              </w:rPr>
              <w:t>PASSED</w:t>
            </w:r>
          </w:p>
        </w:tc>
      </w:tr>
      <w:tr>
        <w:trPr>
          <w:cantSplit/>
        </w:trPr>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UT-12</w:t>
            </w:r>
          </w:p>
        </w:tc>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AudioAlarm</w:t>
            </w:r>
          </w:p>
        </w:tc>
        <w:tc>
          <w:tcPr>
            <w:tcW w:type="dxa" w:w="187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Web Audio Synthesis</w:t>
            </w:r>
          </w:p>
        </w:tc>
        <w:tc>
          <w:tcPr>
            <w:tcW w:type="dxa" w:w="158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Sound trigger event</w:t>
            </w:r>
          </w:p>
        </w:tc>
        <w:tc>
          <w:tcPr>
            <w:tcW w:type="dxa" w:w="1613"/>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AudioContext creates D5-&gt;F#5-&gt;A5 chord envelope.</w:t>
            </w:r>
          </w:p>
        </w:tc>
        <w:tc>
          <w:tcPr>
            <w:tcW w:type="dxa" w:w="86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color w:val="108040"/>
                <w:sz w:val="20"/>
              </w:rPr>
              <w:t>PASSED</w:t>
            </w:r>
          </w:p>
        </w:tc>
      </w:tr>
      <w:tr>
        <w:trPr>
          <w:cantSplit/>
        </w:trPr>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UT-13</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LSTMFeatureExtractor</w:t>
            </w:r>
          </w:p>
        </w:tc>
        <w:tc>
          <w:tcPr>
            <w:tcW w:type="dxa" w:w="187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Tensor Embedding Shape</w:t>
            </w:r>
          </w:p>
        </w:tc>
        <w:tc>
          <w:tcPr>
            <w:tcW w:type="dxa" w:w="158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Input tensor (batch=1, seq=30, dim=5)</w:t>
            </w:r>
          </w:p>
        </w:tc>
        <w:tc>
          <w:tcPr>
            <w:tcW w:type="dxa" w:w="1613"/>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Outputs 16-dimensional embedding tensor (1, 16).</w:t>
            </w:r>
          </w:p>
        </w:tc>
        <w:tc>
          <w:tcPr>
            <w:tcW w:type="dxa" w:w="86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color w:val="108040"/>
                <w:sz w:val="20"/>
              </w:rPr>
              <w:t>PASSED</w:t>
            </w:r>
          </w:p>
        </w:tc>
      </w:tr>
      <w:tr>
        <w:trPr>
          <w:cantSplit/>
        </w:trPr>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UT-14</w:t>
            </w:r>
          </w:p>
        </w:tc>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XGBoost Classifier</w:t>
            </w:r>
          </w:p>
        </w:tc>
        <w:tc>
          <w:tcPr>
            <w:tcW w:type="dxa" w:w="187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Softprob Output</w:t>
            </w:r>
          </w:p>
        </w:tc>
        <w:tc>
          <w:tcPr>
            <w:tcW w:type="dxa" w:w="158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24-dimensional combined feature vector</w:t>
            </w:r>
          </w:p>
        </w:tc>
        <w:tc>
          <w:tcPr>
            <w:tcW w:type="dxa" w:w="1613"/>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3-element probability array summing strictly to 1.0.</w:t>
            </w:r>
          </w:p>
        </w:tc>
        <w:tc>
          <w:tcPr>
            <w:tcW w:type="dxa" w:w="86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color w:val="108040"/>
                <w:sz w:val="20"/>
              </w:rPr>
              <w:t>PASSED</w:t>
            </w:r>
          </w:p>
        </w:tc>
      </w:tr>
      <w:tr>
        <w:trPr>
          <w:cantSplit/>
        </w:trPr>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UT-15</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PredictionService</w:t>
            </w:r>
          </w:p>
        </w:tc>
        <w:tc>
          <w:tcPr>
            <w:tcW w:type="dxa" w:w="187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Microservice Fallback</w:t>
            </w:r>
          </w:p>
        </w:tc>
        <w:tc>
          <w:tcPr>
            <w:tcW w:type="dxa" w:w="158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Simulated FastAPI 500 server error</w:t>
            </w:r>
          </w:p>
        </w:tc>
        <w:tc>
          <w:tcPr>
            <w:tcW w:type="dxa" w:w="1613"/>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Gracefully falls back to heuristic momentum response.</w:t>
            </w:r>
          </w:p>
        </w:tc>
        <w:tc>
          <w:tcPr>
            <w:tcW w:type="dxa" w:w="86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color w:val="108040"/>
                <w:sz w:val="20"/>
              </w:rPr>
              <w:t>PASSED</w:t>
            </w:r>
          </w:p>
        </w:tc>
      </w:tr>
      <w:tr>
        <w:trPr>
          <w:cantSplit/>
        </w:trPr>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UT-16</w:t>
            </w:r>
          </w:p>
        </w:tc>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CSV Export Utility</w:t>
            </w:r>
          </w:p>
        </w:tc>
        <w:tc>
          <w:tcPr>
            <w:tcW w:type="dxa" w:w="187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Data Serialization</w:t>
            </w:r>
          </w:p>
        </w:tc>
        <w:tc>
          <w:tcPr>
            <w:tcW w:type="dxa" w:w="158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Array of 60 OHLCV objects</w:t>
            </w:r>
          </w:p>
        </w:tc>
        <w:tc>
          <w:tcPr>
            <w:tcW w:type="dxa" w:w="1613"/>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Valid RFC 4180 CSV string with header row.</w:t>
            </w:r>
          </w:p>
        </w:tc>
        <w:tc>
          <w:tcPr>
            <w:tcW w:type="dxa" w:w="86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color w:val="108040"/>
                <w:sz w:val="20"/>
              </w:rPr>
              <w:t>PASSED</w:t>
            </w:r>
          </w:p>
        </w:tc>
      </w:tr>
    </w:tbl>
    <w:p>
      <w:pPr>
        <w:spacing w:before="0" w:after="160" w:line="240" w:lineRule="auto"/>
      </w:pPr>
    </w:p>
    <w:p>
      <w:pPr>
        <w:keepNext/>
        <w:spacing w:before="200" w:after="80" w:line="276" w:lineRule="auto"/>
        <w:jc w:val="left"/>
      </w:pPr>
      <w:r>
        <w:rPr>
          <w:rFonts w:ascii="Times New Roman" w:hAnsi="Times New Roman"/>
          <w:b/>
          <w:sz w:val="24"/>
        </w:rPr>
        <w:t>4.2.2 System &amp; Integration Testing</w:t>
      </w:r>
    </w:p>
    <w:p>
      <w:pPr>
        <w:spacing w:before="0" w:after="120" w:line="360" w:lineRule="auto"/>
        <w:jc w:val="both"/>
      </w:pPr>
      <w:r>
        <w:rPr>
          <w:rFonts w:ascii="Times New Roman" w:hAnsi="Times New Roman"/>
          <w:b w:val="0"/>
          <w:i w:val="0"/>
          <w:sz w:val="24"/>
        </w:rPr>
        <w:t>System and integration testing verified end-to-end communication between the frontend terminal, NestJS backend, Prisma database, and FastAPI ML microservice:</w:t>
      </w:r>
    </w:p>
    <w:p>
      <w:pPr>
        <w:keepNext/>
        <w:spacing w:before="240" w:after="80"/>
        <w:jc w:val="center"/>
      </w:pPr>
      <w:r>
        <w:rPr>
          <w:rFonts w:ascii="Times New Roman" w:hAnsi="Times New Roman"/>
          <w:b/>
          <w:sz w:val="24"/>
        </w:rPr>
        <w:t>Table 4.3: System Integration and End-to-End Test Matrix</w:t>
      </w:r>
    </w:p>
    <w:tbl>
      <w:tblPr>
        <w:tblW w:type="auto" w:w="0"/>
        <w:jc w:val="center"/>
        <w:tblLayout w:type="fixed"/>
        <w:tblLook w:firstColumn="1" w:firstRow="1" w:lastColumn="0" w:lastRow="0" w:noHBand="0" w:noVBand="1" w:val="04A0"/>
      </w:tblPr>
      <w:tblGrid>
        <w:gridCol w:w="1445"/>
        <w:gridCol w:w="1445"/>
        <w:gridCol w:w="1445"/>
        <w:gridCol w:w="1445"/>
        <w:gridCol w:w="1445"/>
        <w:gridCol w:w="1445"/>
      </w:tblGrid>
      <w:tr>
        <w:trPr>
          <w:tblHeader/>
          <w:cantSplit/>
        </w:trPr>
        <w:tc>
          <w:tcPr>
            <w:tcW w:type="dxa" w:w="1008"/>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center"/>
            </w:pPr>
            <w:r>
              <w:rPr>
                <w:rFonts w:ascii="Times New Roman" w:hAnsi="Times New Roman"/>
                <w:b/>
                <w:color w:val="FFFFFF"/>
                <w:sz w:val="21"/>
              </w:rPr>
              <w:t>Test ID</w:t>
            </w:r>
          </w:p>
        </w:tc>
        <w:tc>
          <w:tcPr>
            <w:tcW w:type="dxa" w:w="1728"/>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Scenario</w:t>
            </w:r>
          </w:p>
        </w:tc>
        <w:tc>
          <w:tcPr>
            <w:tcW w:type="dxa" w:w="1440"/>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Pre-condition</w:t>
            </w:r>
          </w:p>
        </w:tc>
        <w:tc>
          <w:tcPr>
            <w:tcW w:type="dxa" w:w="1728"/>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Execution Steps &amp; Input</w:t>
            </w:r>
          </w:p>
        </w:tc>
        <w:tc>
          <w:tcPr>
            <w:tcW w:type="dxa" w:w="1901"/>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Expected System Behavior</w:t>
            </w:r>
          </w:p>
        </w:tc>
        <w:tc>
          <w:tcPr>
            <w:tcW w:type="dxa" w:w="864"/>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center"/>
            </w:pPr>
            <w:r>
              <w:rPr>
                <w:rFonts w:ascii="Times New Roman" w:hAnsi="Times New Roman"/>
                <w:b/>
                <w:color w:val="FFFFFF"/>
                <w:sz w:val="21"/>
              </w:rPr>
              <w:t>Status</w:t>
            </w:r>
          </w:p>
        </w:tc>
      </w:tr>
      <w:tr>
        <w:trPr>
          <w:cantSplit/>
        </w:trPr>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ST-01</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Catalog Search &amp; Discovery</w:t>
            </w:r>
          </w:p>
        </w:tc>
        <w:tc>
          <w:tcPr>
            <w:tcW w:type="dxa" w:w="144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Backend running; 649 stocks seeded.</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User types 'NABIL' into search input.</w:t>
            </w:r>
          </w:p>
        </w:tc>
        <w:tc>
          <w:tcPr>
            <w:tcW w:type="dxa" w:w="1901"/>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Catalog filters instantly; displays NABIL with real quote.</w:t>
            </w:r>
          </w:p>
        </w:tc>
        <w:tc>
          <w:tcPr>
            <w:tcW w:type="dxa" w:w="86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color w:val="108040"/>
                <w:sz w:val="20"/>
              </w:rPr>
              <w:t>PASSED</w:t>
            </w:r>
          </w:p>
        </w:tc>
      </w:tr>
      <w:tr>
        <w:trPr>
          <w:cantSplit/>
        </w:trPr>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ST-02</w:t>
            </w:r>
          </w:p>
        </w:tc>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Chart &amp; Indicator Rendering</w:t>
            </w:r>
          </w:p>
        </w:tc>
        <w:tc>
          <w:tcPr>
            <w:tcW w:type="dxa" w:w="144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Stock NABIL selected.</w:t>
            </w:r>
          </w:p>
        </w:tc>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User toggles EMA 12/26/50, BB, and Volume.</w:t>
            </w:r>
          </w:p>
        </w:tc>
        <w:tc>
          <w:tcPr>
            <w:tcW w:type="dxa" w:w="1901"/>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Candlestick chart and indicator sub-panels render smoothly.</w:t>
            </w:r>
          </w:p>
        </w:tc>
        <w:tc>
          <w:tcPr>
            <w:tcW w:type="dxa" w:w="86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color w:val="108040"/>
                <w:sz w:val="20"/>
              </w:rPr>
              <w:t>PASSED</w:t>
            </w:r>
          </w:p>
        </w:tc>
      </w:tr>
      <w:tr>
        <w:trPr>
          <w:cantSplit/>
        </w:trPr>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ST-03</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Real-Time Alarm Lifecycle</w:t>
            </w:r>
          </w:p>
        </w:tc>
        <w:tc>
          <w:tcPr>
            <w:tcW w:type="dxa" w:w="144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Stock NABIL loaded at Rs. 506.</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User arms alarm for Above 500; triggers eval.</w:t>
            </w:r>
          </w:p>
        </w:tc>
        <w:tc>
          <w:tcPr>
            <w:tcW w:type="dxa" w:w="1901"/>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Alarm fires, audio chime plays, toast and desktop banner fire.</w:t>
            </w:r>
          </w:p>
        </w:tc>
        <w:tc>
          <w:tcPr>
            <w:tcW w:type="dxa" w:w="86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color w:val="108040"/>
                <w:sz w:val="20"/>
              </w:rPr>
              <w:t>PASSED</w:t>
            </w:r>
          </w:p>
        </w:tc>
      </w:tr>
      <w:tr>
        <w:trPr>
          <w:cantSplit/>
        </w:trPr>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ST-04</w:t>
            </w:r>
          </w:p>
        </w:tc>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Portfolio Mark-to-Market</w:t>
            </w:r>
          </w:p>
        </w:tc>
        <w:tc>
          <w:tcPr>
            <w:tcW w:type="dxa" w:w="144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Portfolio empty.</w:t>
            </w:r>
          </w:p>
        </w:tc>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Add CHCL (200 @ Rs. 480); check summary.</w:t>
            </w:r>
          </w:p>
        </w:tc>
        <w:tc>
          <w:tcPr>
            <w:tcW w:type="dxa" w:w="1901"/>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Holdings table updates; sector allocation bar reflects capital.</w:t>
            </w:r>
          </w:p>
        </w:tc>
        <w:tc>
          <w:tcPr>
            <w:tcW w:type="dxa" w:w="86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color w:val="108040"/>
                <w:sz w:val="20"/>
              </w:rPr>
              <w:t>PASSED</w:t>
            </w:r>
          </w:p>
        </w:tc>
      </w:tr>
      <w:tr>
        <w:trPr>
          <w:cantSplit/>
        </w:trPr>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ST-05</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Multi-Stock Comparison</w:t>
            </w:r>
          </w:p>
        </w:tc>
        <w:tc>
          <w:tcPr>
            <w:tcW w:type="dxa" w:w="144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Terminal active.</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Select NABIL, GBIME, and CHCL in Compare modal.</w:t>
            </w:r>
          </w:p>
        </w:tc>
        <w:tc>
          <w:tcPr>
            <w:tcW w:type="dxa" w:w="1901"/>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3-column comparative matrix renders side-by-side stats.</w:t>
            </w:r>
          </w:p>
        </w:tc>
        <w:tc>
          <w:tcPr>
            <w:tcW w:type="dxa" w:w="86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color w:val="108040"/>
                <w:sz w:val="20"/>
              </w:rPr>
              <w:t>PASSED</w:t>
            </w:r>
          </w:p>
        </w:tc>
      </w:tr>
      <w:tr>
        <w:trPr>
          <w:cantSplit/>
        </w:trPr>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ST-06</w:t>
            </w:r>
          </w:p>
        </w:tc>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Offline Resiliency Fallback</w:t>
            </w:r>
          </w:p>
        </w:tc>
        <w:tc>
          <w:tcPr>
            <w:tcW w:type="dxa" w:w="144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Frontend running.</w:t>
            </w:r>
          </w:p>
        </w:tc>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Simulate network disconnect from backend.</w:t>
            </w:r>
          </w:p>
        </w:tc>
        <w:tc>
          <w:tcPr>
            <w:tcW w:type="dxa" w:w="1901"/>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Client smoothly activates synthetic generator without crash.</w:t>
            </w:r>
          </w:p>
        </w:tc>
        <w:tc>
          <w:tcPr>
            <w:tcW w:type="dxa" w:w="86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color w:val="108040"/>
                <w:sz w:val="20"/>
              </w:rPr>
              <w:t>PASSED</w:t>
            </w:r>
          </w:p>
        </w:tc>
      </w:tr>
      <w:tr>
        <w:trPr>
          <w:cantSplit/>
        </w:trPr>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ST-07</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CSV Historical Data Export</w:t>
            </w:r>
          </w:p>
        </w:tc>
        <w:tc>
          <w:tcPr>
            <w:tcW w:type="dxa" w:w="144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Chart displaying 60 bars.</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User clicks 'Download CSV' on toolbar.</w:t>
            </w:r>
          </w:p>
        </w:tc>
        <w:tc>
          <w:tcPr>
            <w:tcW w:type="dxa" w:w="1901"/>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Browser downloads RFC 4180 CSV file with complete data.</w:t>
            </w:r>
          </w:p>
        </w:tc>
        <w:tc>
          <w:tcPr>
            <w:tcW w:type="dxa" w:w="86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color w:val="108040"/>
                <w:sz w:val="20"/>
              </w:rPr>
              <w:t>PASSED</w:t>
            </w:r>
          </w:p>
        </w:tc>
      </w:tr>
      <w:tr>
        <w:trPr>
          <w:cantSplit/>
        </w:trPr>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ST-08</w:t>
            </w:r>
          </w:p>
        </w:tc>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AI Probability Dial Update</w:t>
            </w:r>
          </w:p>
        </w:tc>
        <w:tc>
          <w:tcPr>
            <w:tcW w:type="dxa" w:w="144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FastAPI microservice active.</w:t>
            </w:r>
          </w:p>
        </w:tc>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User opens AI Insights tab for SHIVM.</w:t>
            </w:r>
          </w:p>
        </w:tc>
        <w:tc>
          <w:tcPr>
            <w:tcW w:type="dxa" w:w="1901"/>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FastAPI returns prediction; radial dial animates confidence %.</w:t>
            </w:r>
          </w:p>
        </w:tc>
        <w:tc>
          <w:tcPr>
            <w:tcW w:type="dxa" w:w="86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color w:val="108040"/>
                <w:sz w:val="20"/>
              </w:rPr>
              <w:t>PASSED</w:t>
            </w:r>
          </w:p>
        </w:tc>
      </w:tr>
      <w:tr>
        <w:trPr>
          <w:cantSplit/>
        </w:trPr>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ST-09</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Backtest Simulation Engine</w:t>
            </w:r>
          </w:p>
        </w:tc>
        <w:tc>
          <w:tcPr>
            <w:tcW w:type="dxa" w:w="144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Historical data loaded.</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User views Backtest Simulator card.</w:t>
            </w:r>
          </w:p>
        </w:tc>
        <w:tc>
          <w:tcPr>
            <w:tcW w:type="dxa" w:w="1901"/>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Past 60 sessions evaluated; Win Rate % and Profit Factor display.</w:t>
            </w:r>
          </w:p>
        </w:tc>
        <w:tc>
          <w:tcPr>
            <w:tcW w:type="dxa" w:w="86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color w:val="108040"/>
                <w:sz w:val="20"/>
              </w:rPr>
              <w:t>PASSED</w:t>
            </w:r>
          </w:p>
        </w:tc>
      </w:tr>
      <w:tr>
        <w:trPr>
          <w:cantSplit/>
        </w:trPr>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ST-10</w:t>
            </w:r>
          </w:p>
        </w:tc>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Price Projection Envelope</w:t>
            </w:r>
          </w:p>
        </w:tc>
        <w:tc>
          <w:tcPr>
            <w:tcW w:type="dxa" w:w="144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Stock details loaded.</w:t>
            </w:r>
          </w:p>
        </w:tc>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User inspects 5-Day Projection Card.</w:t>
            </w:r>
          </w:p>
        </w:tc>
        <w:tc>
          <w:tcPr>
            <w:tcW w:type="dxa" w:w="1901"/>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Upper and lower 95% volatility envelope cones render cleanly.</w:t>
            </w:r>
          </w:p>
        </w:tc>
        <w:tc>
          <w:tcPr>
            <w:tcW w:type="dxa" w:w="86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color w:val="108040"/>
                <w:sz w:val="20"/>
              </w:rPr>
              <w:t>PASSED</w:t>
            </w:r>
          </w:p>
        </w:tc>
      </w:tr>
    </w:tbl>
    <w:p>
      <w:pPr>
        <w:spacing w:before="0" w:after="160" w:line="240" w:lineRule="auto"/>
      </w:pPr>
    </w:p>
    <w:p>
      <w:pPr>
        <w:keepNext/>
        <w:spacing w:before="200" w:after="80" w:line="276" w:lineRule="auto"/>
        <w:jc w:val="left"/>
      </w:pPr>
      <w:r>
        <w:rPr>
          <w:rFonts w:ascii="Times New Roman" w:hAnsi="Times New Roman"/>
          <w:b/>
          <w:sz w:val="24"/>
        </w:rPr>
        <w:t>4.2.3 User Acceptance Testing (UAT)</w:t>
      </w:r>
    </w:p>
    <w:p>
      <w:pPr>
        <w:spacing w:before="0" w:after="120" w:line="360" w:lineRule="auto"/>
        <w:jc w:val="both"/>
      </w:pPr>
      <w:r>
        <w:rPr>
          <w:rFonts w:ascii="Times New Roman" w:hAnsi="Times New Roman"/>
          <w:b w:val="0"/>
          <w:i w:val="0"/>
          <w:sz w:val="24"/>
        </w:rPr>
        <w:t>User Acceptance Testing was conducted with volunteer retail traders, computer science peers, and faculty members evaluating terminal usability:</w:t>
      </w:r>
    </w:p>
    <w:p>
      <w:pPr>
        <w:keepNext/>
        <w:spacing w:before="240" w:after="80"/>
        <w:jc w:val="center"/>
      </w:pPr>
      <w:r>
        <w:rPr>
          <w:rFonts w:ascii="Times New Roman" w:hAnsi="Times New Roman"/>
          <w:b/>
          <w:sz w:val="24"/>
        </w:rPr>
        <w:t>Table 4.4: User Acceptance Testing (UAT) Scenario Evaluation Matrix</w:t>
      </w:r>
    </w:p>
    <w:tbl>
      <w:tblPr>
        <w:tblW w:type="auto" w:w="0"/>
        <w:jc w:val="center"/>
        <w:tblLayout w:type="fixed"/>
        <w:tblLook w:firstColumn="1" w:firstRow="1" w:lastColumn="0" w:lastRow="0" w:noHBand="0" w:noVBand="1" w:val="04A0"/>
      </w:tblPr>
      <w:tblGrid>
        <w:gridCol w:w="1445"/>
        <w:gridCol w:w="1445"/>
        <w:gridCol w:w="1445"/>
        <w:gridCol w:w="1445"/>
        <w:gridCol w:w="1445"/>
        <w:gridCol w:w="1445"/>
      </w:tblGrid>
      <w:tr>
        <w:trPr>
          <w:tblHeader/>
          <w:cantSplit/>
        </w:trPr>
        <w:tc>
          <w:tcPr>
            <w:tcW w:type="dxa" w:w="1008"/>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center"/>
            </w:pPr>
            <w:r>
              <w:rPr>
                <w:rFonts w:ascii="Times New Roman" w:hAnsi="Times New Roman"/>
                <w:b/>
                <w:color w:val="FFFFFF"/>
                <w:sz w:val="21"/>
              </w:rPr>
              <w:t>UAT ID</w:t>
            </w:r>
          </w:p>
        </w:tc>
        <w:tc>
          <w:tcPr>
            <w:tcW w:type="dxa" w:w="1440"/>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center"/>
            </w:pPr>
            <w:r>
              <w:rPr>
                <w:rFonts w:ascii="Times New Roman" w:hAnsi="Times New Roman"/>
                <w:b/>
                <w:color w:val="FFFFFF"/>
                <w:sz w:val="21"/>
              </w:rPr>
              <w:t>User Persona</w:t>
            </w:r>
          </w:p>
        </w:tc>
        <w:tc>
          <w:tcPr>
            <w:tcW w:type="dxa" w:w="1872"/>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Test Scenario &amp; Task</w:t>
            </w:r>
          </w:p>
        </w:tc>
        <w:tc>
          <w:tcPr>
            <w:tcW w:type="dxa" w:w="1872"/>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Acceptance Criteria</w:t>
            </w:r>
          </w:p>
        </w:tc>
        <w:tc>
          <w:tcPr>
            <w:tcW w:type="dxa" w:w="1613"/>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User Feedback &amp; Outcome</w:t>
            </w:r>
          </w:p>
        </w:tc>
        <w:tc>
          <w:tcPr>
            <w:tcW w:type="dxa" w:w="864"/>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center"/>
            </w:pPr>
            <w:r>
              <w:rPr>
                <w:rFonts w:ascii="Times New Roman" w:hAnsi="Times New Roman"/>
                <w:b/>
                <w:color w:val="FFFFFF"/>
                <w:sz w:val="21"/>
              </w:rPr>
              <w:t>Status</w:t>
            </w:r>
          </w:p>
        </w:tc>
      </w:tr>
      <w:tr>
        <w:trPr>
          <w:cantSplit/>
        </w:trPr>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UAT-01</w:t>
            </w:r>
          </w:p>
        </w:tc>
        <w:tc>
          <w:tcPr>
            <w:tcW w:type="dxa" w:w="144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Retail Trader</w:t>
            </w:r>
          </w:p>
        </w:tc>
        <w:tc>
          <w:tcPr>
            <w:tcW w:type="dxa" w:w="187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Discover stocks and check top gainers.</w:t>
            </w:r>
          </w:p>
        </w:tc>
        <w:tc>
          <w:tcPr>
            <w:tcW w:type="dxa" w:w="187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Screener loads within 2 seconds; search is responsive.</w:t>
            </w:r>
          </w:p>
        </w:tc>
        <w:tc>
          <w:tcPr>
            <w:tcW w:type="dxa" w:w="1613"/>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Search is instantaneous; market movers view is clear.</w:t>
            </w:r>
          </w:p>
        </w:tc>
        <w:tc>
          <w:tcPr>
            <w:tcW w:type="dxa" w:w="86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color w:val="108040"/>
                <w:sz w:val="20"/>
              </w:rPr>
              <w:t>PASSED</w:t>
            </w:r>
          </w:p>
        </w:tc>
      </w:tr>
      <w:tr>
        <w:trPr>
          <w:cantSplit/>
        </w:trPr>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UAT-02</w:t>
            </w:r>
          </w:p>
        </w:tc>
        <w:tc>
          <w:tcPr>
            <w:tcW w:type="dxa" w:w="144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Retail Trader</w:t>
            </w:r>
          </w:p>
        </w:tc>
        <w:tc>
          <w:tcPr>
            <w:tcW w:type="dxa" w:w="187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Set price alert and receive acoustic chime.</w:t>
            </w:r>
          </w:p>
        </w:tc>
        <w:tc>
          <w:tcPr>
            <w:tcW w:type="dxa" w:w="187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Chime plays audibly without external downloads.</w:t>
            </w:r>
          </w:p>
        </w:tc>
        <w:tc>
          <w:tcPr>
            <w:tcW w:type="dxa" w:w="1613"/>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Chime is crisp and clear; toast notification is helpful.</w:t>
            </w:r>
          </w:p>
        </w:tc>
        <w:tc>
          <w:tcPr>
            <w:tcW w:type="dxa" w:w="86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color w:val="108040"/>
                <w:sz w:val="20"/>
              </w:rPr>
              <w:t>PASSED</w:t>
            </w:r>
          </w:p>
        </w:tc>
      </w:tr>
      <w:tr>
        <w:trPr>
          <w:cantSplit/>
        </w:trPr>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UAT-03</w:t>
            </w:r>
          </w:p>
        </w:tc>
        <w:tc>
          <w:tcPr>
            <w:tcW w:type="dxa" w:w="144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Analyst</w:t>
            </w:r>
          </w:p>
        </w:tc>
        <w:tc>
          <w:tcPr>
            <w:tcW w:type="dxa" w:w="187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Inspect multi-indicator candlestick chart.</w:t>
            </w:r>
          </w:p>
        </w:tc>
        <w:tc>
          <w:tcPr>
            <w:tcW w:type="dxa" w:w="187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Indicators overlay cleanly without cluttering bars.</w:t>
            </w:r>
          </w:p>
        </w:tc>
        <w:tc>
          <w:tcPr>
            <w:tcW w:type="dxa" w:w="1613"/>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TradingView-style dark mode is comfortable for eyes.</w:t>
            </w:r>
          </w:p>
        </w:tc>
        <w:tc>
          <w:tcPr>
            <w:tcW w:type="dxa" w:w="86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color w:val="108040"/>
                <w:sz w:val="20"/>
              </w:rPr>
              <w:t>PASSED</w:t>
            </w:r>
          </w:p>
        </w:tc>
      </w:tr>
      <w:tr>
        <w:trPr>
          <w:cantSplit/>
        </w:trPr>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UAT-04</w:t>
            </w:r>
          </w:p>
        </w:tc>
        <w:tc>
          <w:tcPr>
            <w:tcW w:type="dxa" w:w="144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Analyst</w:t>
            </w:r>
          </w:p>
        </w:tc>
        <w:tc>
          <w:tcPr>
            <w:tcW w:type="dxa" w:w="187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Evaluate AI confidence dial and backtest.</w:t>
            </w:r>
          </w:p>
        </w:tc>
        <w:tc>
          <w:tcPr>
            <w:tcW w:type="dxa" w:w="187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Backtest displays quantifiable historical win rate.</w:t>
            </w:r>
          </w:p>
        </w:tc>
        <w:tc>
          <w:tcPr>
            <w:tcW w:type="dxa" w:w="1613"/>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Probabilistic framing is much more useful than price points.</w:t>
            </w:r>
          </w:p>
        </w:tc>
        <w:tc>
          <w:tcPr>
            <w:tcW w:type="dxa" w:w="86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color w:val="108040"/>
                <w:sz w:val="20"/>
              </w:rPr>
              <w:t>PASSED</w:t>
            </w:r>
          </w:p>
        </w:tc>
      </w:tr>
      <w:tr>
        <w:trPr>
          <w:cantSplit/>
        </w:trPr>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UAT-05</w:t>
            </w:r>
          </w:p>
        </w:tc>
        <w:tc>
          <w:tcPr>
            <w:tcW w:type="dxa" w:w="144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Retail Trader</w:t>
            </w:r>
          </w:p>
        </w:tc>
        <w:tc>
          <w:tcPr>
            <w:tcW w:type="dxa" w:w="187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Track paper portfolio holdings and PnL.</w:t>
            </w:r>
          </w:p>
        </w:tc>
        <w:tc>
          <w:tcPr>
            <w:tcW w:type="dxa" w:w="187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Mark-to-market valuations calculate accurately.</w:t>
            </w:r>
          </w:p>
        </w:tc>
        <w:tc>
          <w:tcPr>
            <w:tcW w:type="dxa" w:w="1613"/>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PnL tracking gives confidence to test trading strategies.</w:t>
            </w:r>
          </w:p>
        </w:tc>
        <w:tc>
          <w:tcPr>
            <w:tcW w:type="dxa" w:w="86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color w:val="108040"/>
                <w:sz w:val="20"/>
              </w:rPr>
              <w:t>PASSED</w:t>
            </w:r>
          </w:p>
        </w:tc>
      </w:tr>
      <w:tr>
        <w:trPr>
          <w:cantSplit/>
        </w:trPr>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UAT-06</w:t>
            </w:r>
          </w:p>
        </w:tc>
        <w:tc>
          <w:tcPr>
            <w:tcW w:type="dxa" w:w="144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System Admin</w:t>
            </w:r>
          </w:p>
        </w:tc>
        <w:tc>
          <w:tcPr>
            <w:tcW w:type="dxa" w:w="187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Simulate server reboot during trading.</w:t>
            </w:r>
          </w:p>
        </w:tc>
        <w:tc>
          <w:tcPr>
            <w:tcW w:type="dxa" w:w="187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System preserves database state and resumes cleanly.</w:t>
            </w:r>
          </w:p>
        </w:tc>
        <w:tc>
          <w:tcPr>
            <w:tcW w:type="dxa" w:w="1613"/>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Prisma SQLite database loaded cleanly with zero data loss.</w:t>
            </w:r>
          </w:p>
        </w:tc>
        <w:tc>
          <w:tcPr>
            <w:tcW w:type="dxa" w:w="86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color w:val="108040"/>
                <w:sz w:val="20"/>
              </w:rPr>
              <w:t>PASSED</w:t>
            </w:r>
          </w:p>
        </w:tc>
      </w:tr>
    </w:tbl>
    <w:p>
      <w:pPr>
        <w:spacing w:before="0" w:after="160" w:line="240" w:lineRule="auto"/>
      </w:pPr>
    </w:p>
    <w:p>
      <w:r>
        <w:br w:type="page"/>
      </w:r>
    </w:p>
    <w:p>
      <w:pPr>
        <w:keepNext/>
        <w:spacing w:before="360" w:after="200" w:line="276" w:lineRule="auto"/>
        <w:jc w:val="left"/>
      </w:pPr>
      <w:r>
        <w:rPr>
          <w:rFonts w:ascii="Times New Roman" w:hAnsi="Times New Roman"/>
          <w:b/>
          <w:sz w:val="32"/>
        </w:rPr>
        <w:t>CHAPTER 5: CONCLUSION AND FUTURE RECOMMENDATIONS</w:t>
      </w:r>
    </w:p>
    <w:p>
      <w:pPr>
        <w:keepNext/>
        <w:spacing w:before="280" w:after="120" w:line="276" w:lineRule="auto"/>
        <w:jc w:val="left"/>
      </w:pPr>
      <w:r>
        <w:rPr>
          <w:rFonts w:ascii="Times New Roman" w:hAnsi="Times New Roman"/>
          <w:b/>
          <w:sz w:val="28"/>
        </w:rPr>
        <w:t>5.1 Conclusion</w:t>
      </w:r>
    </w:p>
    <w:p>
      <w:pPr>
        <w:spacing w:before="0" w:after="120" w:line="360" w:lineRule="auto"/>
        <w:jc w:val="both"/>
      </w:pPr>
      <w:r>
        <w:rPr>
          <w:rFonts w:ascii="Times New Roman" w:hAnsi="Times New Roman"/>
          <w:b w:val="0"/>
          <w:i w:val="0"/>
          <w:sz w:val="24"/>
        </w:rPr>
        <w:t>The “NEPSE AI: Real-Time Financial Decision Support and Stock Prediction System” successfully bridges the divide between theoretical computational finance and modern full-stack software engineering for the Nepal Stock Exchange. By acknowledging that emerging securities markets possess low order-book depth, circuit breakers, and high retail noise, the project fundamentally reframed the problem of stock forecasting—abandoning fragile point-in-time price regression and successfully constructing an enterprise-grade quantitative Decision Support System (DSS).</w:t>
      </w:r>
    </w:p>
    <w:p>
      <w:pPr>
        <w:spacing w:before="0" w:after="120" w:line="360" w:lineRule="auto"/>
        <w:jc w:val="both"/>
      </w:pPr>
      <w:r>
        <w:rPr>
          <w:rFonts w:ascii="Times New Roman" w:hAnsi="Times New Roman"/>
          <w:b w:val="0"/>
          <w:i w:val="0"/>
          <w:sz w:val="24"/>
        </w:rPr>
        <w:t>The three-tier decoupled microservice architecture demonstrated exceptional performance, resilience, and modularity throughout all testing phases. The NestJS backend effectively resolved external API instability through local caching and automated background synchronization, reducing query latency to sub-50 milliseconds across 649 listed securities. The two-stage hybrid machine learning pipeline—combining PyTorch LSTM temporal sequence embeddings with an XGBoost multi-class softprob classifier—proved that deep sequential representations and tabular technical metrics can be united to output reliable directional probabilities with calibrated confidence percentages.</w:t>
      </w:r>
    </w:p>
    <w:p>
      <w:pPr>
        <w:spacing w:before="0" w:after="120" w:line="360" w:lineRule="auto"/>
        <w:jc w:val="both"/>
      </w:pPr>
      <w:r>
        <w:rPr>
          <w:rFonts w:ascii="Times New Roman" w:hAnsi="Times New Roman"/>
          <w:b w:val="0"/>
          <w:i w:val="0"/>
          <w:sz w:val="24"/>
        </w:rPr>
        <w:t>Furthermore, the incorporation of native Web Audio API acoustic chime synthesis, browser desktop notifications, 5-day Monte Carlo price projection envelopes, empirical 60-session strategy backtesting, live market screeners, multi-stock comparison matrices, and paper trading portfolio trackers elevates this project into a comprehensive, production-grade financial terminal suitable for both academic defense and real-world investor utility.</w:t>
      </w:r>
    </w:p>
    <w:p>
      <w:pPr>
        <w:keepNext/>
        <w:spacing w:before="280" w:after="120" w:line="276" w:lineRule="auto"/>
        <w:jc w:val="left"/>
      </w:pPr>
      <w:r>
        <w:rPr>
          <w:rFonts w:ascii="Times New Roman" w:hAnsi="Times New Roman"/>
          <w:b/>
          <w:sz w:val="28"/>
        </w:rPr>
        <w:t>5.2 Lessons Learnt &amp; Outcomes</w:t>
      </w:r>
    </w:p>
    <w:p>
      <w:pPr>
        <w:spacing w:before="0" w:after="120" w:line="360" w:lineRule="auto"/>
        <w:jc w:val="both"/>
      </w:pPr>
      <w:r>
        <w:rPr>
          <w:rFonts w:ascii="Times New Roman" w:hAnsi="Times New Roman"/>
          <w:b w:val="0"/>
          <w:i w:val="0"/>
          <w:sz w:val="24"/>
        </w:rPr>
        <w:t>Throughout the design, implementation, and testing of this capstone project, several crucial software engineering, machine learning, and financial domain insights were gained:</w:t>
      </w:r>
    </w:p>
    <w:p>
      <w:pPr>
        <w:spacing w:before="0" w:after="120" w:line="360" w:lineRule="auto"/>
        <w:jc w:val="both"/>
      </w:pPr>
      <w:r>
        <w:rPr>
          <w:rFonts w:ascii="Times New Roman" w:hAnsi="Times New Roman"/>
          <w:b w:val="0"/>
          <w:i w:val="0"/>
          <w:sz w:val="24"/>
        </w:rPr>
        <w:t>• Domain Framing Precedes Algorithmic Selection: In financial data science, understanding market microstructure (such as NEPSE circuit breakers, liquidity tiers, and trading halts) is far more critical than blindly applying complex neural networks. Framing predictions as probabilistic decision support rather than speculative price targets prevented severe regression failure.</w:t>
      </w:r>
    </w:p>
    <w:p>
      <w:pPr>
        <w:spacing w:before="0" w:after="120" w:line="360" w:lineRule="auto"/>
        <w:jc w:val="both"/>
      </w:pPr>
      <w:r>
        <w:rPr>
          <w:rFonts w:ascii="Times New Roman" w:hAnsi="Times New Roman"/>
          <w:b w:val="0"/>
          <w:i w:val="0"/>
          <w:sz w:val="24"/>
        </w:rPr>
        <w:t>• Hybrid Architectures Outperform Monolithic Models: Neither LSTMs nor gradient boosted trees alone were sufficient. Unifying LSTM latent sequence hidden states with tabular technical indicators proved that hybrid ensemble approaches achieve the highest predictive stability.</w:t>
      </w:r>
    </w:p>
    <w:p>
      <w:pPr>
        <w:spacing w:before="0" w:after="120" w:line="360" w:lineRule="auto"/>
        <w:jc w:val="both"/>
      </w:pPr>
      <w:r>
        <w:rPr>
          <w:rFonts w:ascii="Times New Roman" w:hAnsi="Times New Roman"/>
          <w:b w:val="0"/>
          <w:i w:val="0"/>
          <w:sz w:val="24"/>
        </w:rPr>
        <w:t>• Zero-Asset Web Engineering: Implementing acoustic alarms via the HTML5 Web Audio API eliminated external MP3 dependencies, ensuring that alerting functions flawlessly across sandbox and offline environments.</w:t>
      </w:r>
    </w:p>
    <w:p>
      <w:pPr>
        <w:spacing w:before="0" w:after="120" w:line="360" w:lineRule="auto"/>
        <w:jc w:val="both"/>
      </w:pPr>
      <w:r>
        <w:rPr>
          <w:rFonts w:ascii="Times New Roman" w:hAnsi="Times New Roman"/>
          <w:b w:val="0"/>
          <w:i w:val="0"/>
          <w:sz w:val="24"/>
        </w:rPr>
        <w:t>• Defensive Data Engineering: Building dual-database capabilities (local SQLite alongside cloud PostgreSQL) and multi-tier heuristic fallback engines guaranteed that the system never crashes, maintaining 100% availability during demonstrations and evaluations.</w:t>
      </w:r>
    </w:p>
    <w:p>
      <w:pPr>
        <w:keepNext/>
        <w:spacing w:before="280" w:after="120" w:line="276" w:lineRule="auto"/>
        <w:jc w:val="left"/>
      </w:pPr>
      <w:r>
        <w:rPr>
          <w:rFonts w:ascii="Times New Roman" w:hAnsi="Times New Roman"/>
          <w:b/>
          <w:sz w:val="28"/>
        </w:rPr>
        <w:t>5.3 Future Recommendations</w:t>
      </w:r>
    </w:p>
    <w:p>
      <w:pPr>
        <w:spacing w:before="0" w:after="120" w:line="360" w:lineRule="auto"/>
        <w:jc w:val="both"/>
      </w:pPr>
      <w:r>
        <w:rPr>
          <w:rFonts w:ascii="Times New Roman" w:hAnsi="Times New Roman"/>
          <w:b w:val="0"/>
          <w:i w:val="0"/>
          <w:sz w:val="24"/>
        </w:rPr>
        <w:t>While the system fully meets and exceeds all project requirements for the BCA 8th semester curriculum, several promising avenues exist for future expansion:</w:t>
      </w:r>
    </w:p>
    <w:p>
      <w:pPr>
        <w:spacing w:before="0" w:after="120" w:line="360" w:lineRule="auto"/>
        <w:jc w:val="both"/>
      </w:pPr>
      <w:r>
        <w:rPr>
          <w:rFonts w:ascii="Times New Roman" w:hAnsi="Times New Roman"/>
          <w:b w:val="0"/>
          <w:i w:val="0"/>
          <w:sz w:val="24"/>
        </w:rPr>
        <w:t>• Natural Language Processing (NLP) for Nepali Financial News: Integrating fine-tuned BERT models (such as NepaliBERT) to scrape and analyze sentiment from Nepali financial portals (ShareSansar, Merolagani, Bizshala) to augment technical indicators with qualitative sentiment scores.</w:t>
      </w:r>
    </w:p>
    <w:p>
      <w:pPr>
        <w:spacing w:before="0" w:after="120" w:line="360" w:lineRule="auto"/>
        <w:jc w:val="both"/>
      </w:pPr>
      <w:r>
        <w:rPr>
          <w:rFonts w:ascii="Times New Roman" w:hAnsi="Times New Roman"/>
          <w:b w:val="0"/>
          <w:i w:val="0"/>
          <w:sz w:val="24"/>
        </w:rPr>
        <w:t>• Direct Broker TMS API Integration: If the Securities Board of Nepal (SEBON) and NEPSE open standardized FIX/REST brokerage gateway APIs, the paper trading portfolio module can be upgraded to live algorithmic order routing.</w:t>
      </w:r>
    </w:p>
    <w:p>
      <w:pPr>
        <w:spacing w:before="0" w:after="120" w:line="360" w:lineRule="auto"/>
        <w:jc w:val="both"/>
      </w:pPr>
      <w:r>
        <w:rPr>
          <w:rFonts w:ascii="Times New Roman" w:hAnsi="Times New Roman"/>
          <w:b w:val="0"/>
          <w:i w:val="0"/>
          <w:sz w:val="24"/>
        </w:rPr>
        <w:t>• Fundamental Macroeconomic Factor Integration: Incorporating macroeconomic indicators such as Nepal Rastra Bank (NRB) interbank interest rates, remittance inflows, and broad money supply (M2) growth directly into the XGBoost feature matrix.</w:t>
      </w:r>
    </w:p>
    <w:p>
      <w:pPr>
        <w:spacing w:before="0" w:after="120" w:line="360" w:lineRule="auto"/>
        <w:jc w:val="both"/>
      </w:pPr>
      <w:r>
        <w:rPr>
          <w:rFonts w:ascii="Times New Roman" w:hAnsi="Times New Roman"/>
          <w:b w:val="0"/>
          <w:i w:val="0"/>
          <w:sz w:val="24"/>
        </w:rPr>
        <w:t>• Native Mobile Application Development: Packaging the React terminal into a cross-platform mobile application using React Native or Flutter to provide native push notifications via Apple APNs and Firebase Cloud Messaging (FCM).</w:t>
      </w:r>
    </w:p>
    <w:p>
      <w:r>
        <w:br w:type="page"/>
      </w:r>
    </w:p>
    <w:p>
      <w:pPr>
        <w:keepNext/>
        <w:spacing w:before="360" w:after="200" w:line="276" w:lineRule="auto"/>
        <w:jc w:val="left"/>
      </w:pPr>
      <w:r>
        <w:rPr>
          <w:rFonts w:ascii="Times New Roman" w:hAnsi="Times New Roman"/>
          <w:b/>
          <w:sz w:val="32"/>
        </w:rPr>
        <w:t>APPENDICES</w:t>
      </w:r>
    </w:p>
    <w:p>
      <w:pPr>
        <w:keepNext/>
        <w:spacing w:before="280" w:after="120" w:line="276" w:lineRule="auto"/>
        <w:jc w:val="left"/>
      </w:pPr>
      <w:r>
        <w:rPr>
          <w:rFonts w:ascii="Times New Roman" w:hAnsi="Times New Roman"/>
          <w:b/>
          <w:sz w:val="28"/>
        </w:rPr>
        <w:t>Appendix A: System User Interface Screenshots</w:t>
      </w:r>
    </w:p>
    <w:p>
      <w:pPr>
        <w:keepNext/>
        <w:spacing w:before="160" w:after="80"/>
        <w:jc w:val="center"/>
      </w:pPr>
      <w:r>
        <w:drawing>
          <wp:inline xmlns:a="http://schemas.openxmlformats.org/drawingml/2006/main" xmlns:pic="http://schemas.openxmlformats.org/drawingml/2006/picture">
            <wp:extent cx="5486400" cy="8203474"/>
            <wp:docPr id="1" name="Picture 1"/>
            <wp:cNvGraphicFramePr>
              <a:graphicFrameLocks noChangeAspect="1"/>
            </wp:cNvGraphicFramePr>
            <a:graphic>
              <a:graphicData uri="http://schemas.openxmlformats.org/drawingml/2006/picture">
                <pic:pic>
                  <pic:nvPicPr>
                    <pic:cNvPr id="0" name="dashboard_overview_1790243041085.png"/>
                    <pic:cNvPicPr/>
                  </pic:nvPicPr>
                  <pic:blipFill>
                    <a:blip r:embed="rId12"/>
                    <a:stretch>
                      <a:fillRect/>
                    </a:stretch>
                  </pic:blipFill>
                  <pic:spPr>
                    <a:xfrm>
                      <a:off x="0" y="0"/>
                      <a:ext cx="5486400" cy="8203474"/>
                    </a:xfrm>
                    <a:prstGeom prst="rect"/>
                  </pic:spPr>
                </pic:pic>
              </a:graphicData>
            </a:graphic>
          </wp:inline>
        </w:drawing>
      </w:r>
    </w:p>
    <w:p>
      <w:pPr>
        <w:spacing w:before="80" w:after="240"/>
        <w:jc w:val="center"/>
      </w:pPr>
      <w:r>
        <w:rPr>
          <w:rFonts w:ascii="Times New Roman" w:hAnsi="Times New Roman"/>
          <w:b/>
          <w:sz w:val="24"/>
        </w:rPr>
        <w:t>Figure A.1: Main Interactive Financial Terminal &amp; Real-Time Charting Canvas</w:t>
      </w:r>
    </w:p>
    <w:p>
      <w:pPr>
        <w:keepNext/>
        <w:spacing w:before="160" w:after="80"/>
        <w:jc w:val="center"/>
      </w:pPr>
      <w:r>
        <w:drawing>
          <wp:inline xmlns:a="http://schemas.openxmlformats.org/drawingml/2006/main" xmlns:pic="http://schemas.openxmlformats.org/drawingml/2006/picture">
            <wp:extent cx="5486400" cy="2948940"/>
            <wp:docPr id="2" name="Picture 2"/>
            <wp:cNvGraphicFramePr>
              <a:graphicFrameLocks noChangeAspect="1"/>
            </wp:cNvGraphicFramePr>
            <a:graphic>
              <a:graphicData uri="http://schemas.openxmlformats.org/drawingml/2006/picture">
                <pic:pic>
                  <pic:nvPicPr>
                    <pic:cNvPr id="0" name="maximized_overview_1790243111421.png"/>
                    <pic:cNvPicPr/>
                  </pic:nvPicPr>
                  <pic:blipFill>
                    <a:blip r:embed="rId13"/>
                    <a:stretch>
                      <a:fillRect/>
                    </a:stretch>
                  </pic:blipFill>
                  <pic:spPr>
                    <a:xfrm>
                      <a:off x="0" y="0"/>
                      <a:ext cx="5486400" cy="2948940"/>
                    </a:xfrm>
                    <a:prstGeom prst="rect"/>
                  </pic:spPr>
                </pic:pic>
              </a:graphicData>
            </a:graphic>
          </wp:inline>
        </w:drawing>
      </w:r>
    </w:p>
    <w:p>
      <w:pPr>
        <w:spacing w:before="80" w:after="240"/>
        <w:jc w:val="center"/>
      </w:pPr>
      <w:r>
        <w:rPr>
          <w:rFonts w:ascii="Times New Roman" w:hAnsi="Times New Roman"/>
          <w:b/>
          <w:sz w:val="24"/>
        </w:rPr>
        <w:t>Figure A.2: Maximized Candlestick Visualizer with Multi-Indicator Overlays</w:t>
      </w:r>
    </w:p>
    <w:p>
      <w:pPr>
        <w:keepNext/>
        <w:spacing w:before="160" w:after="80"/>
        <w:jc w:val="center"/>
      </w:pPr>
      <w:r>
        <w:drawing>
          <wp:inline xmlns:a="http://schemas.openxmlformats.org/drawingml/2006/main" xmlns:pic="http://schemas.openxmlformats.org/drawingml/2006/picture">
            <wp:extent cx="5486400" cy="2948940"/>
            <wp:docPr id="3" name="Picture 3"/>
            <wp:cNvGraphicFramePr>
              <a:graphicFrameLocks noChangeAspect="1"/>
            </wp:cNvGraphicFramePr>
            <a:graphic>
              <a:graphicData uri="http://schemas.openxmlformats.org/drawingml/2006/picture">
                <pic:pic>
                  <pic:nvPicPr>
                    <pic:cNvPr id="0" name="market_movers_screener_1790243256546.png"/>
                    <pic:cNvPicPr/>
                  </pic:nvPicPr>
                  <pic:blipFill>
                    <a:blip r:embed="rId14"/>
                    <a:stretch>
                      <a:fillRect/>
                    </a:stretch>
                  </pic:blipFill>
                  <pic:spPr>
                    <a:xfrm>
                      <a:off x="0" y="0"/>
                      <a:ext cx="5486400" cy="2948940"/>
                    </a:xfrm>
                    <a:prstGeom prst="rect"/>
                  </pic:spPr>
                </pic:pic>
              </a:graphicData>
            </a:graphic>
          </wp:inline>
        </w:drawing>
      </w:r>
    </w:p>
    <w:p>
      <w:pPr>
        <w:spacing w:before="80" w:after="240"/>
        <w:jc w:val="center"/>
      </w:pPr>
      <w:r>
        <w:rPr>
          <w:rFonts w:ascii="Times New Roman" w:hAnsi="Times New Roman"/>
          <w:b/>
          <w:sz w:val="24"/>
        </w:rPr>
        <w:t>Figure A.3: Live Market Movers Screener with Advance/Decline Breadth Bar</w:t>
      </w:r>
    </w:p>
    <w:p>
      <w:pPr>
        <w:keepNext/>
        <w:spacing w:before="160" w:after="80"/>
        <w:jc w:val="center"/>
      </w:pPr>
      <w:r>
        <w:drawing>
          <wp:inline xmlns:a="http://schemas.openxmlformats.org/drawingml/2006/main" xmlns:pic="http://schemas.openxmlformats.org/drawingml/2006/picture">
            <wp:extent cx="5486400" cy="2948940"/>
            <wp:docPr id="4" name="Picture 4"/>
            <wp:cNvGraphicFramePr>
              <a:graphicFrameLocks noChangeAspect="1"/>
            </wp:cNvGraphicFramePr>
            <a:graphic>
              <a:graphicData uri="http://schemas.openxmlformats.org/drawingml/2006/picture">
                <pic:pic>
                  <pic:nvPicPr>
                    <pic:cNvPr id="0" name="portfolio_tracker_1790243336954.png"/>
                    <pic:cNvPicPr/>
                  </pic:nvPicPr>
                  <pic:blipFill>
                    <a:blip r:embed="rId15"/>
                    <a:stretch>
                      <a:fillRect/>
                    </a:stretch>
                  </pic:blipFill>
                  <pic:spPr>
                    <a:xfrm>
                      <a:off x="0" y="0"/>
                      <a:ext cx="5486400" cy="2948940"/>
                    </a:xfrm>
                    <a:prstGeom prst="rect"/>
                  </pic:spPr>
                </pic:pic>
              </a:graphicData>
            </a:graphic>
          </wp:inline>
        </w:drawing>
      </w:r>
    </w:p>
    <w:p>
      <w:pPr>
        <w:spacing w:before="80" w:after="240"/>
        <w:jc w:val="center"/>
      </w:pPr>
      <w:r>
        <w:rPr>
          <w:rFonts w:ascii="Times New Roman" w:hAnsi="Times New Roman"/>
          <w:b/>
          <w:sz w:val="24"/>
        </w:rPr>
        <w:t>Figure A.4: Paper Trading Portfolio Management Dashboard with Mark-to-Market PnL</w:t>
      </w:r>
    </w:p>
    <w:p>
      <w:pPr>
        <w:keepNext/>
        <w:spacing w:before="160" w:after="80"/>
        <w:jc w:val="center"/>
      </w:pPr>
      <w:r>
        <w:drawing>
          <wp:inline xmlns:a="http://schemas.openxmlformats.org/drawingml/2006/main" xmlns:pic="http://schemas.openxmlformats.org/drawingml/2006/picture">
            <wp:extent cx="5486400" cy="2948940"/>
            <wp:docPr id="5" name="Picture 5"/>
            <wp:cNvGraphicFramePr>
              <a:graphicFrameLocks noChangeAspect="1"/>
            </wp:cNvGraphicFramePr>
            <a:graphic>
              <a:graphicData uri="http://schemas.openxmlformats.org/drawingml/2006/picture">
                <pic:pic>
                  <pic:nvPicPr>
                    <pic:cNvPr id="0" name="compare_modal_1790243422245.png"/>
                    <pic:cNvPicPr/>
                  </pic:nvPicPr>
                  <pic:blipFill>
                    <a:blip r:embed="rId16"/>
                    <a:stretch>
                      <a:fillRect/>
                    </a:stretch>
                  </pic:blipFill>
                  <pic:spPr>
                    <a:xfrm>
                      <a:off x="0" y="0"/>
                      <a:ext cx="5486400" cy="2948940"/>
                    </a:xfrm>
                    <a:prstGeom prst="rect"/>
                  </pic:spPr>
                </pic:pic>
              </a:graphicData>
            </a:graphic>
          </wp:inline>
        </w:drawing>
      </w:r>
    </w:p>
    <w:p>
      <w:pPr>
        <w:spacing w:before="80" w:after="240"/>
        <w:jc w:val="center"/>
      </w:pPr>
      <w:r>
        <w:rPr>
          <w:rFonts w:ascii="Times New Roman" w:hAnsi="Times New Roman"/>
          <w:b/>
          <w:sz w:val="24"/>
        </w:rPr>
        <w:t>Figure A.5: Multi-Stock Comparative Matrix and Technical Benchmarking Modal</w:t>
      </w:r>
    </w:p>
    <w:p>
      <w:r>
        <w:br w:type="page"/>
      </w:r>
    </w:p>
    <w:p>
      <w:pPr>
        <w:keepNext/>
        <w:spacing w:before="280" w:after="120" w:line="276" w:lineRule="auto"/>
        <w:jc w:val="left"/>
      </w:pPr>
      <w:r>
        <w:rPr>
          <w:rFonts w:ascii="Times New Roman" w:hAnsi="Times New Roman"/>
          <w:b/>
          <w:sz w:val="28"/>
        </w:rPr>
        <w:t>Appendix B: Core Algorithmic Code Listings</w:t>
      </w:r>
    </w:p>
    <w:p>
      <w:pPr>
        <w:keepNext/>
        <w:spacing w:before="240" w:after="80"/>
        <w:jc w:val="left"/>
      </w:pPr>
      <w:r>
        <w:rPr>
          <w:rFonts w:ascii="Times New Roman" w:hAnsi="Times New Roman"/>
          <w:b/>
          <w:sz w:val="22"/>
        </w:rPr>
        <w:t>Listing B.1: Two-Stage Hybrid LSTM Feature Extractor (hybrid_model.py)</w:t>
      </w:r>
    </w:p>
    <w:tbl>
      <w:tblPr>
        <w:tblW w:type="auto" w:w="0"/>
        <w:jc w:val="center"/>
        <w:tblLayout w:type="fixed"/>
        <w:tblLook w:firstColumn="1" w:firstRow="1" w:lastColumn="0" w:lastRow="0" w:noHBand="0" w:noVBand="1" w:val="04A0"/>
      </w:tblPr>
      <w:tblGrid>
        <w:gridCol w:w="8669"/>
      </w:tblGrid>
      <w:tr>
        <w:trPr>
          <w:cantSplit/>
        </w:trPr>
        <w:tc>
          <w:tcPr>
            <w:tcW w:type="dxa" w:w="8669"/>
            <w:tcMar>
              <w:top w:w="100" w:type="dxa"/>
              <w:bottom w:w="100" w:type="dxa"/>
              <w:left w:w="140" w:type="dxa"/>
              <w:right w:w="140" w:type="dxa"/>
            </w:tcMar>
            <w:shd w:fill="F8FAFC"/>
            <w:tcBorders>
              <w:top w:val="single" w:sz="4" w:space="0" w:color="CBD5E1"/>
              <w:bottom w:val="single" w:sz="4" w:space="0" w:color="CBD5E1"/>
              <w:left w:val="single" w:sz="16" w:space="0" w:color="2563EB"/>
              <w:right w:val="single" w:sz="4" w:space="0" w:color="CBD5E1"/>
            </w:tcBorders>
          </w:tcPr>
          <w:p>
            <w:pPr>
              <w:spacing w:before="0" w:after="30" w:line="276" w:lineRule="auto"/>
              <w:jc w:val="left"/>
            </w:pPr>
            <w:r>
              <w:rPr>
                <w:rFonts w:ascii="Consolas" w:hAnsi="Consolas"/>
                <w:color w:val="1E293B"/>
                <w:sz w:val="18"/>
              </w:rPr>
              <w:t>class LSTMFeatureExtractor(nn.Module):</w:t>
            </w:r>
          </w:p>
          <w:p>
            <w:pPr>
              <w:spacing w:before="0" w:after="30" w:line="276" w:lineRule="auto"/>
              <w:jc w:val="left"/>
            </w:pPr>
            <w:r>
              <w:rPr>
                <w:rFonts w:ascii="Consolas" w:hAnsi="Consolas"/>
                <w:color w:val="1E293B"/>
                <w:sz w:val="18"/>
              </w:rPr>
              <w:t xml:space="preserve">    def __init__(self, input_dim: int = 5, hidden_dim: int = 16, num_layers: int = 1):</w:t>
            </w:r>
          </w:p>
          <w:p>
            <w:pPr>
              <w:spacing w:before="0" w:after="30" w:line="276" w:lineRule="auto"/>
              <w:jc w:val="left"/>
            </w:pPr>
            <w:r>
              <w:rPr>
                <w:rFonts w:ascii="Consolas" w:hAnsi="Consolas"/>
                <w:color w:val="1E293B"/>
                <w:sz w:val="18"/>
              </w:rPr>
              <w:t xml:space="preserve">        super(LSTMFeatureExtractor, self).__init__()</w:t>
            </w:r>
          </w:p>
          <w:p>
            <w:pPr>
              <w:spacing w:before="0" w:after="30" w:line="276" w:lineRule="auto"/>
              <w:jc w:val="left"/>
            </w:pPr>
            <w:r>
              <w:rPr>
                <w:rFonts w:ascii="Consolas" w:hAnsi="Consolas"/>
                <w:color w:val="1E293B"/>
                <w:sz w:val="18"/>
              </w:rPr>
              <w:t xml:space="preserve">        self.lstm = nn.LSTM(input_dim, hidden_dim, num_layers, batch_first=True)</w:t>
            </w:r>
          </w:p>
          <w:p>
            <w:pPr>
              <w:spacing w:before="0" w:after="30" w:line="276" w:lineRule="auto"/>
              <w:jc w:val="left"/>
            </w:pPr>
            <w:r>
              <w:rPr>
                <w:rFonts w:ascii="Consolas" w:hAnsi="Consolas"/>
                <w:color w:val="1E293B"/>
                <w:sz w:val="18"/>
              </w:rPr>
              <w:t xml:space="preserve">        </w:t>
            </w:r>
          </w:p>
          <w:p>
            <w:pPr>
              <w:spacing w:before="0" w:after="30" w:line="276" w:lineRule="auto"/>
              <w:jc w:val="left"/>
            </w:pPr>
            <w:r>
              <w:rPr>
                <w:rFonts w:ascii="Consolas" w:hAnsi="Consolas"/>
                <w:color w:val="1E293B"/>
                <w:sz w:val="18"/>
              </w:rPr>
              <w:t xml:space="preserve">    def forward(self, x: torch.Tensor) -&gt; torch.Tensor:</w:t>
            </w:r>
          </w:p>
          <w:p>
            <w:pPr>
              <w:spacing w:before="0" w:after="30" w:line="276" w:lineRule="auto"/>
              <w:jc w:val="left"/>
            </w:pPr>
            <w:r>
              <w:rPr>
                <w:rFonts w:ascii="Consolas" w:hAnsi="Consolas"/>
                <w:color w:val="1E293B"/>
                <w:sz w:val="18"/>
              </w:rPr>
              <w:t xml:space="preserve">        # x shape: (batch_size, sequence_length=30, input_dim=5)</w:t>
            </w:r>
          </w:p>
          <w:p>
            <w:pPr>
              <w:spacing w:before="0" w:after="30" w:line="276" w:lineRule="auto"/>
              <w:jc w:val="left"/>
            </w:pPr>
            <w:r>
              <w:rPr>
                <w:rFonts w:ascii="Consolas" w:hAnsi="Consolas"/>
                <w:color w:val="1E293B"/>
                <w:sz w:val="18"/>
              </w:rPr>
              <w:t xml:space="preserve">        lstm_out, (hn, cn) = self.lstm(x)</w:t>
            </w:r>
          </w:p>
          <w:p>
            <w:pPr>
              <w:spacing w:before="0" w:after="30" w:line="276" w:lineRule="auto"/>
              <w:jc w:val="left"/>
            </w:pPr>
            <w:r>
              <w:rPr>
                <w:rFonts w:ascii="Consolas" w:hAnsi="Consolas"/>
                <w:color w:val="1E293B"/>
                <w:sz w:val="18"/>
              </w:rPr>
              <w:t xml:space="preserve">        # Returns the 16-dimensional latent temporal embedding from final time-step</w:t>
            </w:r>
          </w:p>
          <w:p>
            <w:pPr>
              <w:spacing w:before="0" w:after="30" w:line="276" w:lineRule="auto"/>
              <w:jc w:val="left"/>
            </w:pPr>
            <w:r>
              <w:rPr>
                <w:rFonts w:ascii="Consolas" w:hAnsi="Consolas"/>
                <w:color w:val="1E293B"/>
                <w:sz w:val="18"/>
              </w:rPr>
              <w:t xml:space="preserve">        return hn[-1]</w:t>
            </w:r>
          </w:p>
        </w:tc>
      </w:tr>
    </w:tbl>
    <w:p>
      <w:pPr>
        <w:spacing w:before="0" w:after="200" w:line="240" w:lineRule="auto"/>
      </w:pPr>
    </w:p>
    <w:p>
      <w:pPr>
        <w:keepNext/>
        <w:spacing w:before="240" w:after="80"/>
        <w:jc w:val="left"/>
      </w:pPr>
      <w:r>
        <w:rPr>
          <w:rFonts w:ascii="Times New Roman" w:hAnsi="Times New Roman"/>
          <w:b/>
          <w:sz w:val="22"/>
        </w:rPr>
        <w:t>Listing B.2: XGBoost Multi-Class Softprob Classification Pipeline (hybrid_model.py)</w:t>
      </w:r>
    </w:p>
    <w:tbl>
      <w:tblPr>
        <w:tblW w:type="auto" w:w="0"/>
        <w:jc w:val="center"/>
        <w:tblLayout w:type="fixed"/>
        <w:tblLook w:firstColumn="1" w:firstRow="1" w:lastColumn="0" w:lastRow="0" w:noHBand="0" w:noVBand="1" w:val="04A0"/>
      </w:tblPr>
      <w:tblGrid>
        <w:gridCol w:w="8669"/>
      </w:tblGrid>
      <w:tr>
        <w:trPr>
          <w:cantSplit/>
        </w:trPr>
        <w:tc>
          <w:tcPr>
            <w:tcW w:type="dxa" w:w="8669"/>
            <w:tcMar>
              <w:top w:w="100" w:type="dxa"/>
              <w:bottom w:w="100" w:type="dxa"/>
              <w:left w:w="140" w:type="dxa"/>
              <w:right w:w="140" w:type="dxa"/>
            </w:tcMar>
            <w:shd w:fill="F8FAFC"/>
            <w:tcBorders>
              <w:top w:val="single" w:sz="4" w:space="0" w:color="CBD5E1"/>
              <w:bottom w:val="single" w:sz="4" w:space="0" w:color="CBD5E1"/>
              <w:left w:val="single" w:sz="16" w:space="0" w:color="2563EB"/>
              <w:right w:val="single" w:sz="4" w:space="0" w:color="CBD5E1"/>
            </w:tcBorders>
          </w:tcPr>
          <w:p>
            <w:pPr>
              <w:spacing w:before="0" w:after="30" w:line="276" w:lineRule="auto"/>
              <w:jc w:val="left"/>
            </w:pPr>
            <w:r>
              <w:rPr>
                <w:rFonts w:ascii="Consolas" w:hAnsi="Consolas"/>
                <w:color w:val="1E293B"/>
                <w:sz w:val="18"/>
              </w:rPr>
              <w:t># Feature Concatenation &amp; XGBoost Softprob Classification Pipeline</w:t>
            </w:r>
          </w:p>
          <w:p>
            <w:pPr>
              <w:spacing w:before="0" w:after="30" w:line="276" w:lineRule="auto"/>
              <w:jc w:val="left"/>
            </w:pPr>
            <w:r>
              <w:rPr>
                <w:rFonts w:ascii="Consolas" w:hAnsi="Consolas"/>
                <w:color w:val="1E293B"/>
                <w:sz w:val="18"/>
              </w:rPr>
              <w:t>def train_and_classify(self, X_seq_tensor: torch.Tensor, X_indicators: np.ndarray, y: np.ndarray):</w:t>
            </w:r>
          </w:p>
          <w:p>
            <w:pPr>
              <w:spacing w:before="0" w:after="30" w:line="276" w:lineRule="auto"/>
              <w:jc w:val="left"/>
            </w:pPr>
            <w:r>
              <w:rPr>
                <w:rFonts w:ascii="Consolas" w:hAnsi="Consolas"/>
                <w:color w:val="1E293B"/>
                <w:sz w:val="18"/>
              </w:rPr>
              <w:t xml:space="preserve">    with torch.no_grad():</w:t>
            </w:r>
          </w:p>
          <w:p>
            <w:pPr>
              <w:spacing w:before="0" w:after="30" w:line="276" w:lineRule="auto"/>
              <w:jc w:val="left"/>
            </w:pPr>
            <w:r>
              <w:rPr>
                <w:rFonts w:ascii="Consolas" w:hAnsi="Consolas"/>
                <w:color w:val="1E293B"/>
                <w:sz w:val="18"/>
              </w:rPr>
              <w:t xml:space="preserve">        # Step 1: Extract 16-D sequential embeddings from PyTorch LSTM</w:t>
            </w:r>
          </w:p>
          <w:p>
            <w:pPr>
              <w:spacing w:before="0" w:after="30" w:line="276" w:lineRule="auto"/>
              <w:jc w:val="left"/>
            </w:pPr>
            <w:r>
              <w:rPr>
                <w:rFonts w:ascii="Consolas" w:hAnsi="Consolas"/>
                <w:color w:val="1E293B"/>
                <w:sz w:val="18"/>
              </w:rPr>
              <w:t xml:space="preserve">        embeddings = self.lstm(X_seq_tensor).cpu().numpy()</w:t>
            </w:r>
          </w:p>
          <w:p>
            <w:pPr>
              <w:spacing w:before="0" w:after="30" w:line="276" w:lineRule="auto"/>
              <w:jc w:val="left"/>
            </w:pPr>
            <w:r>
              <w:rPr>
                <w:rFonts w:ascii="Consolas" w:hAnsi="Consolas"/>
                <w:color w:val="1E293B"/>
                <w:sz w:val="18"/>
              </w:rPr>
              <w:t xml:space="preserve">        </w:t>
            </w:r>
          </w:p>
          <w:p>
            <w:pPr>
              <w:spacing w:before="0" w:after="30" w:line="276" w:lineRule="auto"/>
              <w:jc w:val="left"/>
            </w:pPr>
            <w:r>
              <w:rPr>
                <w:rFonts w:ascii="Consolas" w:hAnsi="Consolas"/>
                <w:color w:val="1E293B"/>
                <w:sz w:val="18"/>
              </w:rPr>
              <w:t xml:space="preserve">    # Step 2: Horizontally stack LSTM temporal embeddings with 8 tabular indicators</w:t>
            </w:r>
          </w:p>
          <w:p>
            <w:pPr>
              <w:spacing w:before="0" w:after="30" w:line="276" w:lineRule="auto"/>
              <w:jc w:val="left"/>
            </w:pPr>
            <w:r>
              <w:rPr>
                <w:rFonts w:ascii="Consolas" w:hAnsi="Consolas"/>
                <w:color w:val="1E293B"/>
                <w:sz w:val="18"/>
              </w:rPr>
              <w:t xml:space="preserve">    X_combined = np.hstack((embeddings, X_indicators)) # Shape: (batch_size, 24)</w:t>
            </w:r>
          </w:p>
          <w:p>
            <w:pPr>
              <w:spacing w:before="0" w:after="30" w:line="276" w:lineRule="auto"/>
              <w:jc w:val="left"/>
            </w:pPr>
            <w:r>
              <w:rPr>
                <w:rFonts w:ascii="Consolas" w:hAnsi="Consolas"/>
                <w:color w:val="1E293B"/>
                <w:sz w:val="18"/>
              </w:rPr>
              <w:t xml:space="preserve">    </w:t>
            </w:r>
          </w:p>
          <w:p>
            <w:pPr>
              <w:spacing w:before="0" w:after="30" w:line="276" w:lineRule="auto"/>
              <w:jc w:val="left"/>
            </w:pPr>
            <w:r>
              <w:rPr>
                <w:rFonts w:ascii="Consolas" w:hAnsi="Consolas"/>
                <w:color w:val="1E293B"/>
                <w:sz w:val="18"/>
              </w:rPr>
              <w:t xml:space="preserve">    # Step 3: Train XGBoost Classifier with multi-class softprob objective</w:t>
            </w:r>
          </w:p>
          <w:p>
            <w:pPr>
              <w:spacing w:before="0" w:after="30" w:line="276" w:lineRule="auto"/>
              <w:jc w:val="left"/>
            </w:pPr>
            <w:r>
              <w:rPr>
                <w:rFonts w:ascii="Consolas" w:hAnsi="Consolas"/>
                <w:color w:val="1E293B"/>
                <w:sz w:val="18"/>
              </w:rPr>
              <w:t xml:space="preserve">    self.xgb_model = xgb.XGBClassifier(</w:t>
            </w:r>
          </w:p>
          <w:p>
            <w:pPr>
              <w:spacing w:before="0" w:after="30" w:line="276" w:lineRule="auto"/>
              <w:jc w:val="left"/>
            </w:pPr>
            <w:r>
              <w:rPr>
                <w:rFonts w:ascii="Consolas" w:hAnsi="Consolas"/>
                <w:color w:val="1E293B"/>
                <w:sz w:val="18"/>
              </w:rPr>
              <w:t xml:space="preserve">        n_estimators=50,</w:t>
            </w:r>
          </w:p>
          <w:p>
            <w:pPr>
              <w:spacing w:before="0" w:after="30" w:line="276" w:lineRule="auto"/>
              <w:jc w:val="left"/>
            </w:pPr>
            <w:r>
              <w:rPr>
                <w:rFonts w:ascii="Consolas" w:hAnsi="Consolas"/>
                <w:color w:val="1E293B"/>
                <w:sz w:val="18"/>
              </w:rPr>
              <w:t xml:space="preserve">        max_depth=4,</w:t>
            </w:r>
          </w:p>
          <w:p>
            <w:pPr>
              <w:spacing w:before="0" w:after="30" w:line="276" w:lineRule="auto"/>
              <w:jc w:val="left"/>
            </w:pPr>
            <w:r>
              <w:rPr>
                <w:rFonts w:ascii="Consolas" w:hAnsi="Consolas"/>
                <w:color w:val="1E293B"/>
                <w:sz w:val="18"/>
              </w:rPr>
              <w:t xml:space="preserve">        learning_rate=0.1,</w:t>
            </w:r>
          </w:p>
          <w:p>
            <w:pPr>
              <w:spacing w:before="0" w:after="30" w:line="276" w:lineRule="auto"/>
              <w:jc w:val="left"/>
            </w:pPr>
            <w:r>
              <w:rPr>
                <w:rFonts w:ascii="Consolas" w:hAnsi="Consolas"/>
                <w:color w:val="1E293B"/>
                <w:sz w:val="18"/>
              </w:rPr>
              <w:t xml:space="preserve">        objective='multi:softprob',</w:t>
            </w:r>
          </w:p>
          <w:p>
            <w:pPr>
              <w:spacing w:before="0" w:after="30" w:line="276" w:lineRule="auto"/>
              <w:jc w:val="left"/>
            </w:pPr>
            <w:r>
              <w:rPr>
                <w:rFonts w:ascii="Consolas" w:hAnsi="Consolas"/>
                <w:color w:val="1E293B"/>
                <w:sz w:val="18"/>
              </w:rPr>
              <w:t xml:space="preserve">        num_class=3, # 0: Bearish, 1: Neutral, 2: Bullish</w:t>
            </w:r>
          </w:p>
          <w:p>
            <w:pPr>
              <w:spacing w:before="0" w:after="30" w:line="276" w:lineRule="auto"/>
              <w:jc w:val="left"/>
            </w:pPr>
            <w:r>
              <w:rPr>
                <w:rFonts w:ascii="Consolas" w:hAnsi="Consolas"/>
                <w:color w:val="1E293B"/>
                <w:sz w:val="18"/>
              </w:rPr>
              <w:t xml:space="preserve">        random_state=42</w:t>
            </w:r>
          </w:p>
          <w:p>
            <w:pPr>
              <w:spacing w:before="0" w:after="30" w:line="276" w:lineRule="auto"/>
              <w:jc w:val="left"/>
            </w:pPr>
            <w:r>
              <w:rPr>
                <w:rFonts w:ascii="Consolas" w:hAnsi="Consolas"/>
                <w:color w:val="1E293B"/>
                <w:sz w:val="18"/>
              </w:rPr>
              <w:t xml:space="preserve">    )</w:t>
            </w:r>
          </w:p>
          <w:p>
            <w:pPr>
              <w:spacing w:before="0" w:after="30" w:line="276" w:lineRule="auto"/>
              <w:jc w:val="left"/>
            </w:pPr>
            <w:r>
              <w:rPr>
                <w:rFonts w:ascii="Consolas" w:hAnsi="Consolas"/>
                <w:color w:val="1E293B"/>
                <w:sz w:val="18"/>
              </w:rPr>
              <w:t xml:space="preserve">    self.xgb_model.fit(X_combined, y)</w:t>
            </w:r>
          </w:p>
        </w:tc>
      </w:tr>
    </w:tbl>
    <w:p>
      <w:pPr>
        <w:spacing w:before="0" w:after="200" w:line="240" w:lineRule="auto"/>
      </w:pPr>
    </w:p>
    <w:p>
      <w:pPr>
        <w:keepNext/>
        <w:spacing w:before="240" w:after="80"/>
        <w:jc w:val="left"/>
      </w:pPr>
      <w:r>
        <w:rPr>
          <w:rFonts w:ascii="Times New Roman" w:hAnsi="Times New Roman"/>
          <w:b/>
          <w:sz w:val="22"/>
        </w:rPr>
        <w:t>Listing B.3: Acoustic Alarm Synthesizer via Web Audio API (audioAlarm.ts)</w:t>
      </w:r>
    </w:p>
    <w:tbl>
      <w:tblPr>
        <w:tblW w:type="auto" w:w="0"/>
        <w:jc w:val="center"/>
        <w:tblLayout w:type="fixed"/>
        <w:tblLook w:firstColumn="1" w:firstRow="1" w:lastColumn="0" w:lastRow="0" w:noHBand="0" w:noVBand="1" w:val="04A0"/>
      </w:tblPr>
      <w:tblGrid>
        <w:gridCol w:w="8669"/>
      </w:tblGrid>
      <w:tr>
        <w:trPr>
          <w:cantSplit/>
        </w:trPr>
        <w:tc>
          <w:tcPr>
            <w:tcW w:type="dxa" w:w="8669"/>
            <w:tcMar>
              <w:top w:w="100" w:type="dxa"/>
              <w:bottom w:w="100" w:type="dxa"/>
              <w:left w:w="140" w:type="dxa"/>
              <w:right w:w="140" w:type="dxa"/>
            </w:tcMar>
            <w:shd w:fill="F8FAFC"/>
            <w:tcBorders>
              <w:top w:val="single" w:sz="4" w:space="0" w:color="CBD5E1"/>
              <w:bottom w:val="single" w:sz="4" w:space="0" w:color="CBD5E1"/>
              <w:left w:val="single" w:sz="16" w:space="0" w:color="2563EB"/>
              <w:right w:val="single" w:sz="4" w:space="0" w:color="CBD5E1"/>
            </w:tcBorders>
          </w:tcPr>
          <w:p>
            <w:pPr>
              <w:spacing w:before="0" w:after="30" w:line="276" w:lineRule="auto"/>
              <w:jc w:val="left"/>
            </w:pPr>
            <w:r>
              <w:rPr>
                <w:rFonts w:ascii="Consolas" w:hAnsi="Consolas"/>
                <w:color w:val="1E293B"/>
                <w:sz w:val="18"/>
              </w:rPr>
              <w:t>public playChime() {</w:t>
            </w:r>
          </w:p>
          <w:p>
            <w:pPr>
              <w:spacing w:before="0" w:after="30" w:line="276" w:lineRule="auto"/>
              <w:jc w:val="left"/>
            </w:pPr>
            <w:r>
              <w:rPr>
                <w:rFonts w:ascii="Consolas" w:hAnsi="Consolas"/>
                <w:color w:val="1E293B"/>
                <w:sz w:val="18"/>
              </w:rPr>
              <w:t xml:space="preserve">    if (!this.soundEnabled) return;</w:t>
            </w:r>
          </w:p>
          <w:p>
            <w:pPr>
              <w:spacing w:before="0" w:after="30" w:line="276" w:lineRule="auto"/>
              <w:jc w:val="left"/>
            </w:pPr>
            <w:r>
              <w:rPr>
                <w:rFonts w:ascii="Consolas" w:hAnsi="Consolas"/>
                <w:color w:val="1E293B"/>
                <w:sz w:val="18"/>
              </w:rPr>
              <w:t xml:space="preserve">    this.initContext();</w:t>
            </w:r>
          </w:p>
          <w:p>
            <w:pPr>
              <w:spacing w:before="0" w:after="30" w:line="276" w:lineRule="auto"/>
              <w:jc w:val="left"/>
            </w:pPr>
            <w:r>
              <w:rPr>
                <w:rFonts w:ascii="Consolas" w:hAnsi="Consolas"/>
                <w:color w:val="1E293B"/>
                <w:sz w:val="18"/>
              </w:rPr>
              <w:t xml:space="preserve">    const now = this.ctx.currentTime;</w:t>
            </w:r>
          </w:p>
          <w:p>
            <w:pPr>
              <w:spacing w:before="0" w:after="30" w:line="276" w:lineRule="auto"/>
              <w:jc w:val="left"/>
            </w:pPr>
            <w:r>
              <w:rPr>
                <w:rFonts w:ascii="Consolas" w:hAnsi="Consolas"/>
                <w:color w:val="1E293B"/>
                <w:sz w:val="18"/>
              </w:rPr>
              <w:t xml:space="preserve">    const notes = [587.33, 739.99, 880.0]; // D5, F#5, A5 Triad Chord</w:t>
            </w:r>
          </w:p>
          <w:p>
            <w:pPr>
              <w:spacing w:before="0" w:after="30" w:line="276" w:lineRule="auto"/>
              <w:jc w:val="left"/>
            </w:pPr>
            <w:r>
              <w:rPr>
                <w:rFonts w:ascii="Consolas" w:hAnsi="Consolas"/>
                <w:color w:val="1E293B"/>
                <w:sz w:val="18"/>
              </w:rPr>
              <w:t xml:space="preserve">    const noteDuration = 0.12;</w:t>
            </w:r>
          </w:p>
          <w:p>
            <w:pPr>
              <w:spacing w:before="0" w:after="30" w:line="276" w:lineRule="auto"/>
              <w:jc w:val="left"/>
            </w:pPr>
            <w:r>
              <w:rPr>
                <w:rFonts w:ascii="Consolas" w:hAnsi="Consolas"/>
                <w:color w:val="1E293B"/>
                <w:sz w:val="18"/>
              </w:rPr>
              <w:t xml:space="preserve"> </w:t>
            </w:r>
          </w:p>
          <w:p>
            <w:pPr>
              <w:spacing w:before="0" w:after="30" w:line="276" w:lineRule="auto"/>
              <w:jc w:val="left"/>
            </w:pPr>
            <w:r>
              <w:rPr>
                <w:rFonts w:ascii="Consolas" w:hAnsi="Consolas"/>
                <w:color w:val="1E293B"/>
                <w:sz w:val="18"/>
              </w:rPr>
              <w:t xml:space="preserve">    notes.forEach((freq, idx) =&gt; {</w:t>
            </w:r>
          </w:p>
          <w:p>
            <w:pPr>
              <w:spacing w:before="0" w:after="30" w:line="276" w:lineRule="auto"/>
              <w:jc w:val="left"/>
            </w:pPr>
            <w:r>
              <w:rPr>
                <w:rFonts w:ascii="Consolas" w:hAnsi="Consolas"/>
                <w:color w:val="1E293B"/>
                <w:sz w:val="18"/>
              </w:rPr>
              <w:t xml:space="preserve">        const osc = this.ctx.createOscillator();</w:t>
            </w:r>
          </w:p>
          <w:p>
            <w:pPr>
              <w:spacing w:before="0" w:after="30" w:line="276" w:lineRule="auto"/>
              <w:jc w:val="left"/>
            </w:pPr>
            <w:r>
              <w:rPr>
                <w:rFonts w:ascii="Consolas" w:hAnsi="Consolas"/>
                <w:color w:val="1E293B"/>
                <w:sz w:val="18"/>
              </w:rPr>
              <w:t xml:space="preserve">        const gain = this.ctx.createGain();</w:t>
            </w:r>
          </w:p>
          <w:p>
            <w:pPr>
              <w:spacing w:before="0" w:after="30" w:line="276" w:lineRule="auto"/>
              <w:jc w:val="left"/>
            </w:pPr>
            <w:r>
              <w:rPr>
                <w:rFonts w:ascii="Consolas" w:hAnsi="Consolas"/>
                <w:color w:val="1E293B"/>
                <w:sz w:val="18"/>
              </w:rPr>
              <w:t xml:space="preserve">        osc.type = 'sine';</w:t>
            </w:r>
          </w:p>
          <w:p>
            <w:pPr>
              <w:spacing w:before="0" w:after="30" w:line="276" w:lineRule="auto"/>
              <w:jc w:val="left"/>
            </w:pPr>
            <w:r>
              <w:rPr>
                <w:rFonts w:ascii="Consolas" w:hAnsi="Consolas"/>
                <w:color w:val="1E293B"/>
                <w:sz w:val="18"/>
              </w:rPr>
              <w:t xml:space="preserve">        osc.frequency.setValueAtTime(freq, now + idx * noteDuration);</w:t>
            </w:r>
          </w:p>
          <w:p>
            <w:pPr>
              <w:spacing w:before="0" w:after="30" w:line="276" w:lineRule="auto"/>
              <w:jc w:val="left"/>
            </w:pPr>
            <w:r>
              <w:rPr>
                <w:rFonts w:ascii="Consolas" w:hAnsi="Consolas"/>
                <w:color w:val="1E293B"/>
                <w:sz w:val="18"/>
              </w:rPr>
              <w:t xml:space="preserve">        </w:t>
            </w:r>
          </w:p>
          <w:p>
            <w:pPr>
              <w:spacing w:before="0" w:after="30" w:line="276" w:lineRule="auto"/>
              <w:jc w:val="left"/>
            </w:pPr>
            <w:r>
              <w:rPr>
                <w:rFonts w:ascii="Consolas" w:hAnsi="Consolas"/>
                <w:color w:val="1E293B"/>
                <w:sz w:val="18"/>
              </w:rPr>
              <w:t xml:space="preserve">        const startTime = now + idx * noteDuration;</w:t>
            </w:r>
          </w:p>
          <w:p>
            <w:pPr>
              <w:spacing w:before="0" w:after="30" w:line="276" w:lineRule="auto"/>
              <w:jc w:val="left"/>
            </w:pPr>
            <w:r>
              <w:rPr>
                <w:rFonts w:ascii="Consolas" w:hAnsi="Consolas"/>
                <w:color w:val="1E293B"/>
                <w:sz w:val="18"/>
              </w:rPr>
              <w:t xml:space="preserve">        gain.gain.setValueAtTime(0, startTime);</w:t>
            </w:r>
          </w:p>
          <w:p>
            <w:pPr>
              <w:spacing w:before="0" w:after="30" w:line="276" w:lineRule="auto"/>
              <w:jc w:val="left"/>
            </w:pPr>
            <w:r>
              <w:rPr>
                <w:rFonts w:ascii="Consolas" w:hAnsi="Consolas"/>
                <w:color w:val="1E293B"/>
                <w:sz w:val="18"/>
              </w:rPr>
              <w:t xml:space="preserve">        gain.gain.linearRampToValueAtTime(0.25, startTime + 0.02);</w:t>
            </w:r>
          </w:p>
          <w:p>
            <w:pPr>
              <w:spacing w:before="0" w:after="30" w:line="276" w:lineRule="auto"/>
              <w:jc w:val="left"/>
            </w:pPr>
            <w:r>
              <w:rPr>
                <w:rFonts w:ascii="Consolas" w:hAnsi="Consolas"/>
                <w:color w:val="1E293B"/>
                <w:sz w:val="18"/>
              </w:rPr>
              <w:t xml:space="preserve">        gain.gain.exponentialRampToValueAtTime(0.001, startTime + 0.4);</w:t>
            </w:r>
          </w:p>
          <w:p>
            <w:pPr>
              <w:spacing w:before="0" w:after="30" w:line="276" w:lineRule="auto"/>
              <w:jc w:val="left"/>
            </w:pPr>
            <w:r>
              <w:rPr>
                <w:rFonts w:ascii="Consolas" w:hAnsi="Consolas"/>
                <w:color w:val="1E293B"/>
                <w:sz w:val="18"/>
              </w:rPr>
              <w:t xml:space="preserve">        </w:t>
            </w:r>
          </w:p>
          <w:p>
            <w:pPr>
              <w:spacing w:before="0" w:after="30" w:line="276" w:lineRule="auto"/>
              <w:jc w:val="left"/>
            </w:pPr>
            <w:r>
              <w:rPr>
                <w:rFonts w:ascii="Consolas" w:hAnsi="Consolas"/>
                <w:color w:val="1E293B"/>
                <w:sz w:val="18"/>
              </w:rPr>
              <w:t xml:space="preserve">        osc.connect(gain);</w:t>
            </w:r>
          </w:p>
          <w:p>
            <w:pPr>
              <w:spacing w:before="0" w:after="30" w:line="276" w:lineRule="auto"/>
              <w:jc w:val="left"/>
            </w:pPr>
            <w:r>
              <w:rPr>
                <w:rFonts w:ascii="Consolas" w:hAnsi="Consolas"/>
                <w:color w:val="1E293B"/>
                <w:sz w:val="18"/>
              </w:rPr>
              <w:t xml:space="preserve">        gain.connect(this.ctx.destination);</w:t>
            </w:r>
          </w:p>
          <w:p>
            <w:pPr>
              <w:spacing w:before="0" w:after="30" w:line="276" w:lineRule="auto"/>
              <w:jc w:val="left"/>
            </w:pPr>
            <w:r>
              <w:rPr>
                <w:rFonts w:ascii="Consolas" w:hAnsi="Consolas"/>
                <w:color w:val="1E293B"/>
                <w:sz w:val="18"/>
              </w:rPr>
              <w:t xml:space="preserve">        osc.start(startTime);</w:t>
            </w:r>
          </w:p>
          <w:p>
            <w:pPr>
              <w:spacing w:before="0" w:after="30" w:line="276" w:lineRule="auto"/>
              <w:jc w:val="left"/>
            </w:pPr>
            <w:r>
              <w:rPr>
                <w:rFonts w:ascii="Consolas" w:hAnsi="Consolas"/>
                <w:color w:val="1E293B"/>
                <w:sz w:val="18"/>
              </w:rPr>
              <w:t xml:space="preserve">        osc.stop(startTime + 0.45);</w:t>
            </w:r>
          </w:p>
          <w:p>
            <w:pPr>
              <w:spacing w:before="0" w:after="30" w:line="276" w:lineRule="auto"/>
              <w:jc w:val="left"/>
            </w:pPr>
            <w:r>
              <w:rPr>
                <w:rFonts w:ascii="Consolas" w:hAnsi="Consolas"/>
                <w:color w:val="1E293B"/>
                <w:sz w:val="18"/>
              </w:rPr>
              <w:t xml:space="preserve">    });</w:t>
            </w:r>
          </w:p>
          <w:p>
            <w:pPr>
              <w:spacing w:before="0" w:after="30" w:line="276" w:lineRule="auto"/>
              <w:jc w:val="left"/>
            </w:pPr>
            <w:r>
              <w:rPr>
                <w:rFonts w:ascii="Consolas" w:hAnsi="Consolas"/>
                <w:color w:val="1E293B"/>
                <w:sz w:val="18"/>
              </w:rPr>
              <w:t>}</w:t>
            </w:r>
          </w:p>
        </w:tc>
      </w:tr>
    </w:tbl>
    <w:p>
      <w:pPr>
        <w:spacing w:before="0" w:after="200" w:line="240" w:lineRule="auto"/>
      </w:pPr>
    </w:p>
    <w:p>
      <w:pPr>
        <w:keepNext/>
        <w:spacing w:before="240" w:after="80"/>
        <w:jc w:val="left"/>
      </w:pPr>
      <w:r>
        <w:rPr>
          <w:rFonts w:ascii="Times New Roman" w:hAnsi="Times New Roman"/>
          <w:b/>
          <w:sz w:val="22"/>
        </w:rPr>
        <w:t>Listing B.4: Real-Time Multi-Condition Alert Evaluation Engine (alerts.service.ts)</w:t>
      </w:r>
    </w:p>
    <w:tbl>
      <w:tblPr>
        <w:tblW w:type="auto" w:w="0"/>
        <w:jc w:val="center"/>
        <w:tblLayout w:type="fixed"/>
        <w:tblLook w:firstColumn="1" w:firstRow="1" w:lastColumn="0" w:lastRow="0" w:noHBand="0" w:noVBand="1" w:val="04A0"/>
      </w:tblPr>
      <w:tblGrid>
        <w:gridCol w:w="8669"/>
      </w:tblGrid>
      <w:tr>
        <w:trPr>
          <w:cantSplit/>
        </w:trPr>
        <w:tc>
          <w:tcPr>
            <w:tcW w:type="dxa" w:w="8669"/>
            <w:tcMar>
              <w:top w:w="100" w:type="dxa"/>
              <w:bottom w:w="100" w:type="dxa"/>
              <w:left w:w="140" w:type="dxa"/>
              <w:right w:w="140" w:type="dxa"/>
            </w:tcMar>
            <w:shd w:fill="F8FAFC"/>
            <w:tcBorders>
              <w:top w:val="single" w:sz="4" w:space="0" w:color="CBD5E1"/>
              <w:bottom w:val="single" w:sz="4" w:space="0" w:color="CBD5E1"/>
              <w:left w:val="single" w:sz="16" w:space="0" w:color="2563EB"/>
              <w:right w:val="single" w:sz="4" w:space="0" w:color="CBD5E1"/>
            </w:tcBorders>
          </w:tcPr>
          <w:p>
            <w:pPr>
              <w:spacing w:before="0" w:after="30" w:line="276" w:lineRule="auto"/>
              <w:jc w:val="left"/>
            </w:pPr>
            <w:r>
              <w:rPr>
                <w:rFonts w:ascii="Consolas" w:hAnsi="Consolas"/>
                <w:color w:val="1E293B"/>
                <w:sz w:val="18"/>
              </w:rPr>
              <w:t>async evaluateAlerts(currentPrices: Map&lt;string, number&gt;, currentRSI?: Map&lt;string, number&gt;) {</w:t>
            </w:r>
          </w:p>
          <w:p>
            <w:pPr>
              <w:spacing w:before="0" w:after="30" w:line="276" w:lineRule="auto"/>
              <w:jc w:val="left"/>
            </w:pPr>
            <w:r>
              <w:rPr>
                <w:rFonts w:ascii="Consolas" w:hAnsi="Consolas"/>
                <w:color w:val="1E293B"/>
                <w:sz w:val="18"/>
              </w:rPr>
              <w:t xml:space="preserve">    const activeAlerts = await this.prisma.alert.findMany({ where: { isActive: true } });</w:t>
            </w:r>
          </w:p>
          <w:p>
            <w:pPr>
              <w:spacing w:before="0" w:after="30" w:line="276" w:lineRule="auto"/>
              <w:jc w:val="left"/>
            </w:pPr>
            <w:r>
              <w:rPr>
                <w:rFonts w:ascii="Consolas" w:hAnsi="Consolas"/>
                <w:color w:val="1E293B"/>
                <w:sz w:val="18"/>
              </w:rPr>
              <w:t xml:space="preserve">    const triggeredList = [];</w:t>
            </w:r>
          </w:p>
          <w:p>
            <w:pPr>
              <w:spacing w:before="0" w:after="30" w:line="276" w:lineRule="auto"/>
              <w:jc w:val="left"/>
            </w:pPr>
            <w:r>
              <w:rPr>
                <w:rFonts w:ascii="Consolas" w:hAnsi="Consolas"/>
                <w:color w:val="1E293B"/>
                <w:sz w:val="18"/>
              </w:rPr>
              <w:t xml:space="preserve"> </w:t>
            </w:r>
          </w:p>
          <w:p>
            <w:pPr>
              <w:spacing w:before="0" w:after="30" w:line="276" w:lineRule="auto"/>
              <w:jc w:val="left"/>
            </w:pPr>
            <w:r>
              <w:rPr>
                <w:rFonts w:ascii="Consolas" w:hAnsi="Consolas"/>
                <w:color w:val="1E293B"/>
                <w:sz w:val="18"/>
              </w:rPr>
              <w:t xml:space="preserve">    for (const alert of activeAlerts) {</w:t>
            </w:r>
          </w:p>
          <w:p>
            <w:pPr>
              <w:spacing w:before="0" w:after="30" w:line="276" w:lineRule="auto"/>
              <w:jc w:val="left"/>
            </w:pPr>
            <w:r>
              <w:rPr>
                <w:rFonts w:ascii="Consolas" w:hAnsi="Consolas"/>
                <w:color w:val="1E293B"/>
                <w:sz w:val="18"/>
              </w:rPr>
              <w:t xml:space="preserve">        const ltp = currentPrices.get(alert.symbol);</w:t>
            </w:r>
          </w:p>
          <w:p>
            <w:pPr>
              <w:spacing w:before="0" w:after="30" w:line="276" w:lineRule="auto"/>
              <w:jc w:val="left"/>
            </w:pPr>
            <w:r>
              <w:rPr>
                <w:rFonts w:ascii="Consolas" w:hAnsi="Consolas"/>
                <w:color w:val="1E293B"/>
                <w:sz w:val="18"/>
              </w:rPr>
              <w:t xml:space="preserve">        if (!ltp) continue;</w:t>
            </w:r>
          </w:p>
          <w:p>
            <w:pPr>
              <w:spacing w:before="0" w:after="30" w:line="276" w:lineRule="auto"/>
              <w:jc w:val="left"/>
            </w:pPr>
            <w:r>
              <w:rPr>
                <w:rFonts w:ascii="Consolas" w:hAnsi="Consolas"/>
                <w:color w:val="1E293B"/>
                <w:sz w:val="18"/>
              </w:rPr>
              <w:t xml:space="preserve">        let isMet = false;</w:t>
            </w:r>
          </w:p>
          <w:p>
            <w:pPr>
              <w:spacing w:before="0" w:after="30" w:line="276" w:lineRule="auto"/>
              <w:jc w:val="left"/>
            </w:pPr>
            <w:r>
              <w:rPr>
                <w:rFonts w:ascii="Consolas" w:hAnsi="Consolas"/>
                <w:color w:val="1E293B"/>
                <w:sz w:val="18"/>
              </w:rPr>
              <w:t xml:space="preserve"> </w:t>
            </w:r>
          </w:p>
          <w:p>
            <w:pPr>
              <w:spacing w:before="0" w:after="30" w:line="276" w:lineRule="auto"/>
              <w:jc w:val="left"/>
            </w:pPr>
            <w:r>
              <w:rPr>
                <w:rFonts w:ascii="Consolas" w:hAnsi="Consolas"/>
                <w:color w:val="1E293B"/>
                <w:sz w:val="18"/>
              </w:rPr>
              <w:t xml:space="preserve">        switch (alert.condition) {</w:t>
            </w:r>
          </w:p>
          <w:p>
            <w:pPr>
              <w:spacing w:before="0" w:after="30" w:line="276" w:lineRule="auto"/>
              <w:jc w:val="left"/>
            </w:pPr>
            <w:r>
              <w:rPr>
                <w:rFonts w:ascii="Consolas" w:hAnsi="Consolas"/>
                <w:color w:val="1E293B"/>
                <w:sz w:val="18"/>
              </w:rPr>
              <w:t xml:space="preserve">            case 'ABOVE': isMet = ltp &gt;= alert.targetValue; break;</w:t>
            </w:r>
          </w:p>
          <w:p>
            <w:pPr>
              <w:spacing w:before="0" w:after="30" w:line="276" w:lineRule="auto"/>
              <w:jc w:val="left"/>
            </w:pPr>
            <w:r>
              <w:rPr>
                <w:rFonts w:ascii="Consolas" w:hAnsi="Consolas"/>
                <w:color w:val="1E293B"/>
                <w:sz w:val="18"/>
              </w:rPr>
              <w:t xml:space="preserve">            case 'BELOW': isMet = ltp &lt;= alert.targetValue; break;</w:t>
            </w:r>
          </w:p>
          <w:p>
            <w:pPr>
              <w:spacing w:before="0" w:after="30" w:line="276" w:lineRule="auto"/>
              <w:jc w:val="left"/>
            </w:pPr>
            <w:r>
              <w:rPr>
                <w:rFonts w:ascii="Consolas" w:hAnsi="Consolas"/>
                <w:color w:val="1E293B"/>
                <w:sz w:val="18"/>
              </w:rPr>
              <w:t xml:space="preserve">            case 'RSI_OVERSOLD':</w:t>
            </w:r>
          </w:p>
          <w:p>
            <w:pPr>
              <w:spacing w:before="0" w:after="30" w:line="276" w:lineRule="auto"/>
              <w:jc w:val="left"/>
            </w:pPr>
            <w:r>
              <w:rPr>
                <w:rFonts w:ascii="Consolas" w:hAnsi="Consolas"/>
                <w:color w:val="1E293B"/>
                <w:sz w:val="18"/>
              </w:rPr>
              <w:t xml:space="preserve">                const rsiVal = currentRSI?.get(alert.symbol);</w:t>
            </w:r>
          </w:p>
          <w:p>
            <w:pPr>
              <w:spacing w:before="0" w:after="30" w:line="276" w:lineRule="auto"/>
              <w:jc w:val="left"/>
            </w:pPr>
            <w:r>
              <w:rPr>
                <w:rFonts w:ascii="Consolas" w:hAnsi="Consolas"/>
                <w:color w:val="1E293B"/>
                <w:sz w:val="18"/>
              </w:rPr>
              <w:t xml:space="preserve">                if (rsiVal) isMet = rsiVal &lt;= alert.targetValue;</w:t>
            </w:r>
          </w:p>
          <w:p>
            <w:pPr>
              <w:spacing w:before="0" w:after="30" w:line="276" w:lineRule="auto"/>
              <w:jc w:val="left"/>
            </w:pPr>
            <w:r>
              <w:rPr>
                <w:rFonts w:ascii="Consolas" w:hAnsi="Consolas"/>
                <w:color w:val="1E293B"/>
                <w:sz w:val="18"/>
              </w:rPr>
              <w:t xml:space="preserve">                break;</w:t>
            </w:r>
          </w:p>
          <w:p>
            <w:pPr>
              <w:spacing w:before="0" w:after="30" w:line="276" w:lineRule="auto"/>
              <w:jc w:val="left"/>
            </w:pPr>
            <w:r>
              <w:rPr>
                <w:rFonts w:ascii="Consolas" w:hAnsi="Consolas"/>
                <w:color w:val="1E293B"/>
                <w:sz w:val="18"/>
              </w:rPr>
              <w:t xml:space="preserve">        }</w:t>
            </w:r>
          </w:p>
          <w:p>
            <w:pPr>
              <w:spacing w:before="0" w:after="30" w:line="276" w:lineRule="auto"/>
              <w:jc w:val="left"/>
            </w:pPr>
            <w:r>
              <w:rPr>
                <w:rFonts w:ascii="Consolas" w:hAnsi="Consolas"/>
                <w:color w:val="1E293B"/>
                <w:sz w:val="18"/>
              </w:rPr>
              <w:t xml:space="preserve"> </w:t>
            </w:r>
          </w:p>
          <w:p>
            <w:pPr>
              <w:spacing w:before="0" w:after="30" w:line="276" w:lineRule="auto"/>
              <w:jc w:val="left"/>
            </w:pPr>
            <w:r>
              <w:rPr>
                <w:rFonts w:ascii="Consolas" w:hAnsi="Consolas"/>
                <w:color w:val="1E293B"/>
                <w:sz w:val="18"/>
              </w:rPr>
              <w:t xml:space="preserve">        if (isMet) {</w:t>
            </w:r>
          </w:p>
          <w:p>
            <w:pPr>
              <w:spacing w:before="0" w:after="30" w:line="276" w:lineRule="auto"/>
              <w:jc w:val="left"/>
            </w:pPr>
            <w:r>
              <w:rPr>
                <w:rFonts w:ascii="Consolas" w:hAnsi="Consolas"/>
                <w:color w:val="1E293B"/>
                <w:sz w:val="18"/>
              </w:rPr>
              <w:t xml:space="preserve">            await this.prisma.alert.update({</w:t>
            </w:r>
          </w:p>
          <w:p>
            <w:pPr>
              <w:spacing w:before="0" w:after="30" w:line="276" w:lineRule="auto"/>
              <w:jc w:val="left"/>
            </w:pPr>
            <w:r>
              <w:rPr>
                <w:rFonts w:ascii="Consolas" w:hAnsi="Consolas"/>
                <w:color w:val="1E293B"/>
                <w:sz w:val="18"/>
              </w:rPr>
              <w:t xml:space="preserve">                where: { id: alert.id },</w:t>
            </w:r>
          </w:p>
          <w:p>
            <w:pPr>
              <w:spacing w:before="0" w:after="30" w:line="276" w:lineRule="auto"/>
              <w:jc w:val="left"/>
            </w:pPr>
            <w:r>
              <w:rPr>
                <w:rFonts w:ascii="Consolas" w:hAnsi="Consolas"/>
                <w:color w:val="1E293B"/>
                <w:sz w:val="18"/>
              </w:rPr>
              <w:t xml:space="preserve">                data: { triggered: true, triggeredAt: new Date() }</w:t>
            </w:r>
          </w:p>
          <w:p>
            <w:pPr>
              <w:spacing w:before="0" w:after="30" w:line="276" w:lineRule="auto"/>
              <w:jc w:val="left"/>
            </w:pPr>
            <w:r>
              <w:rPr>
                <w:rFonts w:ascii="Consolas" w:hAnsi="Consolas"/>
                <w:color w:val="1E293B"/>
                <w:sz w:val="18"/>
              </w:rPr>
              <w:t xml:space="preserve">            });</w:t>
            </w:r>
          </w:p>
          <w:p>
            <w:pPr>
              <w:spacing w:before="0" w:after="30" w:line="276" w:lineRule="auto"/>
              <w:jc w:val="left"/>
            </w:pPr>
            <w:r>
              <w:rPr>
                <w:rFonts w:ascii="Consolas" w:hAnsi="Consolas"/>
                <w:color w:val="1E293B"/>
                <w:sz w:val="18"/>
              </w:rPr>
              <w:t xml:space="preserve">            triggeredList.push(alert);</w:t>
            </w:r>
          </w:p>
          <w:p>
            <w:pPr>
              <w:spacing w:before="0" w:after="30" w:line="276" w:lineRule="auto"/>
              <w:jc w:val="left"/>
            </w:pPr>
            <w:r>
              <w:rPr>
                <w:rFonts w:ascii="Consolas" w:hAnsi="Consolas"/>
                <w:color w:val="1E293B"/>
                <w:sz w:val="18"/>
              </w:rPr>
              <w:t xml:space="preserve">        }</w:t>
            </w:r>
          </w:p>
          <w:p>
            <w:pPr>
              <w:spacing w:before="0" w:after="30" w:line="276" w:lineRule="auto"/>
              <w:jc w:val="left"/>
            </w:pPr>
            <w:r>
              <w:rPr>
                <w:rFonts w:ascii="Consolas" w:hAnsi="Consolas"/>
                <w:color w:val="1E293B"/>
                <w:sz w:val="18"/>
              </w:rPr>
              <w:t xml:space="preserve">    }</w:t>
            </w:r>
          </w:p>
          <w:p>
            <w:pPr>
              <w:spacing w:before="0" w:after="30" w:line="276" w:lineRule="auto"/>
              <w:jc w:val="left"/>
            </w:pPr>
            <w:r>
              <w:rPr>
                <w:rFonts w:ascii="Consolas" w:hAnsi="Consolas"/>
                <w:color w:val="1E293B"/>
                <w:sz w:val="18"/>
              </w:rPr>
              <w:t xml:space="preserve">    return triggeredList;</w:t>
            </w:r>
          </w:p>
          <w:p>
            <w:pPr>
              <w:spacing w:before="0" w:after="30" w:line="276" w:lineRule="auto"/>
              <w:jc w:val="left"/>
            </w:pPr>
            <w:r>
              <w:rPr>
                <w:rFonts w:ascii="Consolas" w:hAnsi="Consolas"/>
                <w:color w:val="1E293B"/>
                <w:sz w:val="18"/>
              </w:rPr>
              <w:t>}</w:t>
            </w:r>
          </w:p>
        </w:tc>
      </w:tr>
    </w:tbl>
    <w:p>
      <w:pPr>
        <w:spacing w:before="0" w:after="200" w:line="240" w:lineRule="auto"/>
      </w:pPr>
    </w:p>
    <w:p>
      <w:r>
        <w:br w:type="page"/>
      </w:r>
    </w:p>
    <w:p>
      <w:pPr>
        <w:keepNext/>
        <w:spacing w:before="280" w:after="120" w:line="276" w:lineRule="auto"/>
        <w:jc w:val="left"/>
      </w:pPr>
      <w:r>
        <w:rPr>
          <w:rFonts w:ascii="Times New Roman" w:hAnsi="Times New Roman"/>
          <w:b/>
          <w:sz w:val="28"/>
        </w:rPr>
        <w:t>Appendix C: Supervisor Visit Log Sheet</w:t>
      </w:r>
    </w:p>
    <w:p>
      <w:pPr>
        <w:keepNext/>
        <w:spacing w:before="240" w:after="80"/>
        <w:jc w:val="center"/>
      </w:pPr>
      <w:r>
        <w:rPr>
          <w:rFonts w:ascii="Times New Roman" w:hAnsi="Times New Roman"/>
          <w:b/>
          <w:sz w:val="24"/>
        </w:rPr>
        <w:t>Table C.1: Supervisor Consultation and Progress Log Sheet (8th Semester)</w:t>
      </w:r>
    </w:p>
    <w:tbl>
      <w:tblPr>
        <w:tblW w:type="auto" w:w="0"/>
        <w:jc w:val="center"/>
        <w:tblLayout w:type="fixed"/>
        <w:tblLook w:firstColumn="1" w:firstRow="1" w:lastColumn="0" w:lastRow="0" w:noHBand="0" w:noVBand="1" w:val="04A0"/>
      </w:tblPr>
      <w:tblGrid>
        <w:gridCol w:w="2167"/>
        <w:gridCol w:w="2167"/>
        <w:gridCol w:w="2167"/>
        <w:gridCol w:w="2167"/>
      </w:tblGrid>
      <w:tr>
        <w:trPr>
          <w:tblHeader/>
          <w:cantSplit/>
        </w:trPr>
        <w:tc>
          <w:tcPr>
            <w:tcW w:type="dxa" w:w="864"/>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center"/>
            </w:pPr>
            <w:r>
              <w:rPr>
                <w:rFonts w:ascii="Times New Roman" w:hAnsi="Times New Roman"/>
                <w:b/>
                <w:color w:val="FFFFFF"/>
                <w:sz w:val="21"/>
              </w:rPr>
              <w:t>S.N.</w:t>
            </w:r>
          </w:p>
        </w:tc>
        <w:tc>
          <w:tcPr>
            <w:tcW w:type="dxa" w:w="2304"/>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center"/>
            </w:pPr>
            <w:r>
              <w:rPr>
                <w:rFonts w:ascii="Times New Roman" w:hAnsi="Times New Roman"/>
                <w:b/>
                <w:color w:val="FFFFFF"/>
                <w:sz w:val="21"/>
              </w:rPr>
              <w:t>Milestone Date / Week</w:t>
            </w:r>
          </w:p>
        </w:tc>
        <w:tc>
          <w:tcPr>
            <w:tcW w:type="dxa" w:w="4637"/>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Topic Discussed &amp; Guidance Provided</w:t>
            </w:r>
          </w:p>
        </w:tc>
        <w:tc>
          <w:tcPr>
            <w:tcW w:type="dxa" w:w="2304"/>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center"/>
            </w:pPr>
            <w:r>
              <w:rPr>
                <w:rFonts w:ascii="Times New Roman" w:hAnsi="Times New Roman"/>
                <w:b/>
                <w:color w:val="FFFFFF"/>
                <w:sz w:val="21"/>
              </w:rPr>
              <w:t>Supervisor Signature</w:t>
            </w:r>
          </w:p>
        </w:tc>
      </w:tr>
      <w:tr>
        <w:trPr>
          <w:cantSplit/>
        </w:trPr>
        <w:tc>
          <w:tcPr>
            <w:tcW w:type="dxa" w:w="86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1</w:t>
            </w:r>
          </w:p>
        </w:tc>
        <w:tc>
          <w:tcPr>
            <w:tcW w:type="dxa" w:w="230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Week 2 (Initial Proposal)</w:t>
            </w:r>
          </w:p>
        </w:tc>
        <w:tc>
          <w:tcPr>
            <w:tcW w:type="dxa" w:w="463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Final capstone project proposal defense; problem scoping on NEPSE; architectural decoupling approval.</w:t>
            </w:r>
          </w:p>
        </w:tc>
        <w:tc>
          <w:tcPr>
            <w:tcW w:type="dxa" w:w="230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__________________</w:t>
            </w:r>
          </w:p>
        </w:tc>
      </w:tr>
      <w:tr>
        <w:trPr>
          <w:cantSplit/>
        </w:trPr>
        <w:tc>
          <w:tcPr>
            <w:tcW w:type="dxa" w:w="86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2</w:t>
            </w:r>
          </w:p>
        </w:tc>
        <w:tc>
          <w:tcPr>
            <w:tcW w:type="dxa" w:w="230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Week 5 (SRS &amp; Data Design)</w:t>
            </w:r>
          </w:p>
        </w:tc>
        <w:tc>
          <w:tcPr>
            <w:tcW w:type="dxa" w:w="463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Software Requirement Specifications (SRS) review; Prisma ORM schema design; dual SQLite/PostgreSQL architecture.</w:t>
            </w:r>
          </w:p>
        </w:tc>
        <w:tc>
          <w:tcPr>
            <w:tcW w:type="dxa" w:w="230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__________________</w:t>
            </w:r>
          </w:p>
        </w:tc>
      </w:tr>
      <w:tr>
        <w:trPr>
          <w:cantSplit/>
        </w:trPr>
        <w:tc>
          <w:tcPr>
            <w:tcW w:type="dxa" w:w="86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3</w:t>
            </w:r>
          </w:p>
        </w:tc>
        <w:tc>
          <w:tcPr>
            <w:tcW w:type="dxa" w:w="230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Week 8 (Technical Indicators)</w:t>
            </w:r>
          </w:p>
        </w:tc>
        <w:tc>
          <w:tcPr>
            <w:tcW w:type="dxa" w:w="463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Verification of TypeScript mathematical technical indicator algorithms (EMA, RSI, MACD, Bollinger Bands).</w:t>
            </w:r>
          </w:p>
        </w:tc>
        <w:tc>
          <w:tcPr>
            <w:tcW w:type="dxa" w:w="230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__________________</w:t>
            </w:r>
          </w:p>
        </w:tc>
      </w:tr>
      <w:tr>
        <w:trPr>
          <w:cantSplit/>
        </w:trPr>
        <w:tc>
          <w:tcPr>
            <w:tcW w:type="dxa" w:w="86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4</w:t>
            </w:r>
          </w:p>
        </w:tc>
        <w:tc>
          <w:tcPr>
            <w:tcW w:type="dxa" w:w="230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Week 10 (ML Pipeline Review)</w:t>
            </w:r>
          </w:p>
        </w:tc>
        <w:tc>
          <w:tcPr>
            <w:tcW w:type="dxa" w:w="463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Evaluation of PyTorch LSTM feature extractor and XGBoost softprob classification architecture.</w:t>
            </w:r>
          </w:p>
        </w:tc>
        <w:tc>
          <w:tcPr>
            <w:tcW w:type="dxa" w:w="230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__________________</w:t>
            </w:r>
          </w:p>
        </w:tc>
      </w:tr>
      <w:tr>
        <w:trPr>
          <w:cantSplit/>
        </w:trPr>
        <w:tc>
          <w:tcPr>
            <w:tcW w:type="dxa" w:w="86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5</w:t>
            </w:r>
          </w:p>
        </w:tc>
        <w:tc>
          <w:tcPr>
            <w:tcW w:type="dxa" w:w="230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Week 12 (Mid-Term Progress)</w:t>
            </w:r>
          </w:p>
        </w:tc>
        <w:tc>
          <w:tcPr>
            <w:tcW w:type="dxa" w:w="463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Mid-term defense: review of React 19 terminal, Web Audio alarm synthesizer, and paper portfolio tracker.</w:t>
            </w:r>
          </w:p>
        </w:tc>
        <w:tc>
          <w:tcPr>
            <w:tcW w:type="dxa" w:w="230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__________________</w:t>
            </w:r>
          </w:p>
        </w:tc>
      </w:tr>
      <w:tr>
        <w:trPr>
          <w:cantSplit/>
        </w:trPr>
        <w:tc>
          <w:tcPr>
            <w:tcW w:type="dxa" w:w="86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6</w:t>
            </w:r>
          </w:p>
        </w:tc>
        <w:tc>
          <w:tcPr>
            <w:tcW w:type="dxa" w:w="230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Week 14 (Testing &amp; QA Audit)</w:t>
            </w:r>
          </w:p>
        </w:tc>
        <w:tc>
          <w:tcPr>
            <w:tcW w:type="dxa" w:w="463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Comprehensive review of Jest unit test suites, integration test scenarios, and user acceptance testing.</w:t>
            </w:r>
          </w:p>
        </w:tc>
        <w:tc>
          <w:tcPr>
            <w:tcW w:type="dxa" w:w="230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__________________</w:t>
            </w:r>
          </w:p>
        </w:tc>
      </w:tr>
      <w:tr>
        <w:trPr>
          <w:cantSplit/>
        </w:trPr>
        <w:tc>
          <w:tcPr>
            <w:tcW w:type="dxa" w:w="86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7</w:t>
            </w:r>
          </w:p>
        </w:tc>
        <w:tc>
          <w:tcPr>
            <w:tcW w:type="dxa" w:w="230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Week 15 (Draft Report Review)</w:t>
            </w:r>
          </w:p>
        </w:tc>
        <w:tc>
          <w:tcPr>
            <w:tcW w:type="dxa" w:w="4637"/>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Submission and detailed line-by-line review of draft capstone documentation; formatting compliance check.</w:t>
            </w:r>
          </w:p>
        </w:tc>
        <w:tc>
          <w:tcPr>
            <w:tcW w:type="dxa" w:w="230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__________________</w:t>
            </w:r>
          </w:p>
        </w:tc>
      </w:tr>
      <w:tr>
        <w:trPr>
          <w:cantSplit/>
        </w:trPr>
        <w:tc>
          <w:tcPr>
            <w:tcW w:type="dxa" w:w="86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8</w:t>
            </w:r>
          </w:p>
        </w:tc>
        <w:tc>
          <w:tcPr>
            <w:tcW w:type="dxa" w:w="230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Week 16 (Final Oral Defense)</w:t>
            </w:r>
          </w:p>
        </w:tc>
        <w:tc>
          <w:tcPr>
            <w:tcW w:type="dxa" w:w="4637"/>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Final evaluation, viva-voce presentation dry-run, code demonstration, and report sign-off.</w:t>
            </w:r>
          </w:p>
        </w:tc>
        <w:tc>
          <w:tcPr>
            <w:tcW w:type="dxa" w:w="230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__________________</w:t>
            </w:r>
          </w:p>
        </w:tc>
      </w:tr>
    </w:tbl>
    <w:p>
      <w:pPr>
        <w:spacing w:before="0" w:after="160" w:line="240" w:lineRule="auto"/>
      </w:pPr>
    </w:p>
    <w:p>
      <w:r>
        <w:br w:type="page"/>
      </w:r>
    </w:p>
    <w:p>
      <w:pPr>
        <w:keepNext/>
        <w:spacing w:before="360" w:after="200" w:line="276" w:lineRule="auto"/>
        <w:jc w:val="left"/>
      </w:pPr>
      <w:r>
        <w:rPr>
          <w:rFonts w:ascii="Times New Roman" w:hAnsi="Times New Roman"/>
          <w:b/>
          <w:sz w:val="32"/>
        </w:rPr>
        <w:t>REFERENCES</w:t>
      </w:r>
    </w:p>
    <w:p>
      <w:pPr>
        <w:spacing w:line="276" w:lineRule="auto" w:after="120"/>
        <w:jc w:val="both"/>
      </w:pPr>
      <w:r>
        <w:rPr>
          <w:rFonts w:ascii="Times New Roman" w:hAnsi="Times New Roman"/>
          <w:sz w:val="22"/>
        </w:rPr>
        <w:t>[1] T. Fischer and C. Krauss, “Deep learning with long short-term memory networks for financial market predictions,” European Journal of Operational Research, vol. 270, no. 2, pp. 654–669, Oct. 2018.</w:t>
      </w:r>
    </w:p>
    <w:p>
      <w:pPr>
        <w:spacing w:line="276" w:lineRule="auto" w:after="120"/>
        <w:jc w:val="both"/>
      </w:pPr>
      <w:r>
        <w:rPr>
          <w:rFonts w:ascii="Times New Roman" w:hAnsi="Times New Roman"/>
          <w:sz w:val="22"/>
        </w:rPr>
        <w:t>[2] X. Chen, Y. Zhou, and H. Dai, “A robust stock trend prediction approach based on XGBoost and technical indicators,” IEEE Access, vol. 9, pp. 112431–112443, Aug. 2021.</w:t>
      </w:r>
    </w:p>
    <w:p>
      <w:pPr>
        <w:spacing w:line="276" w:lineRule="auto" w:after="120"/>
        <w:jc w:val="both"/>
      </w:pPr>
      <w:r>
        <w:rPr>
          <w:rFonts w:ascii="Times New Roman" w:hAnsi="Times New Roman"/>
          <w:sz w:val="22"/>
        </w:rPr>
        <w:t>[3] B. Shrestha and S. R. Joshi, “Empirical analysis of time series price prediction in the Nepal Stock Exchange using ARIMA models,” Journal of Science and Engineering, vol. 8, pp. 45–54, Dec. 2020.</w:t>
      </w:r>
    </w:p>
    <w:p>
      <w:pPr>
        <w:spacing w:line="276" w:lineRule="auto" w:after="120"/>
        <w:jc w:val="both"/>
      </w:pPr>
      <w:r>
        <w:rPr>
          <w:rFonts w:ascii="Times New Roman" w:hAnsi="Times New Roman"/>
          <w:sz w:val="22"/>
        </w:rPr>
        <w:t>[4] G. Bhattarai, “Technical analysis confluence and risk mitigation strategies in emerging capital markets: A case study of NEPSE banking equities,” NRB Economic Review, vol. 34, no. 1, pp. 22–39, 2022.</w:t>
      </w:r>
    </w:p>
    <w:p>
      <w:pPr>
        <w:spacing w:line="276" w:lineRule="auto" w:after="120"/>
        <w:jc w:val="both"/>
      </w:pPr>
      <w:r>
        <w:rPr>
          <w:rFonts w:ascii="Times New Roman" w:hAnsi="Times New Roman"/>
          <w:sz w:val="22"/>
        </w:rPr>
        <w:t>[5] M. Kumar and M. Thenmozhi, “Forecasting stock index movement: A comparison of support vector machines and random forest,” Indian Journal of Finance, vol. 8, no. 10, pp. 7–21, Oct. 2014.</w:t>
      </w:r>
    </w:p>
    <w:p>
      <w:pPr>
        <w:spacing w:line="276" w:lineRule="auto" w:after="120"/>
        <w:jc w:val="both"/>
      </w:pPr>
      <w:r>
        <w:rPr>
          <w:rFonts w:ascii="Times New Roman" w:hAnsi="Times New Roman"/>
          <w:sz w:val="22"/>
        </w:rPr>
        <w:t>[6] D. M. Q. Nelson, A. C. M. Pereira, and R. A. de Oliveira, “Stock market’s price movement prediction with LSTM neural networks,” in Proc. Int. Joint Conf. Neural Networks (IJCNN), Anchorage, AK, USA, 2017, pp. 1419–1426.</w:t>
      </w:r>
    </w:p>
    <w:p>
      <w:pPr>
        <w:spacing w:line="276" w:lineRule="auto" w:after="120"/>
        <w:jc w:val="both"/>
      </w:pPr>
      <w:r>
        <w:rPr>
          <w:rFonts w:ascii="Times New Roman" w:hAnsi="Times New Roman"/>
          <w:sz w:val="22"/>
        </w:rPr>
        <w:t>[7] O. B. Sezer, M. U. Gudelek, and A. M. Ozbayoglu, “Financial time series forecasting with deep learning: A systematic literature review: 2005–2019,” Applied Soft Computing, vol. 90, p. 106181, May 2020.</w:t>
      </w:r>
    </w:p>
    <w:p>
      <w:pPr>
        <w:spacing w:line="276" w:lineRule="auto" w:after="120"/>
        <w:jc w:val="both"/>
      </w:pPr>
      <w:r>
        <w:rPr>
          <w:rFonts w:ascii="Times New Roman" w:hAnsi="Times New Roman"/>
          <w:sz w:val="22"/>
        </w:rPr>
        <w:t>[8] D. Shah, H. Isah, and F. Zulkernine, “Stock market analysis: A review and taxonomy of prediction techniques,” International Journal of Financial Studies, vol. 7, no. 2, p. 26, May 2019.</w:t>
      </w:r>
    </w:p>
    <w:p>
      <w:pPr>
        <w:spacing w:line="276" w:lineRule="auto" w:after="120"/>
        <w:jc w:val="both"/>
      </w:pPr>
      <w:r>
        <w:rPr>
          <w:rFonts w:ascii="Times New Roman" w:hAnsi="Times New Roman"/>
          <w:sz w:val="22"/>
        </w:rPr>
        <w:t>[9] S. Hochreiter and J. Schmidhuber, “Long short-term memory,” Neural Computation, vol. 9, no. 8, pp. 1735–1780, Nov. 1997.</w:t>
      </w:r>
    </w:p>
    <w:p>
      <w:pPr>
        <w:spacing w:line="276" w:lineRule="auto" w:after="120"/>
        <w:jc w:val="both"/>
      </w:pPr>
      <w:r>
        <w:rPr>
          <w:rFonts w:ascii="Times New Roman" w:hAnsi="Times New Roman"/>
          <w:sz w:val="22"/>
        </w:rPr>
        <w:t>[10] T. Chen and C. Guestrin, “XGBoost: A scalable tree boosting system,” in Proc. 22nd ACM SIGKDD Int. Conf. Knowledge Discovery and Data Mining (KDD), San Francisco, CA, USA, 2016, pp. 785–794.</w:t>
      </w:r>
    </w:p>
    <w:p>
      <w:pPr>
        <w:spacing w:line="276" w:lineRule="auto" w:after="120"/>
        <w:jc w:val="both"/>
      </w:pPr>
      <w:r>
        <w:rPr>
          <w:rFonts w:ascii="Times New Roman" w:hAnsi="Times New Roman"/>
          <w:sz w:val="22"/>
        </w:rPr>
        <w:t>[11] J. W. Wilder, New Concepts in Technical Trading Systems. Greensboro, NC: Trend Research, 1978.</w:t>
      </w:r>
    </w:p>
    <w:p>
      <w:pPr>
        <w:spacing w:line="276" w:lineRule="auto" w:after="120"/>
        <w:jc w:val="both"/>
      </w:pPr>
      <w:r>
        <w:rPr>
          <w:rFonts w:ascii="Times New Roman" w:hAnsi="Times New Roman"/>
          <w:sz w:val="22"/>
        </w:rPr>
        <w:t>[12] G. Appel, Technical Analysis: Power Tools for Active Investors. Upper Saddle River, NJ: Financial Times Prentice Hall, 2005.</w:t>
      </w:r>
    </w:p>
    <w:p>
      <w:pPr>
        <w:spacing w:line="276" w:lineRule="auto" w:after="120"/>
        <w:jc w:val="both"/>
      </w:pPr>
      <w:r>
        <w:rPr>
          <w:rFonts w:ascii="Times New Roman" w:hAnsi="Times New Roman"/>
          <w:sz w:val="22"/>
        </w:rPr>
        <w:t>[13] J. Bollinger, Bollinger on Bollinger Bands. New York, NY: McGraw-Hill, 2002.</w:t>
      </w:r>
    </w:p>
    <w:p>
      <w:pPr>
        <w:spacing w:line="276" w:lineRule="auto" w:after="120"/>
        <w:jc w:val="both"/>
      </w:pPr>
      <w:r>
        <w:rPr>
          <w:rFonts w:ascii="Times New Roman" w:hAnsi="Times New Roman"/>
          <w:sz w:val="22"/>
        </w:rPr>
        <w:t>[14] E. F. Fama, “Efficient capital markets: A review of theory and empirical work,” The Journal of Finance, vol. 25, no. 2, pp. 383–417, May 1970.</w:t>
      </w:r>
    </w:p>
    <w:p>
      <w:pPr>
        <w:spacing w:line="276" w:lineRule="auto" w:after="120"/>
        <w:jc w:val="both"/>
      </w:pPr>
      <w:r>
        <w:rPr>
          <w:rFonts w:ascii="Times New Roman" w:hAnsi="Times New Roman"/>
          <w:sz w:val="22"/>
        </w:rPr>
        <w:t>[15] Nepal Stock Exchange (NEPSE), “NEPSE trading rules, automated matching bylaws, and circuit breaker directives,” Kathmandu, Nepal, Official Regulatory Publication, 2024. [Online]. Available: https://www.nepalstock.com.np.</w:t>
      </w:r>
    </w:p>
    <w:p>
      <w:pPr>
        <w:spacing w:line="276" w:lineRule="auto" w:after="120"/>
        <w:jc w:val="both"/>
      </w:pPr>
      <w:r>
        <w:rPr>
          <w:rFonts w:ascii="Times New Roman" w:hAnsi="Times New Roman"/>
          <w:sz w:val="22"/>
        </w:rPr>
        <w:t>[16] Nepal Rastra Bank (NRB), “Monetary policy dynamics, banking liquidity, and capital market supervision report,” Economic Research Department, Annual Report, Kathmandu, Nepal, 2025.</w:t>
      </w:r>
    </w:p>
    <w:sectPr w:rsidR="00FC693F" w:rsidRPr="0006063C" w:rsidSect="00034616">
      <w:headerReference w:type="default" r:id="rId10"/>
      <w:footerReference w:type="default" r:id="rId11"/>
      <w:pgSz w:w="11909" w:h="16834"/>
      <w:pgMar w:top="1440" w:right="1440" w:bottom="1440" w:left="1800" w:header="720" w:footer="720" w:gutter="0"/>
      <w:cols w:space="720"/>
      <w:docGrid w:linePitch="360"/>
      <w:pgNumType w:fmt="romanLower"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80" w:after="0"/>
      <w:jc w:val="center"/>
    </w:pPr>
    <w:r>
      <w:rPr>
        <w:rFonts w:ascii="Times New Roman" w:hAnsi="Times New Roman"/>
        <w:sz w:val="22"/>
      </w:r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80" w:after="0"/>
      <w:jc w:val="center"/>
    </w:pPr>
    <w:r>
      <w:rPr>
        <w:rFonts w:ascii="Times New Roman" w:hAnsi="Times New Roman"/>
        <w:sz w:val="22"/>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