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line="276" w:lineRule="auto"/>
        <w:jc w:val="center"/>
      </w:pPr>
      <w:r>
        <w:rPr>
          <w:rFonts w:ascii="Times New Roman" w:hAnsi="Times New Roman"/>
          <w:b/>
          <w:i w:val="0"/>
          <w:sz w:val="32"/>
        </w:rPr>
        <w:t>Tribhuvan University</w:t>
      </w:r>
    </w:p>
    <w:p>
      <w:pPr>
        <w:spacing w:before="0" w:after="720" w:line="276" w:lineRule="auto"/>
        <w:jc w:val="center"/>
      </w:pPr>
      <w:r>
        <w:rPr>
          <w:rFonts w:ascii="Times New Roman" w:hAnsi="Times New Roman"/>
          <w:b/>
          <w:i w:val="0"/>
          <w:sz w:val="28"/>
        </w:rPr>
        <w:t>Faculty of Humanities and Social Sciences</w:t>
      </w:r>
    </w:p>
    <w:p>
      <w:pPr>
        <w:spacing w:before="0" w:after="360" w:line="312" w:lineRule="auto"/>
        <w:jc w:val="center"/>
      </w:pPr>
      <w:r>
        <w:rPr>
          <w:rFonts w:ascii="Times New Roman" w:hAnsi="Times New Roman"/>
          <w:b/>
          <w:i w:val="0"/>
          <w:sz w:val="32"/>
        </w:rPr>
        <w:t>NEPSE AI: REAL-TIME FINANCIAL DECISION SUPPORT AND STOCK PREDICTION SYSTEM</w:t>
      </w:r>
    </w:p>
    <w:p>
      <w:pPr>
        <w:spacing w:before="0" w:after="480" w:line="276" w:lineRule="auto"/>
        <w:jc w:val="center"/>
      </w:pPr>
      <w:r>
        <w:rPr>
          <w:rFonts w:ascii="Times New Roman" w:hAnsi="Times New Roman"/>
          <w:b/>
          <w:i w:val="0"/>
          <w:sz w:val="26"/>
        </w:rPr>
        <w:t>A PROJECT REPORT</w:t>
      </w:r>
    </w:p>
    <w:p>
      <w:pPr>
        <w:spacing w:before="0" w:after="80" w:line="276" w:lineRule="auto"/>
        <w:jc w:val="center"/>
      </w:pPr>
      <w:r>
        <w:rPr>
          <w:rFonts w:ascii="Times New Roman" w:hAnsi="Times New Roman"/>
          <w:b w:val="0"/>
          <w:i/>
          <w:sz w:val="24"/>
        </w:rPr>
        <w:t>Submitted to</w:t>
      </w:r>
    </w:p>
    <w:p>
      <w:pPr>
        <w:spacing w:before="0" w:after="40" w:line="276" w:lineRule="auto"/>
        <w:jc w:val="center"/>
      </w:pPr>
      <w:r>
        <w:rPr>
          <w:rFonts w:ascii="Times New Roman" w:hAnsi="Times New Roman"/>
          <w:b/>
          <w:i w:val="0"/>
          <w:sz w:val="26"/>
        </w:rPr>
        <w:t>Department of Computer Application</w:t>
      </w:r>
    </w:p>
    <w:p>
      <w:pPr>
        <w:spacing w:before="0" w:after="480" w:line="276" w:lineRule="auto"/>
        <w:jc w:val="center"/>
      </w:pPr>
      <w:r>
        <w:rPr>
          <w:rFonts w:ascii="Times New Roman" w:hAnsi="Times New Roman"/>
          <w:b/>
          <w:i w:val="0"/>
          <w:sz w:val="26"/>
        </w:rPr>
        <w:t>[Name of the College / Campus]</w:t>
      </w:r>
    </w:p>
    <w:p>
      <w:pPr>
        <w:spacing w:before="0" w:after="720" w:line="288" w:lineRule="auto"/>
        <w:jc w:val="center"/>
      </w:pPr>
      <w:r>
        <w:rPr>
          <w:rFonts w:ascii="Times New Roman" w:hAnsi="Times New Roman"/>
          <w:b w:val="0"/>
          <w:i/>
          <w:sz w:val="24"/>
        </w:rPr>
        <w:t>In partial fulfillment of the requirements for the Bachelors in Computer Application (BCA)</w:t>
      </w:r>
    </w:p>
    <w:p>
      <w:pPr>
        <w:spacing w:before="0" w:after="80" w:line="276" w:lineRule="auto"/>
        <w:jc w:val="center"/>
      </w:pPr>
      <w:r>
        <w:rPr>
          <w:rFonts w:ascii="Times New Roman" w:hAnsi="Times New Roman"/>
          <w:b/>
          <w:i w:val="0"/>
          <w:sz w:val="24"/>
        </w:rPr>
        <w:t>Submitted by:</w:t>
      </w:r>
    </w:p>
    <w:p>
      <w:pPr>
        <w:spacing w:before="0" w:after="240" w:line="276" w:lineRule="auto"/>
        <w:jc w:val="center"/>
      </w:pPr>
      <w:r>
        <w:rPr>
          <w:rFonts w:ascii="Times New Roman" w:hAnsi="Times New Roman"/>
          <w:b w:val="0"/>
          <w:i w:val="0"/>
          <w:sz w:val="24"/>
        </w:rPr>
        <w:t>[Candidate Name(s)]</w:t>
        <w:br/>
        <w:t>Roll No: [TU Roll Number] | Reg. No: [TU Registration Number]</w:t>
      </w:r>
    </w:p>
    <w:p>
      <w:pPr>
        <w:spacing w:before="0" w:after="600" w:line="276" w:lineRule="auto"/>
        <w:jc w:val="center"/>
      </w:pPr>
      <w:r>
        <w:rPr>
          <w:rFonts w:ascii="Times New Roman" w:hAnsi="Times New Roman"/>
          <w:b/>
          <w:i w:val="0"/>
          <w:sz w:val="24"/>
        </w:rPr>
        <w:t>September, 2026</w:t>
      </w:r>
    </w:p>
    <w:p>
      <w:pPr>
        <w:spacing w:before="0" w:after="80" w:line="276" w:lineRule="auto"/>
        <w:jc w:val="center"/>
      </w:pPr>
      <w:r>
        <w:rPr>
          <w:rFonts w:ascii="Times New Roman" w:hAnsi="Times New Roman"/>
          <w:b/>
          <w:i w:val="0"/>
          <w:sz w:val="24"/>
        </w:rPr>
        <w:t>Under the Supervision of:</w:t>
      </w:r>
    </w:p>
    <w:p>
      <w:pPr>
        <w:spacing w:before="0" w:after="0" w:line="276" w:lineRule="auto"/>
        <w:jc w:val="center"/>
      </w:pPr>
      <w:r>
        <w:rPr>
          <w:rFonts w:ascii="Times New Roman" w:hAnsi="Times New Roman"/>
          <w:b w:val="0"/>
          <w:i w:val="0"/>
          <w:sz w:val="24"/>
        </w:rPr>
        <w:t>[Supervisor Name]</w:t>
        <w:br/>
        <w:t>[Academic Designation, Department of Computer Application]</w:t>
      </w:r>
    </w:p>
    <w:p>
      <w:r>
        <w:br w:type="page"/>
      </w:r>
    </w:p>
    <w:p>
      <w:pPr>
        <w:spacing w:before="24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720" w:line="276" w:lineRule="auto"/>
        <w:jc w:val="center"/>
      </w:pPr>
      <w:r>
        <w:rPr>
          <w:rFonts w:ascii="Times New Roman" w:hAnsi="Times New Roman"/>
          <w:b/>
          <w:i w:val="0"/>
          <w:sz w:val="26"/>
        </w:rPr>
        <w:t>[Name of the College / Campus]</w:t>
      </w:r>
    </w:p>
    <w:p>
      <w:pPr>
        <w:spacing w:before="0" w:after="480" w:line="276" w:lineRule="auto"/>
        <w:jc w:val="center"/>
      </w:pPr>
      <w:r>
        <w:rPr>
          <w:rFonts w:ascii="Times New Roman" w:hAnsi="Times New Roman"/>
          <w:b/>
          <w:i w:val="0"/>
          <w:sz w:val="30"/>
        </w:rPr>
        <w:t>Supervisor’s Recommendation</w:t>
      </w:r>
    </w:p>
    <w:p>
      <w:pPr>
        <w:spacing w:before="0" w:after="1440" w:line="360" w:lineRule="auto"/>
        <w:jc w:val="both"/>
      </w:pPr>
      <w:r>
        <w:rPr>
          <w:rFonts w:ascii="Times New Roman" w:hAnsi="Times New Roman"/>
          <w:b w:val="0"/>
          <w:i w:val="0"/>
          <w:sz w:val="24"/>
        </w:rPr>
        <w:t>I hereby recommend that this project prepared under my supervision by [Candidate Name(s)] entitled “NEPSE AI: REAL-TIME FINANCIAL DECISION SUPPORT AND STOCK PREDICTION SYSTEM” in partial fulfillment of the requirements for the degree of Bachelor of Computer Application (BCA) is recommended for the final evaluation.</w:t>
      </w:r>
    </w:p>
    <w:p>
      <w:pPr>
        <w:spacing w:before="0" w:after="40" w:line="360" w:lineRule="auto"/>
        <w:jc w:val="left"/>
      </w:pPr>
      <w:r>
        <w:rPr>
          <w:rFonts w:ascii="Times New Roman" w:hAnsi="Times New Roman"/>
          <w:b/>
          <w:i w:val="0"/>
          <w:sz w:val="24"/>
        </w:rPr>
        <w:t>________________________</w:t>
      </w:r>
    </w:p>
    <w:p>
      <w:pPr>
        <w:spacing w:before="0" w:after="40" w:line="360" w:lineRule="auto"/>
        <w:jc w:val="left"/>
      </w:pPr>
      <w:r>
        <w:rPr>
          <w:rFonts w:ascii="Times New Roman" w:hAnsi="Times New Roman"/>
          <w:b/>
          <w:i w:val="0"/>
          <w:sz w:val="24"/>
        </w:rPr>
        <w:t>SIGNATURE</w:t>
      </w:r>
    </w:p>
    <w:p>
      <w:pPr>
        <w:spacing w:before="0" w:after="40" w:line="360" w:lineRule="auto"/>
        <w:jc w:val="left"/>
      </w:pPr>
      <w:r>
        <w:rPr>
          <w:rFonts w:ascii="Times New Roman" w:hAnsi="Times New Roman"/>
          <w:b/>
          <w:i w:val="0"/>
          <w:sz w:val="24"/>
        </w:rPr>
        <w:t>[Supervisor Name]</w:t>
      </w:r>
    </w:p>
    <w:p>
      <w:pPr>
        <w:spacing w:before="0" w:after="40" w:line="360" w:lineRule="auto"/>
        <w:jc w:val="left"/>
      </w:pPr>
      <w:r>
        <w:rPr>
          <w:rFonts w:ascii="Times New Roman" w:hAnsi="Times New Roman"/>
          <w:b/>
          <w:i w:val="0"/>
          <w:sz w:val="24"/>
        </w:rPr>
        <w:t>SUPERVISOR</w:t>
      </w:r>
    </w:p>
    <w:p>
      <w:pPr>
        <w:spacing w:before="0" w:after="40" w:line="360" w:lineRule="auto"/>
        <w:jc w:val="left"/>
      </w:pPr>
      <w:r>
        <w:rPr>
          <w:rFonts w:ascii="Times New Roman" w:hAnsi="Times New Roman"/>
          <w:b w:val="0"/>
          <w:i w:val="0"/>
          <w:sz w:val="24"/>
        </w:rPr>
        <w:t>[Academic Designation]</w:t>
      </w:r>
    </w:p>
    <w:p>
      <w:pPr>
        <w:spacing w:before="0" w:after="40" w:line="360" w:lineRule="auto"/>
        <w:jc w:val="left"/>
      </w:pPr>
      <w:r>
        <w:rPr>
          <w:rFonts w:ascii="Times New Roman" w:hAnsi="Times New Roman"/>
          <w:b w:val="0"/>
          <w:i w:val="0"/>
          <w:sz w:val="24"/>
        </w:rPr>
        <w:t>Department of Computer Application</w:t>
      </w:r>
    </w:p>
    <w:p>
      <w:pPr>
        <w:spacing w:before="0" w:after="480" w:line="360" w:lineRule="auto"/>
        <w:jc w:val="left"/>
      </w:pPr>
      <w:r>
        <w:rPr>
          <w:rFonts w:ascii="Times New Roman" w:hAnsi="Times New Roman"/>
          <w:b w:val="0"/>
          <w:i w:val="0"/>
          <w:sz w:val="24"/>
        </w:rPr>
        <w:t>[Full Address of Department &amp; College]</w:t>
      </w:r>
    </w:p>
    <w:p>
      <w:pPr>
        <w:spacing w:before="0" w:after="120" w:line="360" w:lineRule="auto"/>
        <w:jc w:val="left"/>
      </w:pPr>
      <w:r>
        <w:rPr>
          <w:rFonts w:ascii="Times New Roman" w:hAnsi="Times New Roman"/>
          <w:b w:val="0"/>
          <w:i w:val="0"/>
          <w:sz w:val="24"/>
        </w:rPr>
        <w:t>Date: ____________________</w:t>
      </w:r>
    </w:p>
    <w:p>
      <w:r>
        <w:br w:type="page"/>
      </w:r>
    </w:p>
    <w:p>
      <w:pPr>
        <w:spacing w:before="24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720" w:line="276" w:lineRule="auto"/>
        <w:jc w:val="center"/>
      </w:pPr>
      <w:r>
        <w:rPr>
          <w:rFonts w:ascii="Times New Roman" w:hAnsi="Times New Roman"/>
          <w:b/>
          <w:i w:val="0"/>
          <w:sz w:val="26"/>
        </w:rPr>
        <w:t>[Name of the College / Campus]</w:t>
      </w:r>
    </w:p>
    <w:p>
      <w:pPr>
        <w:spacing w:before="0" w:after="480" w:line="276" w:lineRule="auto"/>
        <w:jc w:val="center"/>
      </w:pPr>
      <w:r>
        <w:rPr>
          <w:rFonts w:ascii="Times New Roman" w:hAnsi="Times New Roman"/>
          <w:b/>
          <w:i w:val="0"/>
          <w:sz w:val="30"/>
        </w:rPr>
        <w:t>LETTER OF APPROVAL</w:t>
      </w:r>
    </w:p>
    <w:p>
      <w:pPr>
        <w:spacing w:before="0" w:after="720" w:line="360" w:lineRule="auto"/>
        <w:jc w:val="both"/>
      </w:pPr>
      <w:r>
        <w:rPr>
          <w:rFonts w:ascii="Times New Roman" w:hAnsi="Times New Roman"/>
          <w:b w:val="0"/>
          <w:i w:val="0"/>
          <w:sz w:val="24"/>
        </w:rPr>
        <w:t>This is to certify that this project prepared by [Candidate Name(s)] entitled “NEPSE AI: REAL-TIME FINANCIAL DECISION SUPPORT AND STOCK PREDICTION SYSTEM” in partial fulfillment of the requirements for the degree of Bachelor in Computer Application (BCA) has been evaluated. In our opinion it is satisfactory in the scope and quality as a project for the required degree.</w:t>
      </w:r>
    </w:p>
    <w:tbl>
      <w:tblPr>
        <w:tblW w:type="auto" w:w="0"/>
        <w:jc w:val="center"/>
        <w:tblLayout w:type="fixed"/>
        <w:tblLook w:firstColumn="1" w:firstRow="1" w:lastColumn="0" w:lastRow="0" w:noHBand="0" w:noVBand="1" w:val="04A0"/>
      </w:tblPr>
      <w:tblGrid>
        <w:gridCol w:w="4334"/>
        <w:gridCol w:w="4334"/>
      </w:tblGrid>
      <w:tr>
        <w:tc>
          <w:tcPr>
            <w:tcW w:type="dxa" w:w="4320"/>
            <w:tcMar>
              <w:top w:w="140" w:type="dxa"/>
              <w:bottom w:w="140" w:type="dxa"/>
              <w:left w:w="140" w:type="dxa"/>
              <w:right w:w="140" w:type="dxa"/>
            </w:tcMar>
            <w:tcBorders>
              <w:top w:val="single" w:sz="6" w:space="0" w:color="888888"/>
              <w:bottom w:val="single" w:sz="6" w:space="0" w:color="888888"/>
              <w:left w:val="single" w:sz="6" w:space="0" w:color="888888"/>
              <w:right w:val="single" w:sz="6" w:space="0" w:color="888888"/>
            </w:tcBorders>
          </w:tcPr>
          <w:p>
            <w:pPr>
              <w:spacing w:line="276" w:lineRule="auto" w:after="40"/>
            </w:pPr>
            <w:r>
              <w:t>SIGNATURE of Supervisor:</w:t>
              <w:br/>
              <w:t>_____________________</w:t>
              <w:br/>
              <w:t>Name: [Supervisor Name]</w:t>
              <w:br/>
              <w:t>Designation: [Academic Designation]</w:t>
              <w:br/>
              <w:t>Dept: Computer Application</w:t>
              <w:br/>
              <w:t>College: [College Name]</w:t>
            </w:r>
          </w:p>
        </w:tc>
        <w:tc>
          <w:tcPr>
            <w:tcW w:type="dxa" w:w="4320"/>
            <w:tcMar>
              <w:top w:w="140" w:type="dxa"/>
              <w:bottom w:w="140" w:type="dxa"/>
              <w:left w:w="140" w:type="dxa"/>
              <w:right w:w="140" w:type="dxa"/>
            </w:tcMar>
            <w:tcBorders>
              <w:top w:val="single" w:sz="6" w:space="0" w:color="888888"/>
              <w:bottom w:val="single" w:sz="6" w:space="0" w:color="888888"/>
              <w:left w:val="single" w:sz="6" w:space="0" w:color="888888"/>
              <w:right w:val="single" w:sz="6" w:space="0" w:color="888888"/>
            </w:tcBorders>
          </w:tcPr>
          <w:p>
            <w:pPr>
              <w:spacing w:line="276" w:lineRule="auto" w:after="40"/>
            </w:pPr>
            <w:r>
              <w:t>SIGNATURE of HOD/Coordinator:</w:t>
              <w:br/>
              <w:t>_____________________</w:t>
              <w:br/>
              <w:t>Name: [HOD/Coordinator Name]</w:t>
              <w:br/>
              <w:t>Designation: [Academic Designation]</w:t>
              <w:br/>
              <w:t>Dept: Computer Application</w:t>
              <w:br/>
              <w:t>College: [College Name]</w:t>
            </w:r>
          </w:p>
        </w:tc>
      </w:tr>
      <w:tr>
        <w:tc>
          <w:tcPr>
            <w:tcW w:type="dxa" w:w="4320"/>
            <w:tcMar>
              <w:top w:w="140" w:type="dxa"/>
              <w:bottom w:w="140" w:type="dxa"/>
              <w:left w:w="140" w:type="dxa"/>
              <w:right w:w="140" w:type="dxa"/>
            </w:tcMar>
            <w:tcBorders>
              <w:top w:val="single" w:sz="6" w:space="0" w:color="888888"/>
              <w:bottom w:val="single" w:sz="6" w:space="0" w:color="888888"/>
              <w:left w:val="single" w:sz="6" w:space="0" w:color="888888"/>
              <w:right w:val="single" w:sz="6" w:space="0" w:color="888888"/>
            </w:tcBorders>
          </w:tcPr>
          <w:p>
            <w:pPr>
              <w:spacing w:line="276" w:lineRule="auto" w:after="40"/>
            </w:pPr>
            <w:r>
              <w:t>SIGNATURE of Internal Examiner:</w:t>
              <w:br/>
              <w:t>_____________________</w:t>
              <w:br/>
              <w:t>Name: [Internal Examiner Name]</w:t>
              <w:br/>
              <w:t>Designation: [Academic Designation]</w:t>
              <w:br/>
              <w:t>Dept: Computer Application</w:t>
              <w:br/>
              <w:t>College: [College Name]</w:t>
            </w:r>
          </w:p>
        </w:tc>
        <w:tc>
          <w:tcPr>
            <w:tcW w:type="dxa" w:w="4320"/>
            <w:tcMar>
              <w:top w:w="140" w:type="dxa"/>
              <w:bottom w:w="140" w:type="dxa"/>
              <w:left w:w="140" w:type="dxa"/>
              <w:right w:w="140" w:type="dxa"/>
            </w:tcMar>
            <w:tcBorders>
              <w:top w:val="single" w:sz="6" w:space="0" w:color="888888"/>
              <w:bottom w:val="single" w:sz="6" w:space="0" w:color="888888"/>
              <w:left w:val="single" w:sz="6" w:space="0" w:color="888888"/>
              <w:right w:val="single" w:sz="6" w:space="0" w:color="888888"/>
            </w:tcBorders>
          </w:tcPr>
          <w:p>
            <w:pPr>
              <w:spacing w:line="276" w:lineRule="auto" w:after="40"/>
            </w:pPr>
            <w:r>
              <w:t>SIGNATURE of External Examiner:</w:t>
              <w:br/>
              <w:t>_____________________</w:t>
              <w:br/>
              <w:t>Name: [External Examiner Name]</w:t>
              <w:br/>
              <w:t>Designation: External Examiner</w:t>
              <w:br/>
              <w:t>Tribhuvan University</w:t>
              <w:br/>
              <w:t>Faculty of Humanities &amp; Social Sciences</w:t>
            </w:r>
          </w:p>
        </w:tc>
      </w:tr>
    </w:tbl>
    <w:p>
      <w:r>
        <w:br w:type="page"/>
      </w:r>
    </w:p>
    <w:p>
      <w:pPr>
        <w:keepNext/>
        <w:spacing w:before="360" w:after="200" w:line="276" w:lineRule="auto"/>
        <w:jc w:val="left"/>
      </w:pPr>
      <w:r>
        <w:rPr>
          <w:rFonts w:ascii="Times New Roman" w:hAnsi="Times New Roman"/>
          <w:b/>
          <w:sz w:val="32"/>
        </w:rPr>
        <w:t>ABSTRACT</w:t>
      </w:r>
    </w:p>
    <w:p>
      <w:pPr>
        <w:spacing w:before="0" w:after="120" w:line="360" w:lineRule="auto"/>
        <w:jc w:val="both"/>
      </w:pPr>
      <w:r>
        <w:rPr>
          <w:rFonts w:ascii="Times New Roman" w:hAnsi="Times New Roman"/>
          <w:b w:val="0"/>
          <w:i w:val="0"/>
          <w:sz w:val="24"/>
        </w:rPr>
        <w:t>The Nepal Stock Exchange (NEPSE) is an emerging financial market characterized by structural volatility, pronounced illiquidity in lower-tier issues, and policy-driven macroeconomic fluctuations. Traditional algorithmic approaches that attempt to forecast exact price points frequently break down due to low market depth and speculative noise. This project, entitled “NEPSE AI: Real-Time Financial Decision Support and Stock Prediction System,” addresses these empirical realities by transitioning from high-error price target regression to a high-probability quantitative Decision Support System (DSS) and real-time market supervision platform.</w:t>
      </w:r>
    </w:p>
    <w:p>
      <w:pPr>
        <w:spacing w:before="0" w:after="120" w:line="360" w:lineRule="auto"/>
        <w:jc w:val="both"/>
      </w:pPr>
      <w:r>
        <w:rPr>
          <w:rFonts w:ascii="Times New Roman" w:hAnsi="Times New Roman"/>
          <w:b w:val="0"/>
          <w:i w:val="0"/>
          <w:sz w:val="24"/>
        </w:rPr>
        <w:t>The system is engineered as a modern, decoupled microservice architecture. The core application logic and data ingestion pipelines are implemented using NestJS with Prisma ORM, seamlessly interfacing with live NEPSE data wrappers (@rumess/nepse-api) and persisting historical daily OHLCV bars across 649 listed securities. Machine learning inference is handled by a dedicated Python FastAPI microservice utilizing a two-stage hybrid predictive architecture. In Stage 1, a PyTorch Long Short-Term Memory (LSTM) network extracts 16-dimensional latent temporal embeddings from 30-day sequential price windows. In Stage 2, these embeddings are combined with classical technical indicators (Wilder’s RSI, MACD Histogram, Exponential Moving Averages, and Volume Delta) and classified via an XGBoost multi-class softprob engine into probabilistic Bullish, Bearish, or Neutral market regimes.</w:t>
      </w:r>
    </w:p>
    <w:p>
      <w:pPr>
        <w:spacing w:before="0" w:after="120" w:line="360" w:lineRule="auto"/>
        <w:jc w:val="both"/>
      </w:pPr>
      <w:r>
        <w:rPr>
          <w:rFonts w:ascii="Times New Roman" w:hAnsi="Times New Roman"/>
          <w:b w:val="0"/>
          <w:i w:val="0"/>
          <w:sz w:val="24"/>
        </w:rPr>
        <w:t>Complementing the predictive pipeline is a full-featured financial terminal built in React and Vite. It provides an interactive TradingView-style candlestick and area charting visualizer, customizable Bollinger Bands and moving average overlays, a real-time price alarm engine with zero-dependency Web Audio API synthesizer chimes and browser desktop notifications, an empirical 60-session signal backtesting engine, a 5-day Monte Carlo price projection envelope, a live Market Movers screener, a multi-stock comparison matrix, and a paper trading portfolio manager. The resulting system bridges modern software engineering, distributed data pipelines, and quantitative artificial intelligence into an enterprise-grade decision support tool for retail investors, researchers, and academic evaluation.</w:t>
      </w:r>
    </w:p>
    <w:p>
      <w:pPr>
        <w:spacing w:before="0" w:after="120" w:line="360" w:lineRule="auto"/>
        <w:jc w:val="both"/>
      </w:pPr>
      <w:r>
        <w:rPr>
          <w:rFonts w:ascii="Times New Roman" w:hAnsi="Times New Roman"/>
          <w:b w:val="0"/>
          <w:i w:val="0"/>
          <w:sz w:val="24"/>
        </w:rPr>
        <w:t>Keywords: Decision Support System, NEPSE, LSTM, XGBoost, Hybrid Machine Learning, Technical Indicators, Real-Time Alarms, Microservices, NestJS, React.</w:t>
      </w:r>
    </w:p>
    <w:p>
      <w:r>
        <w:br w:type="page"/>
      </w:r>
    </w:p>
    <w:p>
      <w:pPr>
        <w:keepNext/>
        <w:spacing w:before="360" w:after="200" w:line="276" w:lineRule="auto"/>
        <w:jc w:val="left"/>
      </w:pPr>
      <w:r>
        <w:rPr>
          <w:rFonts w:ascii="Times New Roman" w:hAnsi="Times New Roman"/>
          <w:b/>
          <w:sz w:val="32"/>
        </w:rPr>
        <w:t>ACKNOWLEDGEMENT</w:t>
      </w:r>
    </w:p>
    <w:p>
      <w:pPr>
        <w:spacing w:before="0" w:after="120" w:line="360" w:lineRule="auto"/>
        <w:jc w:val="both"/>
      </w:pPr>
      <w:r>
        <w:rPr>
          <w:rFonts w:ascii="Times New Roman" w:hAnsi="Times New Roman"/>
          <w:b w:val="0"/>
          <w:i w:val="0"/>
          <w:sz w:val="24"/>
        </w:rPr>
        <w:t>We would like to express our profound gratitude and heartfelt appreciation to Tribhuvan University, Faculty of Humanities and Social Sciences (FOHSS), for incorporating Project II (CAPJ356) into the Bachelor of Computer Application (BCA) curriculum. This comprehensive practical endeavor has provided an extraordinary opportunity to synthesize theoretical knowledge across software engineering, artificial intelligence, database systems, and distributed system architectures into a functional, production-ready application.</w:t>
      </w:r>
    </w:p>
    <w:p>
      <w:pPr>
        <w:spacing w:before="0" w:after="120" w:line="360" w:lineRule="auto"/>
        <w:jc w:val="both"/>
      </w:pPr>
      <w:r>
        <w:rPr>
          <w:rFonts w:ascii="Times New Roman" w:hAnsi="Times New Roman"/>
          <w:b w:val="0"/>
          <w:i w:val="0"/>
          <w:sz w:val="24"/>
        </w:rPr>
        <w:t>We owe a great debt of gratitude to our respected Project Supervisor, [Supervisor Name], for their invaluable guidance, constructive criticism, and unwavering mentorship throughout the lifecycle of this project. Their insightful feedback during system analysis, algorithmic formulation, and architectural refinement significantly elevated the technical rigor and practical utility of our work.</w:t>
      </w:r>
    </w:p>
    <w:p>
      <w:pPr>
        <w:spacing w:before="0" w:after="120" w:line="360" w:lineRule="auto"/>
        <w:jc w:val="both"/>
      </w:pPr>
      <w:r>
        <w:rPr>
          <w:rFonts w:ascii="Times New Roman" w:hAnsi="Times New Roman"/>
          <w:b w:val="0"/>
          <w:i w:val="0"/>
          <w:sz w:val="24"/>
        </w:rPr>
        <w:t>We are also deeply thankful to the Head of Department, [HOD/Coordinator Name], and all the esteemed faculty members of the Department of Computer Application at [College Name] for their administrative support, technical guidance, and for providing state-of-the-art computational laboratories conducive to intensive model training and software development.</w:t>
      </w:r>
    </w:p>
    <w:p>
      <w:pPr>
        <w:spacing w:before="0" w:after="120" w:line="360" w:lineRule="auto"/>
        <w:jc w:val="both"/>
      </w:pPr>
      <w:r>
        <w:rPr>
          <w:rFonts w:ascii="Times New Roman" w:hAnsi="Times New Roman"/>
          <w:b w:val="0"/>
          <w:i w:val="0"/>
          <w:sz w:val="24"/>
        </w:rPr>
        <w:t>Finally, we extend our sincere appreciation to our families, peers, and fellow BCA classmates for their constant encouragement, moral support, and creative brainstorms during the development and testing phases of this project.</w:t>
      </w:r>
    </w:p>
    <w:p>
      <w:r>
        <w:br w:type="page"/>
      </w:r>
    </w:p>
    <w:p>
      <w:pPr>
        <w:keepNext/>
        <w:spacing w:before="360" w:after="200" w:line="276" w:lineRule="auto"/>
        <w:jc w:val="left"/>
      </w:pPr>
      <w:r>
        <w:rPr>
          <w:rFonts w:ascii="Times New Roman" w:hAnsi="Times New Roman"/>
          <w:b/>
          <w:sz w:val="32"/>
        </w:rPr>
        <w:t>TABLE OF CONTENTS</w:t>
      </w:r>
    </w:p>
    <w:p>
      <w:pPr>
        <w:spacing w:line="276" w:lineRule="auto" w:after="60"/>
      </w:pPr>
      <w:r>
        <w:rPr>
          <w:rFonts w:ascii="Times New Roman" w:hAnsi="Times New Roman"/>
          <w:b w:val="0"/>
          <w:sz w:val="22"/>
        </w:rPr>
        <w:t>Supervisor’s Recommendation</w:t>
      </w:r>
      <w:r>
        <w:rPr>
          <w:rFonts w:ascii="Times New Roman" w:hAnsi="Times New Roman"/>
          <w:color w:val="808080"/>
          <w:sz w:val="20"/>
        </w:rPr>
        <w:t xml:space="preserve"> ........................................... </w:t>
      </w:r>
      <w:r>
        <w:rPr>
          <w:rFonts w:ascii="Times New Roman" w:hAnsi="Times New Roman"/>
          <w:b w:val="0"/>
          <w:sz w:val="22"/>
        </w:rPr>
        <w:t>ii</w:t>
      </w:r>
    </w:p>
    <w:p>
      <w:pPr>
        <w:spacing w:line="276" w:lineRule="auto" w:after="60"/>
      </w:pPr>
      <w:r>
        <w:rPr>
          <w:rFonts w:ascii="Times New Roman" w:hAnsi="Times New Roman"/>
          <w:b w:val="0"/>
          <w:sz w:val="22"/>
        </w:rPr>
        <w:t>Letter of Approval</w:t>
      </w:r>
      <w:r>
        <w:rPr>
          <w:rFonts w:ascii="Times New Roman" w:hAnsi="Times New Roman"/>
          <w:color w:val="808080"/>
          <w:sz w:val="20"/>
        </w:rPr>
        <w:t xml:space="preserve"> .................................................... </w:t>
      </w:r>
      <w:r>
        <w:rPr>
          <w:rFonts w:ascii="Times New Roman" w:hAnsi="Times New Roman"/>
          <w:b w:val="0"/>
          <w:sz w:val="22"/>
        </w:rPr>
        <w:t>iii</w:t>
      </w:r>
    </w:p>
    <w:p>
      <w:pPr>
        <w:spacing w:line="276" w:lineRule="auto" w:after="60"/>
      </w:pPr>
      <w:r>
        <w:rPr>
          <w:rFonts w:ascii="Times New Roman" w:hAnsi="Times New Roman"/>
          <w:b w:val="0"/>
          <w:sz w:val="22"/>
        </w:rPr>
        <w:t>Abstract</w:t>
      </w:r>
      <w:r>
        <w:rPr>
          <w:rFonts w:ascii="Times New Roman" w:hAnsi="Times New Roman"/>
          <w:color w:val="808080"/>
          <w:sz w:val="20"/>
        </w:rPr>
        <w:t xml:space="preserve"> .............................................................. </w:t>
      </w:r>
      <w:r>
        <w:rPr>
          <w:rFonts w:ascii="Times New Roman" w:hAnsi="Times New Roman"/>
          <w:b w:val="0"/>
          <w:sz w:val="22"/>
        </w:rPr>
        <w:t>iv</w:t>
      </w:r>
    </w:p>
    <w:p>
      <w:pPr>
        <w:spacing w:line="276" w:lineRule="auto" w:after="60"/>
      </w:pPr>
      <w:r>
        <w:rPr>
          <w:rFonts w:ascii="Times New Roman" w:hAnsi="Times New Roman"/>
          <w:b w:val="0"/>
          <w:sz w:val="22"/>
        </w:rPr>
        <w:t>Acknowledgement</w:t>
      </w:r>
      <w:r>
        <w:rPr>
          <w:rFonts w:ascii="Times New Roman" w:hAnsi="Times New Roman"/>
          <w:color w:val="808080"/>
          <w:sz w:val="20"/>
        </w:rPr>
        <w:t xml:space="preserve"> ....................................................... </w:t>
      </w:r>
      <w:r>
        <w:rPr>
          <w:rFonts w:ascii="Times New Roman" w:hAnsi="Times New Roman"/>
          <w:b w:val="0"/>
          <w:sz w:val="22"/>
        </w:rPr>
        <w:t>v</w:t>
      </w:r>
    </w:p>
    <w:p>
      <w:pPr>
        <w:spacing w:line="276" w:lineRule="auto" w:after="60"/>
      </w:pPr>
      <w:r>
        <w:rPr>
          <w:rFonts w:ascii="Times New Roman" w:hAnsi="Times New Roman"/>
          <w:b w:val="0"/>
          <w:sz w:val="22"/>
        </w:rPr>
        <w:t>List of Abbreviations</w:t>
      </w:r>
      <w:r>
        <w:rPr>
          <w:rFonts w:ascii="Times New Roman" w:hAnsi="Times New Roman"/>
          <w:color w:val="808080"/>
          <w:sz w:val="20"/>
        </w:rPr>
        <w:t xml:space="preserve"> ................................................. </w:t>
      </w:r>
      <w:r>
        <w:rPr>
          <w:rFonts w:ascii="Times New Roman" w:hAnsi="Times New Roman"/>
          <w:b w:val="0"/>
          <w:sz w:val="22"/>
        </w:rPr>
        <w:t>vii</w:t>
      </w:r>
    </w:p>
    <w:p>
      <w:pPr>
        <w:spacing w:line="276" w:lineRule="auto" w:after="60"/>
      </w:pPr>
      <w:r>
        <w:rPr>
          <w:rFonts w:ascii="Times New Roman" w:hAnsi="Times New Roman"/>
          <w:b w:val="0"/>
          <w:sz w:val="22"/>
        </w:rPr>
        <w:t>List of Figures</w:t>
      </w:r>
      <w:r>
        <w:rPr>
          <w:rFonts w:ascii="Times New Roman" w:hAnsi="Times New Roman"/>
          <w:color w:val="808080"/>
          <w:sz w:val="20"/>
        </w:rPr>
        <w:t xml:space="preserve"> ....................................................... </w:t>
      </w:r>
      <w:r>
        <w:rPr>
          <w:rFonts w:ascii="Times New Roman" w:hAnsi="Times New Roman"/>
          <w:b w:val="0"/>
          <w:sz w:val="22"/>
        </w:rPr>
        <w:t>viii</w:t>
      </w:r>
    </w:p>
    <w:p>
      <w:pPr>
        <w:spacing w:line="276" w:lineRule="auto" w:after="60"/>
      </w:pPr>
      <w:r>
        <w:rPr>
          <w:rFonts w:ascii="Times New Roman" w:hAnsi="Times New Roman"/>
          <w:b w:val="0"/>
          <w:sz w:val="22"/>
        </w:rPr>
        <w:t>List of Tables</w:t>
      </w:r>
      <w:r>
        <w:rPr>
          <w:rFonts w:ascii="Times New Roman" w:hAnsi="Times New Roman"/>
          <w:color w:val="808080"/>
          <w:sz w:val="20"/>
        </w:rPr>
        <w:t xml:space="preserve"> ........................................................ </w:t>
      </w:r>
      <w:r>
        <w:rPr>
          <w:rFonts w:ascii="Times New Roman" w:hAnsi="Times New Roman"/>
          <w:b w:val="0"/>
          <w:sz w:val="22"/>
        </w:rPr>
        <w:t>ix</w:t>
      </w:r>
    </w:p>
    <w:p>
      <w:pPr>
        <w:spacing w:line="276" w:lineRule="auto" w:after="60"/>
      </w:pPr>
      <w:r>
        <w:rPr>
          <w:rFonts w:ascii="Times New Roman" w:hAnsi="Times New Roman"/>
          <w:b/>
          <w:sz w:val="22"/>
        </w:rPr>
        <w:t>CHAPTER 1: INTRODUCTION</w:t>
      </w:r>
      <w:r>
        <w:rPr>
          <w:rFonts w:ascii="Times New Roman" w:hAnsi="Times New Roman"/>
          <w:color w:val="808080"/>
          <w:sz w:val="20"/>
        </w:rPr>
        <w:t xml:space="preserve"> ............................................... </w:t>
      </w:r>
      <w:r>
        <w:rPr>
          <w:rFonts w:ascii="Times New Roman" w:hAnsi="Times New Roman"/>
          <w:b/>
          <w:sz w:val="22"/>
        </w:rPr>
        <w:t>1</w:t>
      </w:r>
    </w:p>
    <w:p>
      <w:pPr>
        <w:spacing w:line="276" w:lineRule="auto" w:after="60"/>
      </w:pPr>
      <w:r>
        <w:rPr>
          <w:rFonts w:ascii="Times New Roman" w:hAnsi="Times New Roman"/>
          <w:b w:val="0"/>
          <w:sz w:val="22"/>
        </w:rPr>
        <w:t xml:space="preserve">  1.1 Introduction</w:t>
      </w:r>
      <w:r>
        <w:rPr>
          <w:rFonts w:ascii="Times New Roman" w:hAnsi="Times New Roman"/>
          <w:color w:val="808080"/>
          <w:sz w:val="20"/>
        </w:rPr>
        <w:t xml:space="preserve"> .................................................... </w:t>
      </w:r>
      <w:r>
        <w:rPr>
          <w:rFonts w:ascii="Times New Roman" w:hAnsi="Times New Roman"/>
          <w:b w:val="0"/>
          <w:sz w:val="22"/>
        </w:rPr>
        <w:t>1</w:t>
      </w:r>
    </w:p>
    <w:p>
      <w:pPr>
        <w:spacing w:line="276" w:lineRule="auto" w:after="60"/>
      </w:pPr>
      <w:r>
        <w:rPr>
          <w:rFonts w:ascii="Times New Roman" w:hAnsi="Times New Roman"/>
          <w:b w:val="0"/>
          <w:sz w:val="22"/>
        </w:rPr>
        <w:t xml:space="preserve">  1.2 Problem Statement</w:t>
      </w:r>
      <w:r>
        <w:rPr>
          <w:rFonts w:ascii="Times New Roman" w:hAnsi="Times New Roman"/>
          <w:color w:val="808080"/>
          <w:sz w:val="20"/>
        </w:rPr>
        <w:t xml:space="preserve"> ............................................... </w:t>
      </w:r>
      <w:r>
        <w:rPr>
          <w:rFonts w:ascii="Times New Roman" w:hAnsi="Times New Roman"/>
          <w:b w:val="0"/>
          <w:sz w:val="22"/>
        </w:rPr>
        <w:t>2</w:t>
      </w:r>
    </w:p>
    <w:p>
      <w:pPr>
        <w:spacing w:line="276" w:lineRule="auto" w:after="60"/>
      </w:pPr>
      <w:r>
        <w:rPr>
          <w:rFonts w:ascii="Times New Roman" w:hAnsi="Times New Roman"/>
          <w:b w:val="0"/>
          <w:sz w:val="22"/>
        </w:rPr>
        <w:t xml:space="preserve">  1.3 Objectives</w:t>
      </w:r>
      <w:r>
        <w:rPr>
          <w:rFonts w:ascii="Times New Roman" w:hAnsi="Times New Roman"/>
          <w:color w:val="808080"/>
          <w:sz w:val="20"/>
        </w:rPr>
        <w:t xml:space="preserve"> ...................................................... </w:t>
      </w:r>
      <w:r>
        <w:rPr>
          <w:rFonts w:ascii="Times New Roman" w:hAnsi="Times New Roman"/>
          <w:b w:val="0"/>
          <w:sz w:val="22"/>
        </w:rPr>
        <w:t>3</w:t>
      </w:r>
    </w:p>
    <w:p>
      <w:pPr>
        <w:spacing w:line="276" w:lineRule="auto" w:after="60"/>
      </w:pPr>
      <w:r>
        <w:rPr>
          <w:rFonts w:ascii="Times New Roman" w:hAnsi="Times New Roman"/>
          <w:b w:val="0"/>
          <w:sz w:val="22"/>
        </w:rPr>
        <w:t xml:space="preserve">  1.4 Scope and Limitation</w:t>
      </w:r>
      <w:r>
        <w:rPr>
          <w:rFonts w:ascii="Times New Roman" w:hAnsi="Times New Roman"/>
          <w:color w:val="808080"/>
          <w:sz w:val="20"/>
        </w:rPr>
        <w:t xml:space="preserve"> ............................................ </w:t>
      </w:r>
      <w:r>
        <w:rPr>
          <w:rFonts w:ascii="Times New Roman" w:hAnsi="Times New Roman"/>
          <w:b w:val="0"/>
          <w:sz w:val="22"/>
        </w:rPr>
        <w:t>4</w:t>
      </w:r>
    </w:p>
    <w:p>
      <w:pPr>
        <w:spacing w:line="276" w:lineRule="auto" w:after="60"/>
      </w:pPr>
      <w:r>
        <w:rPr>
          <w:rFonts w:ascii="Times New Roman" w:hAnsi="Times New Roman"/>
          <w:b w:val="0"/>
          <w:sz w:val="22"/>
        </w:rPr>
        <w:t xml:space="preserve">  1.5 Development Methodology</w:t>
      </w:r>
      <w:r>
        <w:rPr>
          <w:rFonts w:ascii="Times New Roman" w:hAnsi="Times New Roman"/>
          <w:color w:val="808080"/>
          <w:sz w:val="20"/>
        </w:rPr>
        <w:t xml:space="preserve"> ......................................... </w:t>
      </w:r>
      <w:r>
        <w:rPr>
          <w:rFonts w:ascii="Times New Roman" w:hAnsi="Times New Roman"/>
          <w:b w:val="0"/>
          <w:sz w:val="22"/>
        </w:rPr>
        <w:t>5</w:t>
      </w:r>
    </w:p>
    <w:p>
      <w:pPr>
        <w:spacing w:line="276" w:lineRule="auto" w:after="60"/>
      </w:pPr>
      <w:r>
        <w:rPr>
          <w:rFonts w:ascii="Times New Roman" w:hAnsi="Times New Roman"/>
          <w:b w:val="0"/>
          <w:sz w:val="22"/>
        </w:rPr>
        <w:t xml:space="preserve">  1.6 Report Organization</w:t>
      </w:r>
      <w:r>
        <w:rPr>
          <w:rFonts w:ascii="Times New Roman" w:hAnsi="Times New Roman"/>
          <w:color w:val="808080"/>
          <w:sz w:val="20"/>
        </w:rPr>
        <w:t xml:space="preserve"> ............................................. </w:t>
      </w:r>
      <w:r>
        <w:rPr>
          <w:rFonts w:ascii="Times New Roman" w:hAnsi="Times New Roman"/>
          <w:b w:val="0"/>
          <w:sz w:val="22"/>
        </w:rPr>
        <w:t>6</w:t>
      </w:r>
    </w:p>
    <w:p>
      <w:pPr>
        <w:spacing w:line="276" w:lineRule="auto" w:after="60"/>
      </w:pPr>
      <w:r>
        <w:rPr>
          <w:rFonts w:ascii="Times New Roman" w:hAnsi="Times New Roman"/>
          <w:b/>
          <w:sz w:val="22"/>
        </w:rPr>
        <w:t>CHAPTER 2: BACKGROUND STUDY AND LITERATURE REVIEW</w:t>
      </w:r>
      <w:r>
        <w:rPr>
          <w:rFonts w:ascii="Times New Roman" w:hAnsi="Times New Roman"/>
          <w:color w:val="808080"/>
          <w:sz w:val="20"/>
        </w:rPr>
        <w:t xml:space="preserve"> ..................... </w:t>
      </w:r>
      <w:r>
        <w:rPr>
          <w:rFonts w:ascii="Times New Roman" w:hAnsi="Times New Roman"/>
          <w:b/>
          <w:sz w:val="22"/>
        </w:rPr>
        <w:t>7</w:t>
      </w:r>
    </w:p>
    <w:p>
      <w:pPr>
        <w:spacing w:line="276" w:lineRule="auto" w:after="60"/>
      </w:pPr>
      <w:r>
        <w:rPr>
          <w:rFonts w:ascii="Times New Roman" w:hAnsi="Times New Roman"/>
          <w:b w:val="0"/>
          <w:sz w:val="22"/>
        </w:rPr>
        <w:t xml:space="preserve">  2.1 Background Study</w:t>
      </w:r>
      <w:r>
        <w:rPr>
          <w:rFonts w:ascii="Times New Roman" w:hAnsi="Times New Roman"/>
          <w:color w:val="808080"/>
          <w:sz w:val="20"/>
        </w:rPr>
        <w:t xml:space="preserve"> ................................................ </w:t>
      </w:r>
      <w:r>
        <w:rPr>
          <w:rFonts w:ascii="Times New Roman" w:hAnsi="Times New Roman"/>
          <w:b w:val="0"/>
          <w:sz w:val="22"/>
        </w:rPr>
        <w:t>7</w:t>
      </w:r>
    </w:p>
    <w:p>
      <w:pPr>
        <w:spacing w:line="276" w:lineRule="auto" w:after="60"/>
      </w:pPr>
      <w:r>
        <w:rPr>
          <w:rFonts w:ascii="Times New Roman" w:hAnsi="Times New Roman"/>
          <w:b w:val="0"/>
          <w:sz w:val="22"/>
        </w:rPr>
        <w:t xml:space="preserve">    2.1.1 Overview of NEPSE Market Mechanics</w:t>
      </w:r>
      <w:r>
        <w:rPr>
          <w:rFonts w:ascii="Times New Roman" w:hAnsi="Times New Roman"/>
          <w:color w:val="808080"/>
          <w:sz w:val="20"/>
        </w:rPr>
        <w:t xml:space="preserve"> .......................... </w:t>
      </w:r>
      <w:r>
        <w:rPr>
          <w:rFonts w:ascii="Times New Roman" w:hAnsi="Times New Roman"/>
          <w:b w:val="0"/>
          <w:sz w:val="22"/>
        </w:rPr>
        <w:t>7</w:t>
      </w:r>
    </w:p>
    <w:p>
      <w:pPr>
        <w:spacing w:line="276" w:lineRule="auto" w:after="60"/>
      </w:pPr>
      <w:r>
        <w:rPr>
          <w:rFonts w:ascii="Times New Roman" w:hAnsi="Times New Roman"/>
          <w:b w:val="0"/>
          <w:sz w:val="22"/>
        </w:rPr>
        <w:t xml:space="preserve">    2.1.2 Technical Analysis &amp; Mathematical Indicators</w:t>
      </w:r>
      <w:r>
        <w:rPr>
          <w:rFonts w:ascii="Times New Roman" w:hAnsi="Times New Roman"/>
          <w:color w:val="808080"/>
          <w:sz w:val="20"/>
        </w:rPr>
        <w:t xml:space="preserve"> ................ </w:t>
      </w:r>
      <w:r>
        <w:rPr>
          <w:rFonts w:ascii="Times New Roman" w:hAnsi="Times New Roman"/>
          <w:b w:val="0"/>
          <w:sz w:val="22"/>
        </w:rPr>
        <w:t>8</w:t>
      </w:r>
    </w:p>
    <w:p>
      <w:pPr>
        <w:spacing w:line="276" w:lineRule="auto" w:after="60"/>
      </w:pPr>
      <w:r>
        <w:rPr>
          <w:rFonts w:ascii="Times New Roman" w:hAnsi="Times New Roman"/>
          <w:b w:val="0"/>
          <w:sz w:val="22"/>
        </w:rPr>
        <w:t xml:space="preserve">    2.1.3 Machine Learning in Time-Series Financial Systems</w:t>
      </w:r>
      <w:r>
        <w:rPr>
          <w:rFonts w:ascii="Times New Roman" w:hAnsi="Times New Roman"/>
          <w:color w:val="808080"/>
          <w:sz w:val="20"/>
        </w:rPr>
        <w:t xml:space="preserve"> ........... </w:t>
      </w:r>
      <w:r>
        <w:rPr>
          <w:rFonts w:ascii="Times New Roman" w:hAnsi="Times New Roman"/>
          <w:b w:val="0"/>
          <w:sz w:val="22"/>
        </w:rPr>
        <w:t>10</w:t>
      </w:r>
    </w:p>
    <w:p>
      <w:pPr>
        <w:spacing w:line="276" w:lineRule="auto" w:after="60"/>
      </w:pPr>
      <w:r>
        <w:rPr>
          <w:rFonts w:ascii="Times New Roman" w:hAnsi="Times New Roman"/>
          <w:b w:val="0"/>
          <w:sz w:val="22"/>
        </w:rPr>
        <w:t xml:space="preserve">    2.1.4 Real-Time Web Alerting Architectures</w:t>
      </w:r>
      <w:r>
        <w:rPr>
          <w:rFonts w:ascii="Times New Roman" w:hAnsi="Times New Roman"/>
          <w:color w:val="808080"/>
          <w:sz w:val="20"/>
        </w:rPr>
        <w:t xml:space="preserve"> ........................ </w:t>
      </w:r>
      <w:r>
        <w:rPr>
          <w:rFonts w:ascii="Times New Roman" w:hAnsi="Times New Roman"/>
          <w:b w:val="0"/>
          <w:sz w:val="22"/>
        </w:rPr>
        <w:t>12</w:t>
      </w:r>
    </w:p>
    <w:p>
      <w:pPr>
        <w:spacing w:line="276" w:lineRule="auto" w:after="60"/>
      </w:pPr>
      <w:r>
        <w:rPr>
          <w:rFonts w:ascii="Times New Roman" w:hAnsi="Times New Roman"/>
          <w:b w:val="0"/>
          <w:sz w:val="22"/>
        </w:rPr>
        <w:t xml:space="preserve">  2.2 Literature Review</w:t>
      </w:r>
      <w:r>
        <w:rPr>
          <w:rFonts w:ascii="Times New Roman" w:hAnsi="Times New Roman"/>
          <w:color w:val="808080"/>
          <w:sz w:val="20"/>
        </w:rPr>
        <w:t xml:space="preserve"> ............................................... </w:t>
      </w:r>
      <w:r>
        <w:rPr>
          <w:rFonts w:ascii="Times New Roman" w:hAnsi="Times New Roman"/>
          <w:b w:val="0"/>
          <w:sz w:val="22"/>
        </w:rPr>
        <w:t>13</w:t>
      </w:r>
    </w:p>
    <w:p>
      <w:pPr>
        <w:spacing w:line="276" w:lineRule="auto" w:after="60"/>
      </w:pPr>
      <w:r>
        <w:rPr>
          <w:rFonts w:ascii="Times New Roman" w:hAnsi="Times New Roman"/>
          <w:b w:val="0"/>
          <w:sz w:val="22"/>
        </w:rPr>
        <w:t xml:space="preserve">    2.2.1 Review of Related Works</w:t>
      </w:r>
      <w:r>
        <w:rPr>
          <w:rFonts w:ascii="Times New Roman" w:hAnsi="Times New Roman"/>
          <w:color w:val="808080"/>
          <w:sz w:val="20"/>
        </w:rPr>
        <w:t xml:space="preserve"> ..................................... </w:t>
      </w:r>
      <w:r>
        <w:rPr>
          <w:rFonts w:ascii="Times New Roman" w:hAnsi="Times New Roman"/>
          <w:b w:val="0"/>
          <w:sz w:val="22"/>
        </w:rPr>
        <w:t>13</w:t>
      </w:r>
    </w:p>
    <w:p>
      <w:pPr>
        <w:spacing w:line="276" w:lineRule="auto" w:after="60"/>
      </w:pPr>
      <w:r>
        <w:rPr>
          <w:rFonts w:ascii="Times New Roman" w:hAnsi="Times New Roman"/>
          <w:b w:val="0"/>
          <w:sz w:val="22"/>
        </w:rPr>
        <w:t xml:space="preserve">    2.2.2 Comparative Summary of Literature</w:t>
      </w:r>
      <w:r>
        <w:rPr>
          <w:rFonts w:ascii="Times New Roman" w:hAnsi="Times New Roman"/>
          <w:color w:val="808080"/>
          <w:sz w:val="20"/>
        </w:rPr>
        <w:t xml:space="preserve"> ........................... </w:t>
      </w:r>
      <w:r>
        <w:rPr>
          <w:rFonts w:ascii="Times New Roman" w:hAnsi="Times New Roman"/>
          <w:b w:val="0"/>
          <w:sz w:val="22"/>
        </w:rPr>
        <w:t>15</w:t>
      </w:r>
    </w:p>
    <w:p>
      <w:pPr>
        <w:spacing w:line="276" w:lineRule="auto" w:after="60"/>
      </w:pPr>
      <w:r>
        <w:rPr>
          <w:rFonts w:ascii="Times New Roman" w:hAnsi="Times New Roman"/>
          <w:b/>
          <w:sz w:val="22"/>
        </w:rPr>
        <w:t>CHAPTER 3: SYSTEM ANALYSIS AND DESIGN</w:t>
      </w:r>
      <w:r>
        <w:rPr>
          <w:rFonts w:ascii="Times New Roman" w:hAnsi="Times New Roman"/>
          <w:color w:val="808080"/>
          <w:sz w:val="20"/>
        </w:rPr>
        <w:t xml:space="preserve"> ................................. </w:t>
      </w:r>
      <w:r>
        <w:rPr>
          <w:rFonts w:ascii="Times New Roman" w:hAnsi="Times New Roman"/>
          <w:b/>
          <w:sz w:val="22"/>
        </w:rPr>
        <w:t>17</w:t>
      </w:r>
    </w:p>
    <w:p>
      <w:pPr>
        <w:spacing w:line="276" w:lineRule="auto" w:after="60"/>
      </w:pPr>
      <w:r>
        <w:rPr>
          <w:rFonts w:ascii="Times New Roman" w:hAnsi="Times New Roman"/>
          <w:b w:val="0"/>
          <w:sz w:val="22"/>
        </w:rPr>
        <w:t xml:space="preserve">  3.1 System Analysis</w:t>
      </w:r>
      <w:r>
        <w:rPr>
          <w:rFonts w:ascii="Times New Roman" w:hAnsi="Times New Roman"/>
          <w:color w:val="808080"/>
          <w:sz w:val="20"/>
        </w:rPr>
        <w:t xml:space="preserve"> ................................................. </w:t>
      </w:r>
      <w:r>
        <w:rPr>
          <w:rFonts w:ascii="Times New Roman" w:hAnsi="Times New Roman"/>
          <w:b w:val="0"/>
          <w:sz w:val="22"/>
        </w:rPr>
        <w:t>17</w:t>
      </w:r>
    </w:p>
    <w:p>
      <w:pPr>
        <w:spacing w:line="276" w:lineRule="auto" w:after="60"/>
      </w:pPr>
      <w:r>
        <w:rPr>
          <w:rFonts w:ascii="Times New Roman" w:hAnsi="Times New Roman"/>
          <w:b w:val="0"/>
          <w:sz w:val="22"/>
        </w:rPr>
        <w:t xml:space="preserve">    3.1.1 Requirement Analysis</w:t>
      </w:r>
      <w:r>
        <w:rPr>
          <w:rFonts w:ascii="Times New Roman" w:hAnsi="Times New Roman"/>
          <w:color w:val="808080"/>
          <w:sz w:val="20"/>
        </w:rPr>
        <w:t xml:space="preserve"> ........................................ </w:t>
      </w:r>
      <w:r>
        <w:rPr>
          <w:rFonts w:ascii="Times New Roman" w:hAnsi="Times New Roman"/>
          <w:b w:val="0"/>
          <w:sz w:val="22"/>
        </w:rPr>
        <w:t>17</w:t>
      </w:r>
    </w:p>
    <w:p>
      <w:pPr>
        <w:spacing w:line="276" w:lineRule="auto" w:after="60"/>
      </w:pPr>
      <w:r>
        <w:rPr>
          <w:rFonts w:ascii="Times New Roman" w:hAnsi="Times New Roman"/>
          <w:b w:val="0"/>
          <w:sz w:val="22"/>
        </w:rPr>
        <w:t xml:space="preserve">      i. Functional Requirements</w:t>
      </w:r>
      <w:r>
        <w:rPr>
          <w:rFonts w:ascii="Times New Roman" w:hAnsi="Times New Roman"/>
          <w:color w:val="808080"/>
          <w:sz w:val="20"/>
        </w:rPr>
        <w:t xml:space="preserve"> ...................................... </w:t>
      </w:r>
      <w:r>
        <w:rPr>
          <w:rFonts w:ascii="Times New Roman" w:hAnsi="Times New Roman"/>
          <w:b w:val="0"/>
          <w:sz w:val="22"/>
        </w:rPr>
        <w:t>17</w:t>
      </w:r>
    </w:p>
    <w:p>
      <w:pPr>
        <w:spacing w:line="276" w:lineRule="auto" w:after="60"/>
      </w:pPr>
      <w:r>
        <w:rPr>
          <w:rFonts w:ascii="Times New Roman" w:hAnsi="Times New Roman"/>
          <w:b w:val="0"/>
          <w:sz w:val="22"/>
        </w:rPr>
        <w:t xml:space="preserve">      ii. Non-Functional Requirements</w:t>
      </w:r>
      <w:r>
        <w:rPr>
          <w:rFonts w:ascii="Times New Roman" w:hAnsi="Times New Roman"/>
          <w:color w:val="808080"/>
          <w:sz w:val="20"/>
        </w:rPr>
        <w:t xml:space="preserve"> ................................. </w:t>
      </w:r>
      <w:r>
        <w:rPr>
          <w:rFonts w:ascii="Times New Roman" w:hAnsi="Times New Roman"/>
          <w:b w:val="0"/>
          <w:sz w:val="22"/>
        </w:rPr>
        <w:t>19</w:t>
      </w:r>
    </w:p>
    <w:p>
      <w:pPr>
        <w:spacing w:line="276" w:lineRule="auto" w:after="60"/>
      </w:pPr>
      <w:r>
        <w:rPr>
          <w:rFonts w:ascii="Times New Roman" w:hAnsi="Times New Roman"/>
          <w:b w:val="0"/>
          <w:sz w:val="22"/>
        </w:rPr>
        <w:t xml:space="preserve">    3.1.2 Feasibility Analysis</w:t>
      </w:r>
      <w:r>
        <w:rPr>
          <w:rFonts w:ascii="Times New Roman" w:hAnsi="Times New Roman"/>
          <w:color w:val="808080"/>
          <w:sz w:val="20"/>
        </w:rPr>
        <w:t xml:space="preserve"> ........................................ </w:t>
      </w:r>
      <w:r>
        <w:rPr>
          <w:rFonts w:ascii="Times New Roman" w:hAnsi="Times New Roman"/>
          <w:b w:val="0"/>
          <w:sz w:val="22"/>
        </w:rPr>
        <w:t>20</w:t>
      </w:r>
    </w:p>
    <w:p>
      <w:pPr>
        <w:spacing w:line="276" w:lineRule="auto" w:after="60"/>
      </w:pPr>
      <w:r>
        <w:rPr>
          <w:rFonts w:ascii="Times New Roman" w:hAnsi="Times New Roman"/>
          <w:b w:val="0"/>
          <w:sz w:val="22"/>
        </w:rPr>
        <w:t xml:space="preserve">    3.1.3 Object Modelling (Class Diagram &amp; Object Relationships)</w:t>
      </w:r>
      <w:r>
        <w:rPr>
          <w:rFonts w:ascii="Times New Roman" w:hAnsi="Times New Roman"/>
          <w:color w:val="808080"/>
          <w:sz w:val="20"/>
        </w:rPr>
        <w:t xml:space="preserve"> ..... </w:t>
      </w:r>
      <w:r>
        <w:rPr>
          <w:rFonts w:ascii="Times New Roman" w:hAnsi="Times New Roman"/>
          <w:b w:val="0"/>
          <w:sz w:val="22"/>
        </w:rPr>
        <w:t>22</w:t>
      </w:r>
    </w:p>
    <w:p>
      <w:pPr>
        <w:spacing w:line="276" w:lineRule="auto" w:after="60"/>
      </w:pPr>
      <w:r>
        <w:rPr>
          <w:rFonts w:ascii="Times New Roman" w:hAnsi="Times New Roman"/>
          <w:b w:val="0"/>
          <w:sz w:val="22"/>
        </w:rPr>
        <w:t xml:space="preserve">    3.1.4 Dynamic Modelling (Sequence &amp; State Diagrams)</w:t>
      </w:r>
      <w:r>
        <w:rPr>
          <w:rFonts w:ascii="Times New Roman" w:hAnsi="Times New Roman"/>
          <w:color w:val="808080"/>
          <w:sz w:val="20"/>
        </w:rPr>
        <w:t xml:space="preserve"> ............... </w:t>
      </w:r>
      <w:r>
        <w:rPr>
          <w:rFonts w:ascii="Times New Roman" w:hAnsi="Times New Roman"/>
          <w:b w:val="0"/>
          <w:sz w:val="22"/>
        </w:rPr>
        <w:t>24</w:t>
      </w:r>
    </w:p>
    <w:p>
      <w:pPr>
        <w:spacing w:line="276" w:lineRule="auto" w:after="60"/>
      </w:pPr>
      <w:r>
        <w:rPr>
          <w:rFonts w:ascii="Times New Roman" w:hAnsi="Times New Roman"/>
          <w:b w:val="0"/>
          <w:sz w:val="22"/>
        </w:rPr>
        <w:t xml:space="preserve">    3.1.5 Process Modelling (Activity Diagrams)</w:t>
      </w:r>
      <w:r>
        <w:rPr>
          <w:rFonts w:ascii="Times New Roman" w:hAnsi="Times New Roman"/>
          <w:color w:val="808080"/>
          <w:sz w:val="20"/>
        </w:rPr>
        <w:t xml:space="preserve"> ....................... </w:t>
      </w:r>
      <w:r>
        <w:rPr>
          <w:rFonts w:ascii="Times New Roman" w:hAnsi="Times New Roman"/>
          <w:b w:val="0"/>
          <w:sz w:val="22"/>
        </w:rPr>
        <w:t>26</w:t>
      </w:r>
    </w:p>
    <w:p>
      <w:pPr>
        <w:spacing w:line="276" w:lineRule="auto" w:after="60"/>
      </w:pPr>
      <w:r>
        <w:rPr>
          <w:rFonts w:ascii="Times New Roman" w:hAnsi="Times New Roman"/>
          <w:b w:val="0"/>
          <w:sz w:val="22"/>
        </w:rPr>
        <w:t xml:space="preserve">  3.2 System Design</w:t>
      </w:r>
      <w:r>
        <w:rPr>
          <w:rFonts w:ascii="Times New Roman" w:hAnsi="Times New Roman"/>
          <w:color w:val="808080"/>
          <w:sz w:val="20"/>
        </w:rPr>
        <w:t xml:space="preserve"> ................................................... </w:t>
      </w:r>
      <w:r>
        <w:rPr>
          <w:rFonts w:ascii="Times New Roman" w:hAnsi="Times New Roman"/>
          <w:b w:val="0"/>
          <w:sz w:val="22"/>
        </w:rPr>
        <w:t>28</w:t>
      </w:r>
    </w:p>
    <w:p>
      <w:pPr>
        <w:spacing w:line="276" w:lineRule="auto" w:after="60"/>
      </w:pPr>
      <w:r>
        <w:rPr>
          <w:rFonts w:ascii="Times New Roman" w:hAnsi="Times New Roman"/>
          <w:b w:val="0"/>
          <w:sz w:val="22"/>
        </w:rPr>
        <w:t xml:space="preserve">    3.2.1 Architectural Design</w:t>
      </w:r>
      <w:r>
        <w:rPr>
          <w:rFonts w:ascii="Times New Roman" w:hAnsi="Times New Roman"/>
          <w:color w:val="808080"/>
          <w:sz w:val="20"/>
        </w:rPr>
        <w:t xml:space="preserve"> ........................................ </w:t>
      </w:r>
      <w:r>
        <w:rPr>
          <w:rFonts w:ascii="Times New Roman" w:hAnsi="Times New Roman"/>
          <w:b w:val="0"/>
          <w:sz w:val="22"/>
        </w:rPr>
        <w:t>28</w:t>
      </w:r>
    </w:p>
    <w:p>
      <w:pPr>
        <w:spacing w:line="276" w:lineRule="auto" w:after="60"/>
      </w:pPr>
      <w:r>
        <w:rPr>
          <w:rFonts w:ascii="Times New Roman" w:hAnsi="Times New Roman"/>
          <w:b w:val="0"/>
          <w:sz w:val="22"/>
        </w:rPr>
        <w:t xml:space="preserve">    3.2.2 Database Schema Design &amp; Data Dictionary</w:t>
      </w:r>
      <w:r>
        <w:rPr>
          <w:rFonts w:ascii="Times New Roman" w:hAnsi="Times New Roman"/>
          <w:color w:val="808080"/>
          <w:sz w:val="20"/>
        </w:rPr>
        <w:t xml:space="preserve"> .................... </w:t>
      </w:r>
      <w:r>
        <w:rPr>
          <w:rFonts w:ascii="Times New Roman" w:hAnsi="Times New Roman"/>
          <w:b w:val="0"/>
          <w:sz w:val="22"/>
        </w:rPr>
        <w:t>30</w:t>
      </w:r>
    </w:p>
    <w:p>
      <w:pPr>
        <w:spacing w:line="276" w:lineRule="auto" w:after="60"/>
      </w:pPr>
      <w:r>
        <w:rPr>
          <w:rFonts w:ascii="Times New Roman" w:hAnsi="Times New Roman"/>
          <w:b w:val="0"/>
          <w:sz w:val="22"/>
        </w:rPr>
        <w:t xml:space="preserve">    3.2.3 Interface Design (UI/UX Overview)</w:t>
      </w:r>
      <w:r>
        <w:rPr>
          <w:rFonts w:ascii="Times New Roman" w:hAnsi="Times New Roman"/>
          <w:color w:val="808080"/>
          <w:sz w:val="20"/>
        </w:rPr>
        <w:t xml:space="preserve"> ........................... </w:t>
      </w:r>
      <w:r>
        <w:rPr>
          <w:rFonts w:ascii="Times New Roman" w:hAnsi="Times New Roman"/>
          <w:b w:val="0"/>
          <w:sz w:val="22"/>
        </w:rPr>
        <w:t>33</w:t>
      </w:r>
    </w:p>
    <w:p>
      <w:pPr>
        <w:spacing w:line="276" w:lineRule="auto" w:after="60"/>
      </w:pPr>
      <w:r>
        <w:rPr>
          <w:rFonts w:ascii="Times New Roman" w:hAnsi="Times New Roman"/>
          <w:b w:val="0"/>
          <w:sz w:val="22"/>
        </w:rPr>
        <w:t xml:space="preserve">    3.2.4 Component and Deployment Architecture</w:t>
      </w:r>
      <w:r>
        <w:rPr>
          <w:rFonts w:ascii="Times New Roman" w:hAnsi="Times New Roman"/>
          <w:color w:val="808080"/>
          <w:sz w:val="20"/>
        </w:rPr>
        <w:t xml:space="preserve"> ....................... </w:t>
      </w:r>
      <w:r>
        <w:rPr>
          <w:rFonts w:ascii="Times New Roman" w:hAnsi="Times New Roman"/>
          <w:b w:val="0"/>
          <w:sz w:val="22"/>
        </w:rPr>
        <w:t>36</w:t>
      </w:r>
    </w:p>
    <w:p>
      <w:pPr>
        <w:spacing w:line="276" w:lineRule="auto" w:after="60"/>
      </w:pPr>
      <w:r>
        <w:rPr>
          <w:rFonts w:ascii="Times New Roman" w:hAnsi="Times New Roman"/>
          <w:b w:val="0"/>
          <w:sz w:val="22"/>
        </w:rPr>
        <w:t xml:space="preserve">  3.3 Algorithm Details</w:t>
      </w:r>
      <w:r>
        <w:rPr>
          <w:rFonts w:ascii="Times New Roman" w:hAnsi="Times New Roman"/>
          <w:color w:val="808080"/>
          <w:sz w:val="20"/>
        </w:rPr>
        <w:t xml:space="preserve"> ............................................... </w:t>
      </w:r>
      <w:r>
        <w:rPr>
          <w:rFonts w:ascii="Times New Roman" w:hAnsi="Times New Roman"/>
          <w:b w:val="0"/>
          <w:sz w:val="22"/>
        </w:rPr>
        <w:t>38</w:t>
      </w:r>
    </w:p>
    <w:p>
      <w:pPr>
        <w:spacing w:line="276" w:lineRule="auto" w:after="60"/>
      </w:pPr>
      <w:r>
        <w:rPr>
          <w:rFonts w:ascii="Times New Roman" w:hAnsi="Times New Roman"/>
          <w:b w:val="0"/>
          <w:sz w:val="22"/>
        </w:rPr>
        <w:t xml:space="preserve">    3.3.1 Mathematical Formulations of Technical Indicators</w:t>
      </w:r>
      <w:r>
        <w:rPr>
          <w:rFonts w:ascii="Times New Roman" w:hAnsi="Times New Roman"/>
          <w:color w:val="808080"/>
          <w:sz w:val="20"/>
        </w:rPr>
        <w:t xml:space="preserve"> ........... </w:t>
      </w:r>
      <w:r>
        <w:rPr>
          <w:rFonts w:ascii="Times New Roman" w:hAnsi="Times New Roman"/>
          <w:b w:val="0"/>
          <w:sz w:val="22"/>
        </w:rPr>
        <w:t>38</w:t>
      </w:r>
    </w:p>
    <w:p>
      <w:pPr>
        <w:spacing w:line="276" w:lineRule="auto" w:after="60"/>
      </w:pPr>
      <w:r>
        <w:rPr>
          <w:rFonts w:ascii="Times New Roman" w:hAnsi="Times New Roman"/>
          <w:b w:val="0"/>
          <w:sz w:val="22"/>
        </w:rPr>
        <w:t xml:space="preserve">    3.3.2 Two-Stage Hybrid LSTM-XGBoost Architecture</w:t>
      </w:r>
      <w:r>
        <w:rPr>
          <w:rFonts w:ascii="Times New Roman" w:hAnsi="Times New Roman"/>
          <w:color w:val="808080"/>
          <w:sz w:val="20"/>
        </w:rPr>
        <w:t xml:space="preserve"> .................. </w:t>
      </w:r>
      <w:r>
        <w:rPr>
          <w:rFonts w:ascii="Times New Roman" w:hAnsi="Times New Roman"/>
          <w:b w:val="0"/>
          <w:sz w:val="22"/>
        </w:rPr>
        <w:t>40</w:t>
      </w:r>
    </w:p>
    <w:p>
      <w:pPr>
        <w:spacing w:line="276" w:lineRule="auto" w:after="60"/>
      </w:pPr>
      <w:r>
        <w:rPr>
          <w:rFonts w:ascii="Times New Roman" w:hAnsi="Times New Roman"/>
          <w:b w:val="0"/>
          <w:sz w:val="22"/>
        </w:rPr>
        <w:t xml:space="preserve">    3.3.3 Real-Time Multi-Condition Alert Evaluation Engine</w:t>
      </w:r>
      <w:r>
        <w:rPr>
          <w:rFonts w:ascii="Times New Roman" w:hAnsi="Times New Roman"/>
          <w:color w:val="808080"/>
          <w:sz w:val="20"/>
        </w:rPr>
        <w:t xml:space="preserve"> ........... </w:t>
      </w:r>
      <w:r>
        <w:rPr>
          <w:rFonts w:ascii="Times New Roman" w:hAnsi="Times New Roman"/>
          <w:b w:val="0"/>
          <w:sz w:val="22"/>
        </w:rPr>
        <w:t>42</w:t>
      </w:r>
    </w:p>
    <w:p>
      <w:pPr>
        <w:spacing w:line="276" w:lineRule="auto" w:after="60"/>
      </w:pPr>
      <w:r>
        <w:rPr>
          <w:rFonts w:ascii="Times New Roman" w:hAnsi="Times New Roman"/>
          <w:b w:val="0"/>
          <w:sz w:val="22"/>
        </w:rPr>
        <w:t xml:space="preserve">    3.3.4 Empirical Signal Backtesting Simulation Algorithm</w:t>
      </w:r>
      <w:r>
        <w:rPr>
          <w:rFonts w:ascii="Times New Roman" w:hAnsi="Times New Roman"/>
          <w:color w:val="808080"/>
          <w:sz w:val="20"/>
        </w:rPr>
        <w:t xml:space="preserve"> ........... </w:t>
      </w:r>
      <w:r>
        <w:rPr>
          <w:rFonts w:ascii="Times New Roman" w:hAnsi="Times New Roman"/>
          <w:b w:val="0"/>
          <w:sz w:val="22"/>
        </w:rPr>
        <w:t>43</w:t>
      </w:r>
    </w:p>
    <w:p>
      <w:pPr>
        <w:spacing w:line="276" w:lineRule="auto" w:after="60"/>
      </w:pPr>
      <w:r>
        <w:rPr>
          <w:rFonts w:ascii="Times New Roman" w:hAnsi="Times New Roman"/>
          <w:b/>
          <w:sz w:val="22"/>
        </w:rPr>
        <w:t>CHAPTER 4: IMPLEMENTATION AND TESTING</w:t>
      </w:r>
      <w:r>
        <w:rPr>
          <w:rFonts w:ascii="Times New Roman" w:hAnsi="Times New Roman"/>
          <w:color w:val="808080"/>
          <w:sz w:val="20"/>
        </w:rPr>
        <w:t xml:space="preserve"> ................................. </w:t>
      </w:r>
      <w:r>
        <w:rPr>
          <w:rFonts w:ascii="Times New Roman" w:hAnsi="Times New Roman"/>
          <w:b/>
          <w:sz w:val="22"/>
        </w:rPr>
        <w:t>45</w:t>
      </w:r>
    </w:p>
    <w:p>
      <w:pPr>
        <w:spacing w:line="276" w:lineRule="auto" w:after="60"/>
      </w:pPr>
      <w:r>
        <w:rPr>
          <w:rFonts w:ascii="Times New Roman" w:hAnsi="Times New Roman"/>
          <w:b w:val="0"/>
          <w:sz w:val="22"/>
        </w:rPr>
        <w:t xml:space="preserve">  4.1 Implementation</w:t>
      </w:r>
      <w:r>
        <w:rPr>
          <w:rFonts w:ascii="Times New Roman" w:hAnsi="Times New Roman"/>
          <w:color w:val="808080"/>
          <w:sz w:val="20"/>
        </w:rPr>
        <w:t xml:space="preserve"> .................................................. </w:t>
      </w:r>
      <w:r>
        <w:rPr>
          <w:rFonts w:ascii="Times New Roman" w:hAnsi="Times New Roman"/>
          <w:b w:val="0"/>
          <w:sz w:val="22"/>
        </w:rPr>
        <w:t>45</w:t>
      </w:r>
    </w:p>
    <w:p>
      <w:pPr>
        <w:spacing w:line="276" w:lineRule="auto" w:after="60"/>
      </w:pPr>
      <w:r>
        <w:rPr>
          <w:rFonts w:ascii="Times New Roman" w:hAnsi="Times New Roman"/>
          <w:b w:val="0"/>
          <w:sz w:val="22"/>
        </w:rPr>
        <w:t xml:space="preserve">    4.1.1 Tools and Platforms Used</w:t>
      </w:r>
      <w:r>
        <w:rPr>
          <w:rFonts w:ascii="Times New Roman" w:hAnsi="Times New Roman"/>
          <w:color w:val="808080"/>
          <w:sz w:val="20"/>
        </w:rPr>
        <w:t xml:space="preserve"> .................................... </w:t>
      </w:r>
      <w:r>
        <w:rPr>
          <w:rFonts w:ascii="Times New Roman" w:hAnsi="Times New Roman"/>
          <w:b w:val="0"/>
          <w:sz w:val="22"/>
        </w:rPr>
        <w:t>45</w:t>
      </w:r>
    </w:p>
    <w:p>
      <w:pPr>
        <w:spacing w:line="276" w:lineRule="auto" w:after="60"/>
      </w:pPr>
      <w:r>
        <w:rPr>
          <w:rFonts w:ascii="Times New Roman" w:hAnsi="Times New Roman"/>
          <w:b w:val="0"/>
          <w:sz w:val="22"/>
        </w:rPr>
        <w:t xml:space="preserve">    4.1.2 Module Implementation Details</w:t>
      </w:r>
      <w:r>
        <w:rPr>
          <w:rFonts w:ascii="Times New Roman" w:hAnsi="Times New Roman"/>
          <w:color w:val="808080"/>
          <w:sz w:val="20"/>
        </w:rPr>
        <w:t xml:space="preserve"> ............................... </w:t>
      </w:r>
      <w:r>
        <w:rPr>
          <w:rFonts w:ascii="Times New Roman" w:hAnsi="Times New Roman"/>
          <w:b w:val="0"/>
          <w:sz w:val="22"/>
        </w:rPr>
        <w:t>47</w:t>
      </w:r>
    </w:p>
    <w:p>
      <w:pPr>
        <w:spacing w:line="276" w:lineRule="auto" w:after="60"/>
      </w:pPr>
      <w:r>
        <w:rPr>
          <w:rFonts w:ascii="Times New Roman" w:hAnsi="Times New Roman"/>
          <w:b w:val="0"/>
          <w:sz w:val="22"/>
        </w:rPr>
        <w:t xml:space="preserve">  4.2 Testing</w:t>
      </w:r>
      <w:r>
        <w:rPr>
          <w:rFonts w:ascii="Times New Roman" w:hAnsi="Times New Roman"/>
          <w:color w:val="808080"/>
          <w:sz w:val="20"/>
        </w:rPr>
        <w:t xml:space="preserve"> ......................................................... </w:t>
      </w:r>
      <w:r>
        <w:rPr>
          <w:rFonts w:ascii="Times New Roman" w:hAnsi="Times New Roman"/>
          <w:b w:val="0"/>
          <w:sz w:val="22"/>
        </w:rPr>
        <w:t>52</w:t>
      </w:r>
    </w:p>
    <w:p>
      <w:pPr>
        <w:spacing w:line="276" w:lineRule="auto" w:after="60"/>
      </w:pPr>
      <w:r>
        <w:rPr>
          <w:rFonts w:ascii="Times New Roman" w:hAnsi="Times New Roman"/>
          <w:b w:val="0"/>
          <w:sz w:val="22"/>
        </w:rPr>
        <w:t xml:space="preserve">    4.2.1 Unit Testing</w:t>
      </w:r>
      <w:r>
        <w:rPr>
          <w:rFonts w:ascii="Times New Roman" w:hAnsi="Times New Roman"/>
          <w:color w:val="808080"/>
          <w:sz w:val="20"/>
        </w:rPr>
        <w:t xml:space="preserve"> ................................................ </w:t>
      </w:r>
      <w:r>
        <w:rPr>
          <w:rFonts w:ascii="Times New Roman" w:hAnsi="Times New Roman"/>
          <w:b w:val="0"/>
          <w:sz w:val="22"/>
        </w:rPr>
        <w:t>52</w:t>
      </w:r>
    </w:p>
    <w:p>
      <w:pPr>
        <w:spacing w:line="276" w:lineRule="auto" w:after="60"/>
      </w:pPr>
      <w:r>
        <w:rPr>
          <w:rFonts w:ascii="Times New Roman" w:hAnsi="Times New Roman"/>
          <w:b w:val="0"/>
          <w:sz w:val="22"/>
        </w:rPr>
        <w:t xml:space="preserve">    4.2.2 System &amp; Integration Testing</w:t>
      </w:r>
      <w:r>
        <w:rPr>
          <w:rFonts w:ascii="Times New Roman" w:hAnsi="Times New Roman"/>
          <w:color w:val="808080"/>
          <w:sz w:val="20"/>
        </w:rPr>
        <w:t xml:space="preserve"> ................................ </w:t>
      </w:r>
      <w:r>
        <w:rPr>
          <w:rFonts w:ascii="Times New Roman" w:hAnsi="Times New Roman"/>
          <w:b w:val="0"/>
          <w:sz w:val="22"/>
        </w:rPr>
        <w:t>55</w:t>
      </w:r>
    </w:p>
    <w:p>
      <w:pPr>
        <w:spacing w:line="276" w:lineRule="auto" w:after="60"/>
      </w:pPr>
      <w:r>
        <w:rPr>
          <w:rFonts w:ascii="Times New Roman" w:hAnsi="Times New Roman"/>
          <w:b/>
          <w:sz w:val="22"/>
        </w:rPr>
        <w:t>CHAPTER 5: CONCLUSION AND FUTURE RECOMMENDATIONS</w:t>
      </w:r>
      <w:r>
        <w:rPr>
          <w:rFonts w:ascii="Times New Roman" w:hAnsi="Times New Roman"/>
          <w:color w:val="808080"/>
          <w:sz w:val="20"/>
        </w:rPr>
        <w:t xml:space="preserve"> ...................... </w:t>
      </w:r>
      <w:r>
        <w:rPr>
          <w:rFonts w:ascii="Times New Roman" w:hAnsi="Times New Roman"/>
          <w:b/>
          <w:sz w:val="22"/>
        </w:rPr>
        <w:t>58</w:t>
      </w:r>
    </w:p>
    <w:p>
      <w:pPr>
        <w:spacing w:line="276" w:lineRule="auto" w:after="60"/>
      </w:pPr>
      <w:r>
        <w:rPr>
          <w:rFonts w:ascii="Times New Roman" w:hAnsi="Times New Roman"/>
          <w:b w:val="0"/>
          <w:sz w:val="22"/>
        </w:rPr>
        <w:t xml:space="preserve">  5.1 Conclusion</w:t>
      </w:r>
      <w:r>
        <w:rPr>
          <w:rFonts w:ascii="Times New Roman" w:hAnsi="Times New Roman"/>
          <w:color w:val="808080"/>
          <w:sz w:val="20"/>
        </w:rPr>
        <w:t xml:space="preserve"> ...................................................... </w:t>
      </w:r>
      <w:r>
        <w:rPr>
          <w:rFonts w:ascii="Times New Roman" w:hAnsi="Times New Roman"/>
          <w:b w:val="0"/>
          <w:sz w:val="22"/>
        </w:rPr>
        <w:t>58</w:t>
      </w:r>
    </w:p>
    <w:p>
      <w:pPr>
        <w:spacing w:line="276" w:lineRule="auto" w:after="60"/>
      </w:pPr>
      <w:r>
        <w:rPr>
          <w:rFonts w:ascii="Times New Roman" w:hAnsi="Times New Roman"/>
          <w:b w:val="0"/>
          <w:sz w:val="22"/>
        </w:rPr>
        <w:t xml:space="preserve">  5.2 Lessons Learnt &amp; Outcomes</w:t>
      </w:r>
      <w:r>
        <w:rPr>
          <w:rFonts w:ascii="Times New Roman" w:hAnsi="Times New Roman"/>
          <w:color w:val="808080"/>
          <w:sz w:val="20"/>
        </w:rPr>
        <w:t xml:space="preserve"> ....................................... </w:t>
      </w:r>
      <w:r>
        <w:rPr>
          <w:rFonts w:ascii="Times New Roman" w:hAnsi="Times New Roman"/>
          <w:b w:val="0"/>
          <w:sz w:val="22"/>
        </w:rPr>
        <w:t>59</w:t>
      </w:r>
    </w:p>
    <w:p>
      <w:pPr>
        <w:spacing w:line="276" w:lineRule="auto" w:after="60"/>
      </w:pPr>
      <w:r>
        <w:rPr>
          <w:rFonts w:ascii="Times New Roman" w:hAnsi="Times New Roman"/>
          <w:b w:val="0"/>
          <w:sz w:val="22"/>
        </w:rPr>
        <w:t xml:space="preserve">  5.3 Future Recommendations</w:t>
      </w:r>
      <w:r>
        <w:rPr>
          <w:rFonts w:ascii="Times New Roman" w:hAnsi="Times New Roman"/>
          <w:color w:val="808080"/>
          <w:sz w:val="20"/>
        </w:rPr>
        <w:t xml:space="preserve"> .......................................... </w:t>
      </w:r>
      <w:r>
        <w:rPr>
          <w:rFonts w:ascii="Times New Roman" w:hAnsi="Times New Roman"/>
          <w:b w:val="0"/>
          <w:sz w:val="22"/>
        </w:rPr>
        <w:t>60</w:t>
      </w:r>
    </w:p>
    <w:p>
      <w:pPr>
        <w:spacing w:line="276" w:lineRule="auto" w:after="60"/>
      </w:pPr>
      <w:r>
        <w:rPr>
          <w:rFonts w:ascii="Times New Roman" w:hAnsi="Times New Roman"/>
          <w:b/>
          <w:sz w:val="22"/>
        </w:rPr>
        <w:t>APPENDICES</w:t>
      </w:r>
      <w:r>
        <w:rPr>
          <w:rFonts w:ascii="Times New Roman" w:hAnsi="Times New Roman"/>
          <w:color w:val="808080"/>
          <w:sz w:val="20"/>
        </w:rPr>
        <w:t xml:space="preserve"> ............................................................ </w:t>
      </w:r>
      <w:r>
        <w:rPr>
          <w:rFonts w:ascii="Times New Roman" w:hAnsi="Times New Roman"/>
          <w:b/>
          <w:sz w:val="22"/>
        </w:rPr>
        <w:t>62</w:t>
      </w:r>
    </w:p>
    <w:p>
      <w:pPr>
        <w:spacing w:line="276" w:lineRule="auto" w:after="60"/>
      </w:pPr>
      <w:r>
        <w:rPr>
          <w:rFonts w:ascii="Times New Roman" w:hAnsi="Times New Roman"/>
          <w:b w:val="0"/>
          <w:sz w:val="22"/>
        </w:rPr>
        <w:t xml:space="preserve">  Appendix A: System User Interface Screenshots</w:t>
      </w:r>
      <w:r>
        <w:rPr>
          <w:rFonts w:ascii="Times New Roman" w:hAnsi="Times New Roman"/>
          <w:color w:val="808080"/>
          <w:sz w:val="20"/>
        </w:rPr>
        <w:t xml:space="preserve"> ....................... </w:t>
      </w:r>
      <w:r>
        <w:rPr>
          <w:rFonts w:ascii="Times New Roman" w:hAnsi="Times New Roman"/>
          <w:b w:val="0"/>
          <w:sz w:val="22"/>
        </w:rPr>
        <w:t>62</w:t>
      </w:r>
    </w:p>
    <w:p>
      <w:pPr>
        <w:spacing w:line="276" w:lineRule="auto" w:after="60"/>
      </w:pPr>
      <w:r>
        <w:rPr>
          <w:rFonts w:ascii="Times New Roman" w:hAnsi="Times New Roman"/>
          <w:b w:val="0"/>
          <w:sz w:val="22"/>
        </w:rPr>
        <w:t xml:space="preserve">  Appendix B: Core Algorithmic Code Listings</w:t>
      </w:r>
      <w:r>
        <w:rPr>
          <w:rFonts w:ascii="Times New Roman" w:hAnsi="Times New Roman"/>
          <w:color w:val="808080"/>
          <w:sz w:val="20"/>
        </w:rPr>
        <w:t xml:space="preserve"> .......................... </w:t>
      </w:r>
      <w:r>
        <w:rPr>
          <w:rFonts w:ascii="Times New Roman" w:hAnsi="Times New Roman"/>
          <w:b w:val="0"/>
          <w:sz w:val="22"/>
        </w:rPr>
        <w:t>66</w:t>
      </w:r>
    </w:p>
    <w:p>
      <w:pPr>
        <w:spacing w:line="276" w:lineRule="auto" w:after="60"/>
      </w:pPr>
      <w:r>
        <w:rPr>
          <w:rFonts w:ascii="Times New Roman" w:hAnsi="Times New Roman"/>
          <w:b w:val="0"/>
          <w:sz w:val="22"/>
        </w:rPr>
        <w:t xml:space="preserve">  Appendix C: Supervisor Visit Log Sheet</w:t>
      </w:r>
      <w:r>
        <w:rPr>
          <w:rFonts w:ascii="Times New Roman" w:hAnsi="Times New Roman"/>
          <w:color w:val="808080"/>
          <w:sz w:val="20"/>
        </w:rPr>
        <w:t xml:space="preserve"> .............................. </w:t>
      </w:r>
      <w:r>
        <w:rPr>
          <w:rFonts w:ascii="Times New Roman" w:hAnsi="Times New Roman"/>
          <w:b w:val="0"/>
          <w:sz w:val="22"/>
        </w:rPr>
        <w:t>70</w:t>
      </w:r>
    </w:p>
    <w:p>
      <w:pPr>
        <w:spacing w:line="276" w:lineRule="auto" w:after="60"/>
      </w:pPr>
      <w:r>
        <w:rPr>
          <w:rFonts w:ascii="Times New Roman" w:hAnsi="Times New Roman"/>
          <w:b/>
          <w:sz w:val="22"/>
        </w:rPr>
        <w:t>REFERENCES</w:t>
      </w:r>
      <w:r>
        <w:rPr>
          <w:rFonts w:ascii="Times New Roman" w:hAnsi="Times New Roman"/>
          <w:color w:val="808080"/>
          <w:sz w:val="20"/>
        </w:rPr>
        <w:t xml:space="preserve"> ............................................................ </w:t>
      </w:r>
      <w:r>
        <w:rPr>
          <w:rFonts w:ascii="Times New Roman" w:hAnsi="Times New Roman"/>
          <w:b/>
          <w:sz w:val="22"/>
        </w:rPr>
        <w:t>71</w:t>
      </w:r>
    </w:p>
    <w:p>
      <w:r>
        <w:br w:type="page"/>
      </w:r>
    </w:p>
    <w:p>
      <w:pPr>
        <w:keepNext/>
        <w:spacing w:before="360" w:after="200" w:line="276" w:lineRule="auto"/>
        <w:jc w:val="left"/>
      </w:pPr>
      <w:r>
        <w:rPr>
          <w:rFonts w:ascii="Times New Roman" w:hAnsi="Times New Roman"/>
          <w:b/>
          <w:sz w:val="32"/>
        </w:rPr>
        <w:t>LIST OF ABBREVIATIONS</w:t>
      </w:r>
    </w:p>
    <w:tbl>
      <w:tblPr>
        <w:tblW w:type="auto" w:w="0"/>
        <w:jc w:val="center"/>
        <w:tblLook w:firstColumn="1" w:firstRow="1" w:lastColumn="0" w:lastRow="0" w:noHBand="0" w:noVBand="1" w:val="04A0"/>
      </w:tblPr>
      <w:tblGrid>
        <w:gridCol w:w="4334"/>
        <w:gridCol w:w="4334"/>
      </w:tblGrid>
      <w:tr>
        <w:tc>
          <w:tcPr>
            <w:tcW w:type="dxa" w:w="4334"/>
            <w:shd w:fill="F0F0F0"/>
          </w:tcPr>
          <w:p>
            <w:r>
              <w:rPr>
                <w:b/>
              </w:rPr>
              <w:t>Abbreviation</w:t>
            </w:r>
          </w:p>
        </w:tc>
        <w:tc>
          <w:tcPr>
            <w:tcW w:type="dxa" w:w="4334"/>
            <w:shd w:fill="F0F0F0"/>
          </w:tcPr>
          <w:p>
            <w:r>
              <w:rPr>
                <w:b/>
              </w:rPr>
              <w:t>Full Description</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AI</w:t>
            </w:r>
          </w:p>
        </w:tc>
        <w:tc>
          <w:tcPr>
            <w:tcW w:type="dxa" w:w="6480"/>
            <w:tcMar>
              <w:top w:w="60" w:type="dxa"/>
              <w:bottom w:w="60" w:type="dxa"/>
              <w:left w:w="100" w:type="dxa"/>
              <w:right w:w="100" w:type="dxa"/>
            </w:tcMar>
            <w:tcBorders>
              <w:bottom w:val="single" w:sz="4" w:space="0" w:color="E0E0E0"/>
            </w:tcBorders>
          </w:tcPr>
          <w:p>
            <w:pPr>
              <w:spacing w:line="276" w:lineRule="auto"/>
            </w:pPr>
            <w:r>
              <w:t>Artificial Intelligence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API</w:t>
            </w:r>
          </w:p>
        </w:tc>
        <w:tc>
          <w:tcPr>
            <w:tcW w:type="dxa" w:w="6480"/>
            <w:tcMar>
              <w:top w:w="60" w:type="dxa"/>
              <w:bottom w:w="60" w:type="dxa"/>
              <w:left w:w="100" w:type="dxa"/>
              <w:right w:w="100" w:type="dxa"/>
            </w:tcMar>
            <w:tcBorders>
              <w:bottom w:val="single" w:sz="4" w:space="0" w:color="E0E0E0"/>
            </w:tcBorders>
          </w:tcPr>
          <w:p>
            <w:pPr>
              <w:spacing w:line="276" w:lineRule="auto"/>
            </w:pPr>
            <w:r>
              <w:t>Application Programming Interface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BCA</w:t>
            </w:r>
          </w:p>
        </w:tc>
        <w:tc>
          <w:tcPr>
            <w:tcW w:type="dxa" w:w="6480"/>
            <w:tcMar>
              <w:top w:w="60" w:type="dxa"/>
              <w:bottom w:w="60" w:type="dxa"/>
              <w:left w:w="100" w:type="dxa"/>
              <w:right w:w="100" w:type="dxa"/>
            </w:tcMar>
            <w:tcBorders>
              <w:bottom w:val="single" w:sz="4" w:space="0" w:color="E0E0E0"/>
            </w:tcBorders>
          </w:tcPr>
          <w:p>
            <w:pPr>
              <w:spacing w:line="276" w:lineRule="auto"/>
            </w:pPr>
            <w:r>
              <w:t>Bachelor of Computer Application</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CASE</w:t>
            </w:r>
          </w:p>
        </w:tc>
        <w:tc>
          <w:tcPr>
            <w:tcW w:type="dxa" w:w="6480"/>
            <w:tcMar>
              <w:top w:w="60" w:type="dxa"/>
              <w:bottom w:w="60" w:type="dxa"/>
              <w:left w:w="100" w:type="dxa"/>
              <w:right w:w="100" w:type="dxa"/>
            </w:tcMar>
            <w:tcBorders>
              <w:bottom w:val="single" w:sz="4" w:space="0" w:color="E0E0E0"/>
            </w:tcBorders>
          </w:tcPr>
          <w:p>
            <w:pPr>
              <w:spacing w:line="276" w:lineRule="auto"/>
            </w:pPr>
            <w:r>
              <w:t>Computer-Aided Software Engineering</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CJS</w:t>
            </w:r>
          </w:p>
        </w:tc>
        <w:tc>
          <w:tcPr>
            <w:tcW w:type="dxa" w:w="6480"/>
            <w:tcMar>
              <w:top w:w="60" w:type="dxa"/>
              <w:bottom w:w="60" w:type="dxa"/>
              <w:left w:w="100" w:type="dxa"/>
              <w:right w:w="100" w:type="dxa"/>
            </w:tcMar>
            <w:tcBorders>
              <w:bottom w:val="single" w:sz="4" w:space="0" w:color="E0E0E0"/>
            </w:tcBorders>
          </w:tcPr>
          <w:p>
            <w:pPr>
              <w:spacing w:line="276" w:lineRule="auto"/>
            </w:pPr>
            <w:r>
              <w:t>CommonJS</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CRUD</w:t>
            </w:r>
          </w:p>
        </w:tc>
        <w:tc>
          <w:tcPr>
            <w:tcW w:type="dxa" w:w="6480"/>
            <w:tcMar>
              <w:top w:w="60" w:type="dxa"/>
              <w:bottom w:w="60" w:type="dxa"/>
              <w:left w:w="100" w:type="dxa"/>
              <w:right w:w="100" w:type="dxa"/>
            </w:tcMar>
            <w:tcBorders>
              <w:bottom w:val="single" w:sz="4" w:space="0" w:color="E0E0E0"/>
            </w:tcBorders>
          </w:tcPr>
          <w:p>
            <w:pPr>
              <w:spacing w:line="276" w:lineRule="auto"/>
            </w:pPr>
            <w:r>
              <w:t>Create, Read, Update, Delete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DFD</w:t>
            </w:r>
          </w:p>
        </w:tc>
        <w:tc>
          <w:tcPr>
            <w:tcW w:type="dxa" w:w="6480"/>
            <w:tcMar>
              <w:top w:w="60" w:type="dxa"/>
              <w:bottom w:w="60" w:type="dxa"/>
              <w:left w:w="100" w:type="dxa"/>
              <w:right w:w="100" w:type="dxa"/>
            </w:tcMar>
            <w:tcBorders>
              <w:bottom w:val="single" w:sz="4" w:space="0" w:color="E0E0E0"/>
            </w:tcBorders>
          </w:tcPr>
          <w:p>
            <w:pPr>
              <w:spacing w:line="276" w:lineRule="auto"/>
            </w:pPr>
            <w:r>
              <w:t>Data Flow Diagram</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DSS</w:t>
            </w:r>
          </w:p>
        </w:tc>
        <w:tc>
          <w:tcPr>
            <w:tcW w:type="dxa" w:w="6480"/>
            <w:tcMar>
              <w:top w:w="60" w:type="dxa"/>
              <w:bottom w:w="60" w:type="dxa"/>
              <w:left w:w="100" w:type="dxa"/>
              <w:right w:w="100" w:type="dxa"/>
            </w:tcMar>
            <w:tcBorders>
              <w:bottom w:val="single" w:sz="4" w:space="0" w:color="E0E0E0"/>
            </w:tcBorders>
          </w:tcPr>
          <w:p>
            <w:pPr>
              <w:spacing w:line="276" w:lineRule="auto"/>
            </w:pPr>
            <w:r>
              <w:t>Decision Support System</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EOD</w:t>
            </w:r>
          </w:p>
        </w:tc>
        <w:tc>
          <w:tcPr>
            <w:tcW w:type="dxa" w:w="6480"/>
            <w:tcMar>
              <w:top w:w="60" w:type="dxa"/>
              <w:bottom w:w="60" w:type="dxa"/>
              <w:left w:w="100" w:type="dxa"/>
              <w:right w:w="100" w:type="dxa"/>
            </w:tcMar>
            <w:tcBorders>
              <w:bottom w:val="single" w:sz="4" w:space="0" w:color="E0E0E0"/>
            </w:tcBorders>
          </w:tcPr>
          <w:p>
            <w:pPr>
              <w:spacing w:line="276" w:lineRule="auto"/>
            </w:pPr>
            <w:r>
              <w:t>End of Day</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EMA</w:t>
            </w:r>
          </w:p>
        </w:tc>
        <w:tc>
          <w:tcPr>
            <w:tcW w:type="dxa" w:w="6480"/>
            <w:tcMar>
              <w:top w:w="60" w:type="dxa"/>
              <w:bottom w:w="60" w:type="dxa"/>
              <w:left w:w="100" w:type="dxa"/>
              <w:right w:w="100" w:type="dxa"/>
            </w:tcMar>
            <w:tcBorders>
              <w:bottom w:val="single" w:sz="4" w:space="0" w:color="E0E0E0"/>
            </w:tcBorders>
          </w:tcPr>
          <w:p>
            <w:pPr>
              <w:spacing w:line="276" w:lineRule="auto"/>
            </w:pPr>
            <w:r>
              <w:t>Exponential Moving Average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ERD</w:t>
            </w:r>
          </w:p>
        </w:tc>
        <w:tc>
          <w:tcPr>
            <w:tcW w:type="dxa" w:w="6480"/>
            <w:tcMar>
              <w:top w:w="60" w:type="dxa"/>
              <w:bottom w:w="60" w:type="dxa"/>
              <w:left w:w="100" w:type="dxa"/>
              <w:right w:w="100" w:type="dxa"/>
            </w:tcMar>
            <w:tcBorders>
              <w:bottom w:val="single" w:sz="4" w:space="0" w:color="E0E0E0"/>
            </w:tcBorders>
          </w:tcPr>
          <w:p>
            <w:pPr>
              <w:spacing w:line="276" w:lineRule="auto"/>
            </w:pPr>
            <w:r>
              <w:t>Entity Relationship Diagram</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FOHSS</w:t>
            </w:r>
          </w:p>
        </w:tc>
        <w:tc>
          <w:tcPr>
            <w:tcW w:type="dxa" w:w="6480"/>
            <w:tcMar>
              <w:top w:w="60" w:type="dxa"/>
              <w:bottom w:w="60" w:type="dxa"/>
              <w:left w:w="100" w:type="dxa"/>
              <w:right w:w="100" w:type="dxa"/>
            </w:tcMar>
            <w:tcBorders>
              <w:bottom w:val="single" w:sz="4" w:space="0" w:color="E0E0E0"/>
            </w:tcBorders>
          </w:tcPr>
          <w:p>
            <w:pPr>
              <w:spacing w:line="276" w:lineRule="auto"/>
            </w:pPr>
            <w:r>
              <w:t>Faculty of Humanities and Social Sciences</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HTTP</w:t>
            </w:r>
          </w:p>
        </w:tc>
        <w:tc>
          <w:tcPr>
            <w:tcW w:type="dxa" w:w="6480"/>
            <w:tcMar>
              <w:top w:w="60" w:type="dxa"/>
              <w:bottom w:w="60" w:type="dxa"/>
              <w:left w:w="100" w:type="dxa"/>
              <w:right w:w="100" w:type="dxa"/>
            </w:tcMar>
            <w:tcBorders>
              <w:bottom w:val="single" w:sz="4" w:space="0" w:color="E0E0E0"/>
            </w:tcBorders>
          </w:tcPr>
          <w:p>
            <w:pPr>
              <w:spacing w:line="276" w:lineRule="auto"/>
            </w:pPr>
            <w:r>
              <w:t>Hypertext Transfer Protocol</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IEEE</w:t>
            </w:r>
          </w:p>
        </w:tc>
        <w:tc>
          <w:tcPr>
            <w:tcW w:type="dxa" w:w="6480"/>
            <w:tcMar>
              <w:top w:w="60" w:type="dxa"/>
              <w:bottom w:w="60" w:type="dxa"/>
              <w:left w:w="100" w:type="dxa"/>
              <w:right w:w="100" w:type="dxa"/>
            </w:tcMar>
            <w:tcBorders>
              <w:bottom w:val="single" w:sz="4" w:space="0" w:color="E0E0E0"/>
            </w:tcBorders>
          </w:tcPr>
          <w:p>
            <w:pPr>
              <w:spacing w:line="276" w:lineRule="auto"/>
            </w:pPr>
            <w:r>
              <w:t>Institute of Electrical and Electronics Engineers</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JSON</w:t>
            </w:r>
          </w:p>
        </w:tc>
        <w:tc>
          <w:tcPr>
            <w:tcW w:type="dxa" w:w="6480"/>
            <w:tcMar>
              <w:top w:w="60" w:type="dxa"/>
              <w:bottom w:w="60" w:type="dxa"/>
              <w:left w:w="100" w:type="dxa"/>
              <w:right w:w="100" w:type="dxa"/>
            </w:tcMar>
            <w:tcBorders>
              <w:bottom w:val="single" w:sz="4" w:space="0" w:color="E0E0E0"/>
            </w:tcBorders>
          </w:tcPr>
          <w:p>
            <w:pPr>
              <w:spacing w:line="276" w:lineRule="auto"/>
            </w:pPr>
            <w:r>
              <w:t>JavaScript Object Notation</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KPI</w:t>
            </w:r>
          </w:p>
        </w:tc>
        <w:tc>
          <w:tcPr>
            <w:tcW w:type="dxa" w:w="6480"/>
            <w:tcMar>
              <w:top w:w="60" w:type="dxa"/>
              <w:bottom w:w="60" w:type="dxa"/>
              <w:left w:w="100" w:type="dxa"/>
              <w:right w:w="100" w:type="dxa"/>
            </w:tcMar>
            <w:tcBorders>
              <w:bottom w:val="single" w:sz="4" w:space="0" w:color="E0E0E0"/>
            </w:tcBorders>
          </w:tcPr>
          <w:p>
            <w:pPr>
              <w:spacing w:line="276" w:lineRule="auto"/>
            </w:pPr>
            <w:r>
              <w:t>Key Performance Indicator</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LSTM</w:t>
            </w:r>
          </w:p>
        </w:tc>
        <w:tc>
          <w:tcPr>
            <w:tcW w:type="dxa" w:w="6480"/>
            <w:tcMar>
              <w:top w:w="60" w:type="dxa"/>
              <w:bottom w:w="60" w:type="dxa"/>
              <w:left w:w="100" w:type="dxa"/>
              <w:right w:w="100" w:type="dxa"/>
            </w:tcMar>
            <w:tcBorders>
              <w:bottom w:val="single" w:sz="4" w:space="0" w:color="E0E0E0"/>
            </w:tcBorders>
          </w:tcPr>
          <w:p>
            <w:pPr>
              <w:spacing w:line="276" w:lineRule="auto"/>
            </w:pPr>
            <w:r>
              <w:t>Long Short-Term Memory (Recurrent Neural Network)</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LTP</w:t>
            </w:r>
          </w:p>
        </w:tc>
        <w:tc>
          <w:tcPr>
            <w:tcW w:type="dxa" w:w="6480"/>
            <w:tcMar>
              <w:top w:w="60" w:type="dxa"/>
              <w:bottom w:w="60" w:type="dxa"/>
              <w:left w:w="100" w:type="dxa"/>
              <w:right w:w="100" w:type="dxa"/>
            </w:tcMar>
            <w:tcBorders>
              <w:bottom w:val="single" w:sz="4" w:space="0" w:color="E0E0E0"/>
            </w:tcBorders>
          </w:tcPr>
          <w:p>
            <w:pPr>
              <w:spacing w:line="276" w:lineRule="auto"/>
            </w:pPr>
            <w:r>
              <w:t>Last Traded Price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MACD</w:t>
            </w:r>
          </w:p>
        </w:tc>
        <w:tc>
          <w:tcPr>
            <w:tcW w:type="dxa" w:w="6480"/>
            <w:tcMar>
              <w:top w:w="60" w:type="dxa"/>
              <w:bottom w:w="60" w:type="dxa"/>
              <w:left w:w="100" w:type="dxa"/>
              <w:right w:w="100" w:type="dxa"/>
            </w:tcMar>
            <w:tcBorders>
              <w:bottom w:val="single" w:sz="4" w:space="0" w:color="E0E0E0"/>
            </w:tcBorders>
          </w:tcPr>
          <w:p>
            <w:pPr>
              <w:spacing w:line="276" w:lineRule="auto"/>
            </w:pPr>
            <w:r>
              <w:t>Moving Average Convergence Divergence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MDD</w:t>
            </w:r>
          </w:p>
        </w:tc>
        <w:tc>
          <w:tcPr>
            <w:tcW w:type="dxa" w:w="6480"/>
            <w:tcMar>
              <w:top w:w="60" w:type="dxa"/>
              <w:bottom w:w="60" w:type="dxa"/>
              <w:left w:w="100" w:type="dxa"/>
              <w:right w:w="100" w:type="dxa"/>
            </w:tcMar>
            <w:tcBorders>
              <w:bottom w:val="single" w:sz="4" w:space="0" w:color="E0E0E0"/>
            </w:tcBorders>
          </w:tcPr>
          <w:p>
            <w:pPr>
              <w:spacing w:line="276" w:lineRule="auto"/>
            </w:pPr>
            <w:r>
              <w:t>Maximum Drawdown</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ML</w:t>
            </w:r>
          </w:p>
        </w:tc>
        <w:tc>
          <w:tcPr>
            <w:tcW w:type="dxa" w:w="6480"/>
            <w:tcMar>
              <w:top w:w="60" w:type="dxa"/>
              <w:bottom w:w="60" w:type="dxa"/>
              <w:left w:w="100" w:type="dxa"/>
              <w:right w:w="100" w:type="dxa"/>
            </w:tcMar>
            <w:tcBorders>
              <w:bottom w:val="single" w:sz="4" w:space="0" w:color="E0E0E0"/>
            </w:tcBorders>
          </w:tcPr>
          <w:p>
            <w:pPr>
              <w:spacing w:line="276" w:lineRule="auto"/>
            </w:pPr>
            <w:r>
              <w:t>Machine Learning</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MSE</w:t>
            </w:r>
          </w:p>
        </w:tc>
        <w:tc>
          <w:tcPr>
            <w:tcW w:type="dxa" w:w="6480"/>
            <w:tcMar>
              <w:top w:w="60" w:type="dxa"/>
              <w:bottom w:w="60" w:type="dxa"/>
              <w:left w:w="100" w:type="dxa"/>
              <w:right w:w="100" w:type="dxa"/>
            </w:tcMar>
            <w:tcBorders>
              <w:bottom w:val="single" w:sz="4" w:space="0" w:color="E0E0E0"/>
            </w:tcBorders>
          </w:tcPr>
          <w:p>
            <w:pPr>
              <w:spacing w:line="276" w:lineRule="auto"/>
            </w:pPr>
            <w:r>
              <w:t>Mean Squared Error</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NEPSE</w:t>
            </w:r>
          </w:p>
        </w:tc>
        <w:tc>
          <w:tcPr>
            <w:tcW w:type="dxa" w:w="6480"/>
            <w:tcMar>
              <w:top w:w="60" w:type="dxa"/>
              <w:bottom w:w="60" w:type="dxa"/>
              <w:left w:w="100" w:type="dxa"/>
              <w:right w:w="100" w:type="dxa"/>
            </w:tcMar>
            <w:tcBorders>
              <w:bottom w:val="single" w:sz="4" w:space="0" w:color="E0E0E0"/>
            </w:tcBorders>
          </w:tcPr>
          <w:p>
            <w:pPr>
              <w:spacing w:line="276" w:lineRule="auto"/>
            </w:pPr>
            <w:r>
              <w:t>Nepal Stock Exchange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NPR</w:t>
            </w:r>
          </w:p>
        </w:tc>
        <w:tc>
          <w:tcPr>
            <w:tcW w:type="dxa" w:w="6480"/>
            <w:tcMar>
              <w:top w:w="60" w:type="dxa"/>
              <w:bottom w:w="60" w:type="dxa"/>
              <w:left w:w="100" w:type="dxa"/>
              <w:right w:w="100" w:type="dxa"/>
            </w:tcMar>
            <w:tcBorders>
              <w:bottom w:val="single" w:sz="4" w:space="0" w:color="E0E0E0"/>
            </w:tcBorders>
          </w:tcPr>
          <w:p>
            <w:pPr>
              <w:spacing w:line="276" w:lineRule="auto"/>
            </w:pPr>
            <w:r>
              <w:t>Nepalese Rupee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NRB</w:t>
            </w:r>
          </w:p>
        </w:tc>
        <w:tc>
          <w:tcPr>
            <w:tcW w:type="dxa" w:w="6480"/>
            <w:tcMar>
              <w:top w:w="60" w:type="dxa"/>
              <w:bottom w:w="60" w:type="dxa"/>
              <w:left w:w="100" w:type="dxa"/>
              <w:right w:w="100" w:type="dxa"/>
            </w:tcMar>
            <w:tcBorders>
              <w:bottom w:val="single" w:sz="4" w:space="0" w:color="E0E0E0"/>
            </w:tcBorders>
          </w:tcPr>
          <w:p>
            <w:pPr>
              <w:spacing w:line="276" w:lineRule="auto"/>
            </w:pPr>
            <w:r>
              <w:t>Nepal Rastra Bank</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OHLCV</w:t>
            </w:r>
          </w:p>
        </w:tc>
        <w:tc>
          <w:tcPr>
            <w:tcW w:type="dxa" w:w="6480"/>
            <w:tcMar>
              <w:top w:w="60" w:type="dxa"/>
              <w:bottom w:w="60" w:type="dxa"/>
              <w:left w:w="100" w:type="dxa"/>
              <w:right w:w="100" w:type="dxa"/>
            </w:tcMar>
            <w:tcBorders>
              <w:bottom w:val="single" w:sz="4" w:space="0" w:color="E0E0E0"/>
            </w:tcBorders>
          </w:tcPr>
          <w:p>
            <w:pPr>
              <w:spacing w:line="276" w:lineRule="auto"/>
            </w:pPr>
            <w:r>
              <w:t>Open, High, Low, Close, Volume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ORM</w:t>
            </w:r>
          </w:p>
        </w:tc>
        <w:tc>
          <w:tcPr>
            <w:tcW w:type="dxa" w:w="6480"/>
            <w:tcMar>
              <w:top w:w="60" w:type="dxa"/>
              <w:bottom w:w="60" w:type="dxa"/>
              <w:left w:w="100" w:type="dxa"/>
              <w:right w:w="100" w:type="dxa"/>
            </w:tcMar>
            <w:tcBorders>
              <w:bottom w:val="single" w:sz="4" w:space="0" w:color="E0E0E0"/>
            </w:tcBorders>
          </w:tcPr>
          <w:p>
            <w:pPr>
              <w:spacing w:line="276" w:lineRule="auto"/>
            </w:pPr>
            <w:r>
              <w:t>Object-Relational Mapping</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PnL</w:t>
            </w:r>
          </w:p>
        </w:tc>
        <w:tc>
          <w:tcPr>
            <w:tcW w:type="dxa" w:w="6480"/>
            <w:tcMar>
              <w:top w:w="60" w:type="dxa"/>
              <w:bottom w:w="60" w:type="dxa"/>
              <w:left w:w="100" w:type="dxa"/>
              <w:right w:w="100" w:type="dxa"/>
            </w:tcMar>
            <w:tcBorders>
              <w:bottom w:val="single" w:sz="4" w:space="0" w:color="E0E0E0"/>
            </w:tcBorders>
          </w:tcPr>
          <w:p>
            <w:pPr>
              <w:spacing w:line="276" w:lineRule="auto"/>
            </w:pPr>
            <w:r>
              <w:t>Profit and Loss</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QA</w:t>
            </w:r>
          </w:p>
        </w:tc>
        <w:tc>
          <w:tcPr>
            <w:tcW w:type="dxa" w:w="6480"/>
            <w:tcMar>
              <w:top w:w="60" w:type="dxa"/>
              <w:bottom w:w="60" w:type="dxa"/>
              <w:left w:w="100" w:type="dxa"/>
              <w:right w:w="100" w:type="dxa"/>
            </w:tcMar>
            <w:tcBorders>
              <w:bottom w:val="single" w:sz="4" w:space="0" w:color="E0E0E0"/>
            </w:tcBorders>
          </w:tcPr>
          <w:p>
            <w:pPr>
              <w:spacing w:line="276" w:lineRule="auto"/>
            </w:pPr>
            <w:r>
              <w:t>Quality Assurance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REST</w:t>
            </w:r>
          </w:p>
        </w:tc>
        <w:tc>
          <w:tcPr>
            <w:tcW w:type="dxa" w:w="6480"/>
            <w:tcMar>
              <w:top w:w="60" w:type="dxa"/>
              <w:bottom w:w="60" w:type="dxa"/>
              <w:left w:w="100" w:type="dxa"/>
              <w:right w:w="100" w:type="dxa"/>
            </w:tcMar>
            <w:tcBorders>
              <w:bottom w:val="single" w:sz="4" w:space="0" w:color="E0E0E0"/>
            </w:tcBorders>
          </w:tcPr>
          <w:p>
            <w:pPr>
              <w:spacing w:line="276" w:lineRule="auto"/>
            </w:pPr>
            <w:r>
              <w:t>Representational State Transfer</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RMSE</w:t>
            </w:r>
          </w:p>
        </w:tc>
        <w:tc>
          <w:tcPr>
            <w:tcW w:type="dxa" w:w="6480"/>
            <w:tcMar>
              <w:top w:w="60" w:type="dxa"/>
              <w:bottom w:w="60" w:type="dxa"/>
              <w:left w:w="100" w:type="dxa"/>
              <w:right w:w="100" w:type="dxa"/>
            </w:tcMar>
            <w:tcBorders>
              <w:bottom w:val="single" w:sz="4" w:space="0" w:color="E0E0E0"/>
            </w:tcBorders>
          </w:tcPr>
          <w:p>
            <w:pPr>
              <w:spacing w:line="276" w:lineRule="auto"/>
            </w:pPr>
            <w:r>
              <w:t>Root Mean Squared Error</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RNN</w:t>
            </w:r>
          </w:p>
        </w:tc>
        <w:tc>
          <w:tcPr>
            <w:tcW w:type="dxa" w:w="6480"/>
            <w:tcMar>
              <w:top w:w="60" w:type="dxa"/>
              <w:bottom w:w="60" w:type="dxa"/>
              <w:left w:w="100" w:type="dxa"/>
              <w:right w:w="100" w:type="dxa"/>
            </w:tcMar>
            <w:tcBorders>
              <w:bottom w:val="single" w:sz="4" w:space="0" w:color="E0E0E0"/>
            </w:tcBorders>
          </w:tcPr>
          <w:p>
            <w:pPr>
              <w:spacing w:line="276" w:lineRule="auto"/>
            </w:pPr>
            <w:r>
              <w:t>Recurrent Neural Network</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RSI</w:t>
            </w:r>
          </w:p>
        </w:tc>
        <w:tc>
          <w:tcPr>
            <w:tcW w:type="dxa" w:w="6480"/>
            <w:tcMar>
              <w:top w:w="60" w:type="dxa"/>
              <w:bottom w:w="60" w:type="dxa"/>
              <w:left w:w="100" w:type="dxa"/>
              <w:right w:w="100" w:type="dxa"/>
            </w:tcMar>
            <w:tcBorders>
              <w:bottom w:val="single" w:sz="4" w:space="0" w:color="E0E0E0"/>
            </w:tcBorders>
          </w:tcPr>
          <w:p>
            <w:pPr>
              <w:spacing w:line="276" w:lineRule="auto"/>
            </w:pPr>
            <w:r>
              <w:t>Relative Strength Index</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SMA</w:t>
            </w:r>
          </w:p>
        </w:tc>
        <w:tc>
          <w:tcPr>
            <w:tcW w:type="dxa" w:w="6480"/>
            <w:tcMar>
              <w:top w:w="60" w:type="dxa"/>
              <w:bottom w:w="60" w:type="dxa"/>
              <w:left w:w="100" w:type="dxa"/>
              <w:right w:w="100" w:type="dxa"/>
            </w:tcMar>
            <w:tcBorders>
              <w:bottom w:val="single" w:sz="4" w:space="0" w:color="E0E0E0"/>
            </w:tcBorders>
          </w:tcPr>
          <w:p>
            <w:pPr>
              <w:spacing w:line="276" w:lineRule="auto"/>
            </w:pPr>
            <w:r>
              <w:t>Simple Moving Average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SRS</w:t>
            </w:r>
          </w:p>
        </w:tc>
        <w:tc>
          <w:tcPr>
            <w:tcW w:type="dxa" w:w="6480"/>
            <w:tcMar>
              <w:top w:w="60" w:type="dxa"/>
              <w:bottom w:w="60" w:type="dxa"/>
              <w:left w:w="100" w:type="dxa"/>
              <w:right w:w="100" w:type="dxa"/>
            </w:tcMar>
            <w:tcBorders>
              <w:bottom w:val="single" w:sz="4" w:space="0" w:color="E0E0E0"/>
            </w:tcBorders>
          </w:tcPr>
          <w:p>
            <w:pPr>
              <w:spacing w:line="276" w:lineRule="auto"/>
            </w:pPr>
            <w:r>
              <w:t>Software Requirement Specification</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TLS</w:t>
            </w:r>
          </w:p>
        </w:tc>
        <w:tc>
          <w:tcPr>
            <w:tcW w:type="dxa" w:w="6480"/>
            <w:tcMar>
              <w:top w:w="60" w:type="dxa"/>
              <w:bottom w:w="60" w:type="dxa"/>
              <w:left w:w="100" w:type="dxa"/>
              <w:right w:w="100" w:type="dxa"/>
            </w:tcMar>
            <w:tcBorders>
              <w:bottom w:val="single" w:sz="4" w:space="0" w:color="E0E0E0"/>
            </w:tcBorders>
          </w:tcPr>
          <w:p>
            <w:pPr>
              <w:spacing w:line="276" w:lineRule="auto"/>
            </w:pPr>
            <w:r>
              <w:t>Transport Layer Security</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TU</w:t>
            </w:r>
          </w:p>
        </w:tc>
        <w:tc>
          <w:tcPr>
            <w:tcW w:type="dxa" w:w="6480"/>
            <w:tcMar>
              <w:top w:w="60" w:type="dxa"/>
              <w:bottom w:w="60" w:type="dxa"/>
              <w:left w:w="100" w:type="dxa"/>
              <w:right w:w="100" w:type="dxa"/>
            </w:tcMar>
            <w:tcBorders>
              <w:bottom w:val="single" w:sz="4" w:space="0" w:color="E0E0E0"/>
            </w:tcBorders>
          </w:tcPr>
          <w:p>
            <w:pPr>
              <w:spacing w:line="276" w:lineRule="auto"/>
            </w:pPr>
            <w:r>
              <w:t>Tribhuvan University</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UI/UX</w:t>
            </w:r>
          </w:p>
        </w:tc>
        <w:tc>
          <w:tcPr>
            <w:tcW w:type="dxa" w:w="6480"/>
            <w:tcMar>
              <w:top w:w="60" w:type="dxa"/>
              <w:bottom w:w="60" w:type="dxa"/>
              <w:left w:w="100" w:type="dxa"/>
              <w:right w:w="100" w:type="dxa"/>
            </w:tcMar>
            <w:tcBorders>
              <w:bottom w:val="single" w:sz="4" w:space="0" w:color="E0E0E0"/>
            </w:tcBorders>
          </w:tcPr>
          <w:p>
            <w:pPr>
              <w:spacing w:line="276" w:lineRule="auto"/>
            </w:pPr>
            <w:r>
              <w:t>User Interface / User Experience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UML</w:t>
            </w:r>
          </w:p>
        </w:tc>
        <w:tc>
          <w:tcPr>
            <w:tcW w:type="dxa" w:w="6480"/>
            <w:tcMar>
              <w:top w:w="60" w:type="dxa"/>
              <w:bottom w:w="60" w:type="dxa"/>
              <w:left w:w="100" w:type="dxa"/>
              <w:right w:w="100" w:type="dxa"/>
            </w:tcMar>
            <w:tcBorders>
              <w:bottom w:val="single" w:sz="4" w:space="0" w:color="E0E0E0"/>
            </w:tcBorders>
          </w:tcPr>
          <w:p>
            <w:pPr>
              <w:spacing w:line="276" w:lineRule="auto"/>
            </w:pPr>
            <w:r>
              <w:t>Unified Modeling Language</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URI</w:t>
            </w:r>
          </w:p>
        </w:tc>
        <w:tc>
          <w:tcPr>
            <w:tcW w:type="dxa" w:w="6480"/>
            <w:tcMar>
              <w:top w:w="60" w:type="dxa"/>
              <w:bottom w:w="60" w:type="dxa"/>
              <w:left w:w="100" w:type="dxa"/>
              <w:right w:w="100" w:type="dxa"/>
            </w:tcMar>
            <w:tcBorders>
              <w:bottom w:val="single" w:sz="4" w:space="0" w:color="E0E0E0"/>
            </w:tcBorders>
          </w:tcPr>
          <w:p>
            <w:pPr>
              <w:spacing w:line="276" w:lineRule="auto"/>
            </w:pPr>
            <w:r>
              <w:t>Uniform Resource Identifier</w:t>
            </w:r>
          </w:p>
        </w:tc>
      </w:tr>
      <w:tr>
        <w:tc>
          <w:tcPr>
            <w:tcW w:type="dxa" w:w="2592"/>
            <w:tcMar>
              <w:top w:w="60" w:type="dxa"/>
              <w:bottom w:w="60" w:type="dxa"/>
              <w:left w:w="100" w:type="dxa"/>
              <w:right w:w="100" w:type="dxa"/>
            </w:tcMar>
            <w:tcBorders>
              <w:bottom w:val="single" w:sz="4" w:space="0" w:color="E0E0E0"/>
            </w:tcBorders>
          </w:tcPr>
          <w:p>
            <w:pPr>
              <w:spacing w:line="276" w:lineRule="auto"/>
            </w:pPr>
            <w:r>
              <w:rPr>
                <w:b/>
              </w:rPr>
              <w:t>XGBoost</w:t>
            </w:r>
          </w:p>
        </w:tc>
        <w:tc>
          <w:tcPr>
            <w:tcW w:type="dxa" w:w="6480"/>
            <w:tcMar>
              <w:top w:w="60" w:type="dxa"/>
              <w:bottom w:w="60" w:type="dxa"/>
              <w:left w:w="100" w:type="dxa"/>
              <w:right w:w="100" w:type="dxa"/>
            </w:tcMar>
            <w:tcBorders>
              <w:bottom w:val="single" w:sz="4" w:space="0" w:color="E0E0E0"/>
            </w:tcBorders>
          </w:tcPr>
          <w:p>
            <w:pPr>
              <w:spacing w:line="276" w:lineRule="auto"/>
            </w:pPr>
            <w:r>
              <w:t>Extreme Gradient Boosting</w:t>
            </w:r>
          </w:p>
        </w:tc>
      </w:tr>
    </w:tbl>
    <w:p>
      <w:r>
        <w:br w:type="page"/>
      </w:r>
    </w:p>
    <w:p>
      <w:pPr>
        <w:keepNext/>
        <w:spacing w:before="360" w:after="200" w:line="276" w:lineRule="auto"/>
        <w:jc w:val="left"/>
      </w:pPr>
      <w:r>
        <w:rPr>
          <w:rFonts w:ascii="Times New Roman" w:hAnsi="Times New Roman"/>
          <w:b/>
          <w:sz w:val="32"/>
        </w:rPr>
        <w:t>LIST OF FIGURES</w:t>
      </w:r>
    </w:p>
    <w:p>
      <w:pPr>
        <w:spacing w:line="276" w:lineRule="auto" w:after="60"/>
      </w:pPr>
      <w:r>
        <w:rPr>
          <w:rFonts w:ascii="Times New Roman" w:hAnsi="Times New Roman"/>
          <w:sz w:val="22"/>
        </w:rPr>
        <w:t>Figure 1.1: Incremental Iterative Agile Software Engineering Process</w:t>
      </w:r>
      <w:r>
        <w:rPr>
          <w:rFonts w:ascii="Times New Roman" w:hAnsi="Times New Roman"/>
          <w:color w:val="808080"/>
          <w:sz w:val="20"/>
        </w:rPr>
        <w:t xml:space="preserve"> .. </w:t>
      </w:r>
      <w:r>
        <w:rPr>
          <w:rFonts w:ascii="Times New Roman" w:hAnsi="Times New Roman"/>
          <w:sz w:val="22"/>
        </w:rPr>
        <w:t>5</w:t>
      </w:r>
    </w:p>
    <w:p>
      <w:pPr>
        <w:spacing w:line="276" w:lineRule="auto" w:after="60"/>
      </w:pPr>
      <w:r>
        <w:rPr>
          <w:rFonts w:ascii="Times New Roman" w:hAnsi="Times New Roman"/>
          <w:sz w:val="22"/>
        </w:rPr>
        <w:t>Figure 2.1: Wilder’s 14-Period RSI Oscillator Bounds and Threshold Dynamics</w:t>
      </w:r>
      <w:r>
        <w:rPr>
          <w:rFonts w:ascii="Times New Roman" w:hAnsi="Times New Roman"/>
          <w:color w:val="808080"/>
          <w:sz w:val="20"/>
        </w:rPr>
        <w:t xml:space="preserve"> .. </w:t>
      </w:r>
      <w:r>
        <w:rPr>
          <w:rFonts w:ascii="Times New Roman" w:hAnsi="Times New Roman"/>
          <w:sz w:val="22"/>
        </w:rPr>
        <w:t>9</w:t>
      </w:r>
    </w:p>
    <w:p>
      <w:pPr>
        <w:spacing w:line="276" w:lineRule="auto" w:after="60"/>
      </w:pPr>
      <w:r>
        <w:rPr>
          <w:rFonts w:ascii="Times New Roman" w:hAnsi="Times New Roman"/>
          <w:sz w:val="22"/>
        </w:rPr>
        <w:t>Figure 2.2: Classical LSTM Cell Architecture with Gating Mechanisms</w:t>
      </w:r>
      <w:r>
        <w:rPr>
          <w:rFonts w:ascii="Times New Roman" w:hAnsi="Times New Roman"/>
          <w:color w:val="808080"/>
          <w:sz w:val="20"/>
        </w:rPr>
        <w:t xml:space="preserve"> ... </w:t>
      </w:r>
      <w:r>
        <w:rPr>
          <w:rFonts w:ascii="Times New Roman" w:hAnsi="Times New Roman"/>
          <w:sz w:val="22"/>
        </w:rPr>
        <w:t>11</w:t>
      </w:r>
    </w:p>
    <w:p>
      <w:pPr>
        <w:spacing w:line="276" w:lineRule="auto" w:after="60"/>
      </w:pPr>
      <w:r>
        <w:rPr>
          <w:rFonts w:ascii="Times New Roman" w:hAnsi="Times New Roman"/>
          <w:sz w:val="22"/>
        </w:rPr>
        <w:t>Figure 3.1: System Use Case Diagram for NEPSE AI Platform</w:t>
      </w:r>
      <w:r>
        <w:rPr>
          <w:rFonts w:ascii="Times New Roman" w:hAnsi="Times New Roman"/>
          <w:color w:val="808080"/>
          <w:sz w:val="20"/>
        </w:rPr>
        <w:t xml:space="preserve"> ............. </w:t>
      </w:r>
      <w:r>
        <w:rPr>
          <w:rFonts w:ascii="Times New Roman" w:hAnsi="Times New Roman"/>
          <w:sz w:val="22"/>
        </w:rPr>
        <w:t>18</w:t>
      </w:r>
    </w:p>
    <w:p>
      <w:pPr>
        <w:spacing w:line="276" w:lineRule="auto" w:after="60"/>
      </w:pPr>
      <w:r>
        <w:rPr>
          <w:rFonts w:ascii="Times New Roman" w:hAnsi="Times New Roman"/>
          <w:sz w:val="22"/>
        </w:rPr>
        <w:t>Figure 3.2: UML Class Diagram Representing Core Domain Entities</w:t>
      </w:r>
      <w:r>
        <w:rPr>
          <w:rFonts w:ascii="Times New Roman" w:hAnsi="Times New Roman"/>
          <w:color w:val="808080"/>
          <w:sz w:val="20"/>
        </w:rPr>
        <w:t xml:space="preserve"> ....... </w:t>
      </w:r>
      <w:r>
        <w:rPr>
          <w:rFonts w:ascii="Times New Roman" w:hAnsi="Times New Roman"/>
          <w:sz w:val="22"/>
        </w:rPr>
        <w:t>23</w:t>
      </w:r>
    </w:p>
    <w:p>
      <w:pPr>
        <w:spacing w:line="276" w:lineRule="auto" w:after="60"/>
      </w:pPr>
      <w:r>
        <w:rPr>
          <w:rFonts w:ascii="Times New Roman" w:hAnsi="Times New Roman"/>
          <w:sz w:val="22"/>
        </w:rPr>
        <w:t>Figure 3.3: Sequence Diagram for Real-Time Price Ingestion and Alert Evaluation</w:t>
      </w:r>
      <w:r>
        <w:rPr>
          <w:rFonts w:ascii="Times New Roman" w:hAnsi="Times New Roman"/>
          <w:color w:val="808080"/>
          <w:sz w:val="20"/>
        </w:rPr>
        <w:t xml:space="preserve"> .. </w:t>
      </w:r>
      <w:r>
        <w:rPr>
          <w:rFonts w:ascii="Times New Roman" w:hAnsi="Times New Roman"/>
          <w:sz w:val="22"/>
        </w:rPr>
        <w:t>25</w:t>
      </w:r>
    </w:p>
    <w:p>
      <w:pPr>
        <w:spacing w:line="276" w:lineRule="auto" w:after="60"/>
      </w:pPr>
      <w:r>
        <w:rPr>
          <w:rFonts w:ascii="Times New Roman" w:hAnsi="Times New Roman"/>
          <w:sz w:val="22"/>
        </w:rPr>
        <w:t>Figure 3.4: State Transition Diagram for Price Alert Lifecycle</w:t>
      </w:r>
      <w:r>
        <w:rPr>
          <w:rFonts w:ascii="Times New Roman" w:hAnsi="Times New Roman"/>
          <w:color w:val="808080"/>
          <w:sz w:val="20"/>
        </w:rPr>
        <w:t xml:space="preserve"> ........ </w:t>
      </w:r>
      <w:r>
        <w:rPr>
          <w:rFonts w:ascii="Times New Roman" w:hAnsi="Times New Roman"/>
          <w:sz w:val="22"/>
        </w:rPr>
        <w:t>26</w:t>
      </w:r>
    </w:p>
    <w:p>
      <w:pPr>
        <w:spacing w:line="276" w:lineRule="auto" w:after="60"/>
      </w:pPr>
      <w:r>
        <w:rPr>
          <w:rFonts w:ascii="Times New Roman" w:hAnsi="Times New Roman"/>
          <w:sz w:val="22"/>
        </w:rPr>
        <w:t>Figure 3.5: Activity Diagram for Quantitative AI Inference Workflow</w:t>
      </w:r>
      <w:r>
        <w:rPr>
          <w:rFonts w:ascii="Times New Roman" w:hAnsi="Times New Roman"/>
          <w:color w:val="808080"/>
          <w:sz w:val="20"/>
        </w:rPr>
        <w:t xml:space="preserve"> ... </w:t>
      </w:r>
      <w:r>
        <w:rPr>
          <w:rFonts w:ascii="Times New Roman" w:hAnsi="Times New Roman"/>
          <w:sz w:val="22"/>
        </w:rPr>
        <w:t>27</w:t>
      </w:r>
    </w:p>
    <w:p>
      <w:pPr>
        <w:spacing w:line="276" w:lineRule="auto" w:after="60"/>
      </w:pPr>
      <w:r>
        <w:rPr>
          <w:rFonts w:ascii="Times New Roman" w:hAnsi="Times New Roman"/>
          <w:sz w:val="22"/>
        </w:rPr>
        <w:t>Figure 3.6: Multi-Tier Decoupled Microservices Architecture</w:t>
      </w:r>
      <w:r>
        <w:rPr>
          <w:rFonts w:ascii="Times New Roman" w:hAnsi="Times New Roman"/>
          <w:color w:val="808080"/>
          <w:sz w:val="20"/>
        </w:rPr>
        <w:t xml:space="preserve"> ........... </w:t>
      </w:r>
      <w:r>
        <w:rPr>
          <w:rFonts w:ascii="Times New Roman" w:hAnsi="Times New Roman"/>
          <w:sz w:val="22"/>
        </w:rPr>
        <w:t>29</w:t>
      </w:r>
    </w:p>
    <w:p>
      <w:pPr>
        <w:spacing w:line="276" w:lineRule="auto" w:after="60"/>
      </w:pPr>
      <w:r>
        <w:rPr>
          <w:rFonts w:ascii="Times New Roman" w:hAnsi="Times New Roman"/>
          <w:sz w:val="22"/>
        </w:rPr>
        <w:t>Figure 3.7: Relational Entity Relationship Diagram (ERD)</w:t>
      </w:r>
      <w:r>
        <w:rPr>
          <w:rFonts w:ascii="Times New Roman" w:hAnsi="Times New Roman"/>
          <w:color w:val="808080"/>
          <w:sz w:val="20"/>
        </w:rPr>
        <w:t xml:space="preserve"> .............. </w:t>
      </w:r>
      <w:r>
        <w:rPr>
          <w:rFonts w:ascii="Times New Roman" w:hAnsi="Times New Roman"/>
          <w:sz w:val="22"/>
        </w:rPr>
        <w:t>31</w:t>
      </w:r>
    </w:p>
    <w:p>
      <w:pPr>
        <w:spacing w:line="276" w:lineRule="auto" w:after="60"/>
      </w:pPr>
      <w:r>
        <w:rPr>
          <w:rFonts w:ascii="Times New Roman" w:hAnsi="Times New Roman"/>
          <w:sz w:val="22"/>
        </w:rPr>
        <w:t>Figure 3.8: Component Architecture Diagram of Frontend and Backend Microservices</w:t>
      </w:r>
      <w:r>
        <w:rPr>
          <w:rFonts w:ascii="Times New Roman" w:hAnsi="Times New Roman"/>
          <w:color w:val="808080"/>
          <w:sz w:val="20"/>
        </w:rPr>
        <w:t xml:space="preserve"> .. </w:t>
      </w:r>
      <w:r>
        <w:rPr>
          <w:rFonts w:ascii="Times New Roman" w:hAnsi="Times New Roman"/>
          <w:sz w:val="22"/>
        </w:rPr>
        <w:t>37</w:t>
      </w:r>
    </w:p>
    <w:p>
      <w:pPr>
        <w:spacing w:line="276" w:lineRule="auto" w:after="60"/>
      </w:pPr>
      <w:r>
        <w:rPr>
          <w:rFonts w:ascii="Times New Roman" w:hAnsi="Times New Roman"/>
          <w:sz w:val="22"/>
        </w:rPr>
        <w:t>Figure 3.9: Physical Deployment Diagram across Containerized Environments</w:t>
      </w:r>
      <w:r>
        <w:rPr>
          <w:rFonts w:ascii="Times New Roman" w:hAnsi="Times New Roman"/>
          <w:color w:val="808080"/>
          <w:sz w:val="20"/>
        </w:rPr>
        <w:t xml:space="preserve"> .. </w:t>
      </w:r>
      <w:r>
        <w:rPr>
          <w:rFonts w:ascii="Times New Roman" w:hAnsi="Times New Roman"/>
          <w:sz w:val="22"/>
        </w:rPr>
        <w:t>38</w:t>
      </w:r>
    </w:p>
    <w:p>
      <w:pPr>
        <w:spacing w:line="276" w:lineRule="auto" w:after="60"/>
      </w:pPr>
      <w:r>
        <w:rPr>
          <w:rFonts w:ascii="Times New Roman" w:hAnsi="Times New Roman"/>
          <w:sz w:val="22"/>
        </w:rPr>
        <w:t>Figure 3.10: Two-Stage Hybrid LSTM-XGBoost Feature Concatenation Architecture</w:t>
      </w:r>
      <w:r>
        <w:rPr>
          <w:rFonts w:ascii="Times New Roman" w:hAnsi="Times New Roman"/>
          <w:color w:val="808080"/>
          <w:sz w:val="20"/>
        </w:rPr>
        <w:t xml:space="preserve"> .. </w:t>
      </w:r>
      <w:r>
        <w:rPr>
          <w:rFonts w:ascii="Times New Roman" w:hAnsi="Times New Roman"/>
          <w:sz w:val="22"/>
        </w:rPr>
        <w:t>41</w:t>
      </w:r>
    </w:p>
    <w:p>
      <w:pPr>
        <w:spacing w:line="276" w:lineRule="auto" w:after="60"/>
      </w:pPr>
      <w:r>
        <w:rPr>
          <w:rFonts w:ascii="Times New Roman" w:hAnsi="Times New Roman"/>
          <w:sz w:val="22"/>
        </w:rPr>
        <w:t>Figure A.1: Main Interactive Financial Dashboard and Real-Time Charting Canvas</w:t>
      </w:r>
      <w:r>
        <w:rPr>
          <w:rFonts w:ascii="Times New Roman" w:hAnsi="Times New Roman"/>
          <w:color w:val="808080"/>
          <w:sz w:val="20"/>
        </w:rPr>
        <w:t xml:space="preserve"> .. </w:t>
      </w:r>
      <w:r>
        <w:rPr>
          <w:rFonts w:ascii="Times New Roman" w:hAnsi="Times New Roman"/>
          <w:sz w:val="22"/>
        </w:rPr>
        <w:t>62</w:t>
      </w:r>
    </w:p>
    <w:p>
      <w:pPr>
        <w:spacing w:line="276" w:lineRule="auto" w:after="60"/>
      </w:pPr>
      <w:r>
        <w:rPr>
          <w:rFonts w:ascii="Times New Roman" w:hAnsi="Times New Roman"/>
          <w:sz w:val="22"/>
        </w:rPr>
        <w:t>Figure A.2: Live Market Movers Screener with Breadth Ratio and Leaderboards</w:t>
      </w:r>
      <w:r>
        <w:rPr>
          <w:rFonts w:ascii="Times New Roman" w:hAnsi="Times New Roman"/>
          <w:color w:val="808080"/>
          <w:sz w:val="20"/>
        </w:rPr>
        <w:t xml:space="preserve"> .. </w:t>
      </w:r>
      <w:r>
        <w:rPr>
          <w:rFonts w:ascii="Times New Roman" w:hAnsi="Times New Roman"/>
          <w:sz w:val="22"/>
        </w:rPr>
        <w:t>63</w:t>
      </w:r>
    </w:p>
    <w:p>
      <w:pPr>
        <w:spacing w:line="276" w:lineRule="auto" w:after="60"/>
      </w:pPr>
      <w:r>
        <w:rPr>
          <w:rFonts w:ascii="Times New Roman" w:hAnsi="Times New Roman"/>
          <w:sz w:val="22"/>
        </w:rPr>
        <w:t>Figure A.3: Paper Trading Portfolio Management Dashboard with PnL Metrics</w:t>
      </w:r>
      <w:r>
        <w:rPr>
          <w:rFonts w:ascii="Times New Roman" w:hAnsi="Times New Roman"/>
          <w:color w:val="808080"/>
          <w:sz w:val="20"/>
        </w:rPr>
        <w:t xml:space="preserve"> .. </w:t>
      </w:r>
      <w:r>
        <w:rPr>
          <w:rFonts w:ascii="Times New Roman" w:hAnsi="Times New Roman"/>
          <w:sz w:val="22"/>
        </w:rPr>
        <w:t>64</w:t>
      </w:r>
    </w:p>
    <w:p>
      <w:pPr>
        <w:spacing w:line="276" w:lineRule="auto" w:after="60"/>
      </w:pPr>
      <w:r>
        <w:rPr>
          <w:rFonts w:ascii="Times New Roman" w:hAnsi="Times New Roman"/>
          <w:sz w:val="22"/>
        </w:rPr>
        <w:t>Figure A.4: Multi-Stock Comparative Matrix and Asset Benchmarking View</w:t>
      </w:r>
      <w:r>
        <w:rPr>
          <w:rFonts w:ascii="Times New Roman" w:hAnsi="Times New Roman"/>
          <w:color w:val="808080"/>
          <w:sz w:val="20"/>
        </w:rPr>
        <w:t xml:space="preserve"> .. </w:t>
      </w:r>
      <w:r>
        <w:rPr>
          <w:rFonts w:ascii="Times New Roman" w:hAnsi="Times New Roman"/>
          <w:sz w:val="22"/>
        </w:rPr>
        <w:t>65</w:t>
      </w:r>
    </w:p>
    <w:p>
      <w:r>
        <w:br w:type="page"/>
      </w:r>
    </w:p>
    <w:p>
      <w:pPr>
        <w:keepNext/>
        <w:spacing w:before="360" w:after="200" w:line="276" w:lineRule="auto"/>
        <w:jc w:val="left"/>
      </w:pPr>
      <w:r>
        <w:rPr>
          <w:rFonts w:ascii="Times New Roman" w:hAnsi="Times New Roman"/>
          <w:b/>
          <w:sz w:val="32"/>
        </w:rPr>
        <w:t>LIST OF TABLES</w:t>
      </w:r>
    </w:p>
    <w:p>
      <w:pPr>
        <w:spacing w:line="276" w:lineRule="auto" w:after="60"/>
      </w:pPr>
      <w:r>
        <w:rPr>
          <w:rFonts w:ascii="Times New Roman" w:hAnsi="Times New Roman"/>
          <w:sz w:val="22"/>
        </w:rPr>
        <w:t>Table 2.1: Comparative Synthesis of Existing Literature and Methodologies</w:t>
      </w:r>
      <w:r>
        <w:rPr>
          <w:rFonts w:ascii="Times New Roman" w:hAnsi="Times New Roman"/>
          <w:color w:val="808080"/>
          <w:sz w:val="20"/>
        </w:rPr>
        <w:t xml:space="preserve"> .. </w:t>
      </w:r>
      <w:r>
        <w:rPr>
          <w:rFonts w:ascii="Times New Roman" w:hAnsi="Times New Roman"/>
          <w:sz w:val="22"/>
        </w:rPr>
        <w:t>15</w:t>
      </w:r>
    </w:p>
    <w:p>
      <w:pPr>
        <w:spacing w:line="276" w:lineRule="auto" w:after="60"/>
      </w:pPr>
      <w:r>
        <w:rPr>
          <w:rFonts w:ascii="Times New Roman" w:hAnsi="Times New Roman"/>
          <w:sz w:val="22"/>
        </w:rPr>
        <w:t>Table 3.1: Functional Requirements Specifications and Traceability Matrix</w:t>
      </w:r>
      <w:r>
        <w:rPr>
          <w:rFonts w:ascii="Times New Roman" w:hAnsi="Times New Roman"/>
          <w:color w:val="808080"/>
          <w:sz w:val="20"/>
        </w:rPr>
        <w:t xml:space="preserve"> .. </w:t>
      </w:r>
      <w:r>
        <w:rPr>
          <w:rFonts w:ascii="Times New Roman" w:hAnsi="Times New Roman"/>
          <w:sz w:val="22"/>
        </w:rPr>
        <w:t>18</w:t>
      </w:r>
    </w:p>
    <w:p>
      <w:pPr>
        <w:spacing w:line="276" w:lineRule="auto" w:after="60"/>
      </w:pPr>
      <w:r>
        <w:rPr>
          <w:rFonts w:ascii="Times New Roman" w:hAnsi="Times New Roman"/>
          <w:sz w:val="22"/>
        </w:rPr>
        <w:t>Table 3.2: Non-Functional Engineering Quality Attributes</w:t>
      </w:r>
      <w:r>
        <w:rPr>
          <w:rFonts w:ascii="Times New Roman" w:hAnsi="Times New Roman"/>
          <w:color w:val="808080"/>
          <w:sz w:val="20"/>
        </w:rPr>
        <w:t xml:space="preserve"> .............. </w:t>
      </w:r>
      <w:r>
        <w:rPr>
          <w:rFonts w:ascii="Times New Roman" w:hAnsi="Times New Roman"/>
          <w:sz w:val="22"/>
        </w:rPr>
        <w:t>20</w:t>
      </w:r>
    </w:p>
    <w:p>
      <w:pPr>
        <w:spacing w:line="276" w:lineRule="auto" w:after="60"/>
      </w:pPr>
      <w:r>
        <w:rPr>
          <w:rFonts w:ascii="Times New Roman" w:hAnsi="Times New Roman"/>
          <w:sz w:val="22"/>
        </w:rPr>
        <w:t>Table 3.3: Data Dictionary: Company Entity</w:t>
      </w:r>
      <w:r>
        <w:rPr>
          <w:rFonts w:ascii="Times New Roman" w:hAnsi="Times New Roman"/>
          <w:color w:val="808080"/>
          <w:sz w:val="20"/>
        </w:rPr>
        <w:t xml:space="preserve"> ............................ </w:t>
      </w:r>
      <w:r>
        <w:rPr>
          <w:rFonts w:ascii="Times New Roman" w:hAnsi="Times New Roman"/>
          <w:sz w:val="22"/>
        </w:rPr>
        <w:t>31</w:t>
      </w:r>
    </w:p>
    <w:p>
      <w:pPr>
        <w:spacing w:line="276" w:lineRule="auto" w:after="60"/>
      </w:pPr>
      <w:r>
        <w:rPr>
          <w:rFonts w:ascii="Times New Roman" w:hAnsi="Times New Roman"/>
          <w:sz w:val="22"/>
        </w:rPr>
        <w:t>Table 3.4: Data Dictionary: DailyPrice Entity</w:t>
      </w:r>
      <w:r>
        <w:rPr>
          <w:rFonts w:ascii="Times New Roman" w:hAnsi="Times New Roman"/>
          <w:color w:val="808080"/>
          <w:sz w:val="20"/>
        </w:rPr>
        <w:t xml:space="preserve"> ......................... </w:t>
      </w:r>
      <w:r>
        <w:rPr>
          <w:rFonts w:ascii="Times New Roman" w:hAnsi="Times New Roman"/>
          <w:sz w:val="22"/>
        </w:rPr>
        <w:t>32</w:t>
      </w:r>
    </w:p>
    <w:p>
      <w:pPr>
        <w:spacing w:line="276" w:lineRule="auto" w:after="60"/>
      </w:pPr>
      <w:r>
        <w:rPr>
          <w:rFonts w:ascii="Times New Roman" w:hAnsi="Times New Roman"/>
          <w:sz w:val="22"/>
        </w:rPr>
        <w:t>Table 3.5: Data Dictionary: Alert Entity</w:t>
      </w:r>
      <w:r>
        <w:rPr>
          <w:rFonts w:ascii="Times New Roman" w:hAnsi="Times New Roman"/>
          <w:color w:val="808080"/>
          <w:sz w:val="20"/>
        </w:rPr>
        <w:t xml:space="preserve"> .............................. </w:t>
      </w:r>
      <w:r>
        <w:rPr>
          <w:rFonts w:ascii="Times New Roman" w:hAnsi="Times New Roman"/>
          <w:sz w:val="22"/>
        </w:rPr>
        <w:t>32</w:t>
      </w:r>
    </w:p>
    <w:p>
      <w:pPr>
        <w:spacing w:line="276" w:lineRule="auto" w:after="60"/>
      </w:pPr>
      <w:r>
        <w:rPr>
          <w:rFonts w:ascii="Times New Roman" w:hAnsi="Times New Roman"/>
          <w:sz w:val="22"/>
        </w:rPr>
        <w:t>Table 3.6: Data Dictionary: PortfolioPosition Entity</w:t>
      </w:r>
      <w:r>
        <w:rPr>
          <w:rFonts w:ascii="Times New Roman" w:hAnsi="Times New Roman"/>
          <w:color w:val="808080"/>
          <w:sz w:val="20"/>
        </w:rPr>
        <w:t xml:space="preserve"> .................. </w:t>
      </w:r>
      <w:r>
        <w:rPr>
          <w:rFonts w:ascii="Times New Roman" w:hAnsi="Times New Roman"/>
          <w:sz w:val="22"/>
        </w:rPr>
        <w:t>33</w:t>
      </w:r>
    </w:p>
    <w:p>
      <w:pPr>
        <w:spacing w:line="276" w:lineRule="auto" w:after="60"/>
      </w:pPr>
      <w:r>
        <w:rPr>
          <w:rFonts w:ascii="Times New Roman" w:hAnsi="Times New Roman"/>
          <w:sz w:val="22"/>
        </w:rPr>
        <w:t>Table 4.1: Software Development Stack, Libraries, and CASE Tools</w:t>
      </w:r>
      <w:r>
        <w:rPr>
          <w:rFonts w:ascii="Times New Roman" w:hAnsi="Times New Roman"/>
          <w:color w:val="808080"/>
          <w:sz w:val="20"/>
        </w:rPr>
        <w:t xml:space="preserve"> ...... </w:t>
      </w:r>
      <w:r>
        <w:rPr>
          <w:rFonts w:ascii="Times New Roman" w:hAnsi="Times New Roman"/>
          <w:sz w:val="22"/>
        </w:rPr>
        <w:t>46</w:t>
      </w:r>
    </w:p>
    <w:p>
      <w:pPr>
        <w:spacing w:line="276" w:lineRule="auto" w:after="60"/>
      </w:pPr>
      <w:r>
        <w:rPr>
          <w:rFonts w:ascii="Times New Roman" w:hAnsi="Times New Roman"/>
          <w:sz w:val="22"/>
        </w:rPr>
        <w:t>Table 4.2: Unit Test Suite Specifications and Execution Results</w:t>
      </w:r>
      <w:r>
        <w:rPr>
          <w:rFonts w:ascii="Times New Roman" w:hAnsi="Times New Roman"/>
          <w:color w:val="808080"/>
          <w:sz w:val="20"/>
        </w:rPr>
        <w:t xml:space="preserve"> ....... </w:t>
      </w:r>
      <w:r>
        <w:rPr>
          <w:rFonts w:ascii="Times New Roman" w:hAnsi="Times New Roman"/>
          <w:sz w:val="22"/>
        </w:rPr>
        <w:t>53</w:t>
      </w:r>
    </w:p>
    <w:p>
      <w:pPr>
        <w:spacing w:line="276" w:lineRule="auto" w:after="60"/>
      </w:pPr>
      <w:r>
        <w:rPr>
          <w:rFonts w:ascii="Times New Roman" w:hAnsi="Times New Roman"/>
          <w:sz w:val="22"/>
        </w:rPr>
        <w:t>Table 4.3: System Integration and End-to-End Test Matrix</w:t>
      </w:r>
      <w:r>
        <w:rPr>
          <w:rFonts w:ascii="Times New Roman" w:hAnsi="Times New Roman"/>
          <w:color w:val="808080"/>
          <w:sz w:val="20"/>
        </w:rPr>
        <w:t xml:space="preserve"> .............. </w:t>
      </w:r>
      <w:r>
        <w:rPr>
          <w:rFonts w:ascii="Times New Roman" w:hAnsi="Times New Roman"/>
          <w:sz w:val="22"/>
        </w:rPr>
        <w:t>56</w:t>
      </w:r>
    </w:p>
    <w:p>
      <w:pPr>
        <w:sectPr>
          <w:footerReference w:type="default" r:id="rId9"/>
          <w:pgSz w:w="11909" w:h="16834"/>
          <w:pgMar w:top="1440" w:right="1440" w:bottom="1440" w:left="1800" w:header="720" w:footer="720" w:gutter="0"/>
          <w:cols w:space="720"/>
          <w:docGrid w:linePitch="360"/>
          <w:pgNumType w:fmt="romanLower" w:start="1"/>
        </w:sectPr>
      </w:pPr>
    </w:p>
    <w:p>
      <w:pPr>
        <w:keepNext/>
        <w:spacing w:before="360" w:after="200" w:line="276" w:lineRule="auto"/>
        <w:jc w:val="left"/>
      </w:pPr>
      <w:r>
        <w:rPr>
          <w:rFonts w:ascii="Times New Roman" w:hAnsi="Times New Roman"/>
          <w:b/>
          <w:sz w:val="32"/>
        </w:rPr>
        <w:t>CHAPTER 1: INTRODUCTION</w:t>
      </w:r>
    </w:p>
    <w:p>
      <w:pPr>
        <w:keepNext/>
        <w:spacing w:before="280" w:after="120" w:line="276" w:lineRule="auto"/>
        <w:jc w:val="left"/>
      </w:pPr>
      <w:r>
        <w:rPr>
          <w:rFonts w:ascii="Times New Roman" w:hAnsi="Times New Roman"/>
          <w:b/>
          <w:sz w:val="28"/>
        </w:rPr>
        <w:t>1.1 Introduction</w:t>
      </w:r>
    </w:p>
    <w:p>
      <w:pPr>
        <w:spacing w:before="0" w:after="120" w:line="360" w:lineRule="auto"/>
        <w:jc w:val="both"/>
      </w:pPr>
      <w:r>
        <w:rPr>
          <w:rFonts w:ascii="Times New Roman" w:hAnsi="Times New Roman"/>
          <w:b w:val="0"/>
          <w:i w:val="0"/>
          <w:sz w:val="24"/>
        </w:rPr>
        <w:t>Financial equity markets represent complex, dynamic, and non-linear socio-economic ecosystems influenced by macroeconomic variables, regulatory decisions, corporate balance sheets, and mass participant psychology. In developing economies such as Nepal, capital markets function under distinct structural realities. The Nepal Stock Exchange (NEPSE), the sole securities marketplace in the country, has witnessed exponential growth in retail participation over the past decade, largely accelerated by digital trading platforms such as the Trade Management System (TMS) and MeroShare. However, this surge in retail investor engagement has also laid bare significant vulnerabilities: widespread informational asymmetry, speculative trading based on social media hearsay, a lack of institutional analytical tooling, and high volatility in illiquid scrips.</w:t>
      </w:r>
    </w:p>
    <w:p>
      <w:pPr>
        <w:spacing w:before="0" w:after="120" w:line="360" w:lineRule="auto"/>
        <w:jc w:val="both"/>
      </w:pPr>
      <w:r>
        <w:rPr>
          <w:rFonts w:ascii="Times New Roman" w:hAnsi="Times New Roman"/>
          <w:b w:val="0"/>
          <w:i w:val="0"/>
          <w:sz w:val="24"/>
        </w:rPr>
        <w:t>Traditional software engineering approaches in financial technology frequently focus solely on basic CRUD operations, displaying static historical prices or basic bar charts without predictive or analytical depth. Conversely, academic machine learning implementations frequently succumb to the 'speculation trap'—attempting point-in-time regression to predict exact tomorrow prices (e.g., predicting that a stock will trade at exactly Rs. 542.50). In emerging markets with shallow order books and circuit-breaker mechanisms, such exact numerical predictions invariably exhibit severe error margins and fail during market stress.</w:t>
      </w:r>
    </w:p>
    <w:p>
      <w:pPr>
        <w:spacing w:before="0" w:after="120" w:line="360" w:lineRule="auto"/>
        <w:jc w:val="both"/>
      </w:pPr>
      <w:r>
        <w:rPr>
          <w:rFonts w:ascii="Times New Roman" w:hAnsi="Times New Roman"/>
          <w:b w:val="0"/>
          <w:i w:val="0"/>
          <w:sz w:val="24"/>
        </w:rPr>
        <w:t>To overcome these limitations, this project presents 'NEPSE AI: Real-Time Financial Decision Support and Stock Prediction System.' Designed specifically for the Nepalese securities ecosystem, the platform reframes machine learning from an unreliable price predictor into an enterprise-grade Decision Support System (DSS). By orchestrating a two-stage hybrid machine learning pipeline—combining Long Short-Term Memory (LSTM) recurrent neural networks for temporal sequential pattern extraction with an Extreme Gradient Boosting (XGBoost) classifier for tabular technical indicator synthesis—the system produces probabilistic trend classifications (Bullish, Bearish, or Neutral) coupled with quantifiable confidence percentages. Furthermore, the system incorporates an automated background data ingestion engine, real-time multi-condition price alarms featuring acoustic synthesizer chimes and native desktop notifications, a 5-day Monte Carlo price projection envelope, an empirical backtesting simulator, a live Market Movers screener, and a paper trading portfolio tracker.</w:t>
      </w:r>
    </w:p>
    <w:p>
      <w:pPr>
        <w:keepNext/>
        <w:spacing w:before="280" w:after="120" w:line="276" w:lineRule="auto"/>
        <w:jc w:val="left"/>
      </w:pPr>
      <w:r>
        <w:rPr>
          <w:rFonts w:ascii="Times New Roman" w:hAnsi="Times New Roman"/>
          <w:b/>
          <w:sz w:val="28"/>
        </w:rPr>
        <w:t>1.2 Problem Statement</w:t>
      </w:r>
    </w:p>
    <w:p>
      <w:pPr>
        <w:spacing w:before="0" w:after="120" w:line="360" w:lineRule="auto"/>
        <w:jc w:val="both"/>
      </w:pPr>
      <w:r>
        <w:rPr>
          <w:rFonts w:ascii="Times New Roman" w:hAnsi="Times New Roman"/>
          <w:b w:val="0"/>
          <w:i w:val="0"/>
          <w:sz w:val="24"/>
        </w:rPr>
        <w:t>The design and implementation of analytical platforms for the Nepal Stock Exchange face distinct computational and financial hurdles. The critical problems addressed by this project are categorized as follows:</w:t>
      </w:r>
    </w:p>
    <w:p>
      <w:pPr>
        <w:spacing w:before="0" w:after="120" w:line="360" w:lineRule="auto"/>
        <w:jc w:val="both"/>
      </w:pPr>
      <w:r>
        <w:rPr>
          <w:rFonts w:ascii="Times New Roman" w:hAnsi="Times New Roman"/>
          <w:b w:val="0"/>
          <w:i w:val="0"/>
          <w:sz w:val="24"/>
        </w:rPr>
        <w:t>1. Informational Asymmetry &amp; Unscientific Speculation: The overwhelming majority of retail investors in Nepal lack access to quantitative analytics tools. Trading decisions are predominantly driven by sentiment on social media platforms (such as Facebook groups, Viber, and Clubhouse) rather than systematic technical, quantitative, or risk-adjusted metrics, leading to devastating capital drawdowns during market corrections.</w:t>
      </w:r>
    </w:p>
    <w:p>
      <w:pPr>
        <w:spacing w:before="0" w:after="120" w:line="360" w:lineRule="auto"/>
        <w:jc w:val="both"/>
      </w:pPr>
      <w:r>
        <w:rPr>
          <w:rFonts w:ascii="Times New Roman" w:hAnsi="Times New Roman"/>
          <w:b w:val="0"/>
          <w:i w:val="0"/>
          <w:sz w:val="24"/>
        </w:rPr>
        <w:t>2. Fragility and Downtime of Public NEPSE APIs: External data portals and live market APIs for NEPSE frequently suffer from server congestion, unannounced structural format alterations, and self-signed Transport Layer Security (TLS) certificate failures. Applications that depend on live on-demand fetching crash or experience multi-second latency during peak market hours, severely degrading user experience.</w:t>
      </w:r>
    </w:p>
    <w:p>
      <w:pPr>
        <w:spacing w:before="0" w:after="120" w:line="360" w:lineRule="auto"/>
        <w:jc w:val="both"/>
      </w:pPr>
      <w:r>
        <w:rPr>
          <w:rFonts w:ascii="Times New Roman" w:hAnsi="Times New Roman"/>
          <w:b w:val="0"/>
          <w:i w:val="0"/>
          <w:sz w:val="24"/>
        </w:rPr>
        <w:t>3. The Failure of Standalone Predictors in Shallow Markets: Standalone deep neural networks (such as vanilla LSTMs or Multi-Layer Perceptrons) tend to overfit when applied to raw noisy prices, while standard tabular classifiers (like Random Forests) cannot natively comprehend chronological temporal sequences. A single algorithmic architecture is fundamentally insufficient to model both sequential momentum and multi-indicator technical confluence simultaneously.</w:t>
      </w:r>
    </w:p>
    <w:p>
      <w:pPr>
        <w:spacing w:before="0" w:after="120" w:line="360" w:lineRule="auto"/>
        <w:jc w:val="both"/>
      </w:pPr>
      <w:r>
        <w:rPr>
          <w:rFonts w:ascii="Times New Roman" w:hAnsi="Times New Roman"/>
          <w:b w:val="0"/>
          <w:i w:val="0"/>
          <w:sz w:val="24"/>
        </w:rPr>
        <w:t>4. Lack of Actionable Risk Management &amp; Alerting Tools: Most existing Nepali market portals (such as NepseAlpha, ShareSansar, or Merolagani) operate as passive informational repositories. They lack automated, continuous alerting engines that notify users across complex technical conditions (such as moving average crossovers or RSI threshold breaches) with zero-latency audio and desktop notifications, as well as native paper trading simulators to test strategies risk-free.</w:t>
      </w:r>
    </w:p>
    <w:p>
      <w:pPr>
        <w:keepNext/>
        <w:spacing w:before="280" w:after="120" w:line="276" w:lineRule="auto"/>
        <w:jc w:val="left"/>
      </w:pPr>
      <w:r>
        <w:rPr>
          <w:rFonts w:ascii="Times New Roman" w:hAnsi="Times New Roman"/>
          <w:b/>
          <w:sz w:val="28"/>
        </w:rPr>
        <w:t>1.3 Objectives</w:t>
      </w:r>
    </w:p>
    <w:p>
      <w:pPr>
        <w:spacing w:before="0" w:after="120" w:line="360" w:lineRule="auto"/>
        <w:jc w:val="both"/>
      </w:pPr>
      <w:r>
        <w:rPr>
          <w:rFonts w:ascii="Times New Roman" w:hAnsi="Times New Roman"/>
          <w:b w:val="0"/>
          <w:i w:val="0"/>
          <w:sz w:val="24"/>
        </w:rPr>
        <w:t>The primary objective of this project is to develop an end-to-end, production-grade financial analytics, real-time alerting, and decision support platform for the Nepal Stock Exchange. The specific technical and functional objectives are:</w:t>
      </w:r>
    </w:p>
    <w:p>
      <w:pPr>
        <w:spacing w:before="0" w:after="120" w:line="360" w:lineRule="auto"/>
        <w:jc w:val="both"/>
      </w:pPr>
      <w:r>
        <w:rPr>
          <w:rFonts w:ascii="Times New Roman" w:hAnsi="Times New Roman"/>
          <w:b w:val="0"/>
          <w:i w:val="0"/>
          <w:sz w:val="24"/>
        </w:rPr>
        <w:t>• To design a decoupled microservice architecture separating web presentation, backend enterprise scheduling and data persistence, and specialized Python machine learning inference.</w:t>
      </w:r>
    </w:p>
    <w:p>
      <w:pPr>
        <w:spacing w:before="0" w:after="120" w:line="360" w:lineRule="auto"/>
        <w:jc w:val="both"/>
      </w:pPr>
      <w:r>
        <w:rPr>
          <w:rFonts w:ascii="Times New Roman" w:hAnsi="Times New Roman"/>
          <w:b w:val="0"/>
          <w:i w:val="0"/>
          <w:sz w:val="24"/>
        </w:rPr>
        <w:t>• To implement an automated daily ingestion and caching pipeline using @rumess/nepse-api with resilient fallback simulation mechanisms to insulate users from external API downtimes.</w:t>
      </w:r>
    </w:p>
    <w:p>
      <w:pPr>
        <w:spacing w:before="0" w:after="120" w:line="360" w:lineRule="auto"/>
        <w:jc w:val="both"/>
      </w:pPr>
      <w:r>
        <w:rPr>
          <w:rFonts w:ascii="Times New Roman" w:hAnsi="Times New Roman"/>
          <w:b w:val="0"/>
          <w:i w:val="0"/>
          <w:sz w:val="24"/>
        </w:rPr>
        <w:t>• To construct an advanced technical analysis engine computing mathematical indicators including Wilder’s RSI 14, MACD (12, 26, 9), Multi-period EMAs (12, 26, 50), SMA 20, Bollinger Bands (20, 2), and Volume Delta in sub-50 milliseconds.</w:t>
      </w:r>
    </w:p>
    <w:p>
      <w:pPr>
        <w:spacing w:before="0" w:after="120" w:line="360" w:lineRule="auto"/>
        <w:jc w:val="both"/>
      </w:pPr>
      <w:r>
        <w:rPr>
          <w:rFonts w:ascii="Times New Roman" w:hAnsi="Times New Roman"/>
          <w:b w:val="0"/>
          <w:i w:val="0"/>
          <w:sz w:val="24"/>
        </w:rPr>
        <w:t>• To engineer a two-stage hybrid machine learning pipeline combining a PyTorch LSTM feature extractor (extracting 16-dimensional temporal embeddings from 30-day sliding price windows) and an XGBoost softprob classifier to output directional trend signals with confidence probabilities.</w:t>
      </w:r>
    </w:p>
    <w:p>
      <w:pPr>
        <w:spacing w:before="0" w:after="120" w:line="360" w:lineRule="auto"/>
        <w:jc w:val="both"/>
      </w:pPr>
      <w:r>
        <w:rPr>
          <w:rFonts w:ascii="Times New Roman" w:hAnsi="Times New Roman"/>
          <w:b w:val="0"/>
          <w:i w:val="0"/>
          <w:sz w:val="24"/>
        </w:rPr>
        <w:t>• To build an active real-time alarm engine evaluating user-configured price thresholds, percentage changes, and technical indicator crossovers with acoustic Web Audio API synthesizer chimes and browser notifications.</w:t>
      </w:r>
    </w:p>
    <w:p>
      <w:pPr>
        <w:spacing w:before="0" w:after="120" w:line="360" w:lineRule="auto"/>
        <w:jc w:val="both"/>
      </w:pPr>
      <w:r>
        <w:rPr>
          <w:rFonts w:ascii="Times New Roman" w:hAnsi="Times New Roman"/>
          <w:b w:val="0"/>
          <w:i w:val="0"/>
          <w:sz w:val="24"/>
        </w:rPr>
        <w:t>• To develop an intuitive, responsive, TradingView-inspired dark-mode financial dashboard featuring interactive candlestick charts, multi-stock comparison matrices, market breadth analytics, 5-day Monte Carlo price projection envelopes, and paper trading portfolio trackers.</w:t>
      </w:r>
    </w:p>
    <w:p>
      <w:pPr>
        <w:keepNext/>
        <w:spacing w:before="280" w:after="120" w:line="276" w:lineRule="auto"/>
        <w:jc w:val="left"/>
      </w:pPr>
      <w:r>
        <w:rPr>
          <w:rFonts w:ascii="Times New Roman" w:hAnsi="Times New Roman"/>
          <w:b/>
          <w:sz w:val="28"/>
        </w:rPr>
        <w:t>1.4 Scope and Limitation</w:t>
      </w:r>
    </w:p>
    <w:p>
      <w:pPr>
        <w:spacing w:before="0" w:after="120" w:line="360" w:lineRule="auto"/>
        <w:jc w:val="both"/>
      </w:pPr>
      <w:r>
        <w:rPr>
          <w:rFonts w:ascii="Times New Roman" w:hAnsi="Times New Roman"/>
          <w:b w:val="0"/>
          <w:i w:val="0"/>
          <w:sz w:val="24"/>
        </w:rPr>
        <w:t>Scope of the Project:</w:t>
      </w:r>
    </w:p>
    <w:p>
      <w:pPr>
        <w:spacing w:before="0" w:after="120" w:line="360" w:lineRule="auto"/>
        <w:jc w:val="both"/>
      </w:pPr>
      <w:r>
        <w:rPr>
          <w:rFonts w:ascii="Times New Roman" w:hAnsi="Times New Roman"/>
          <w:b w:val="0"/>
          <w:i w:val="0"/>
          <w:sz w:val="24"/>
        </w:rPr>
        <w:t>• Market Coverage: The system catalogs all 649 active and historically listed securities on NEPSE, with high-density 60-day historical time-series datasets seeded across high-liquidity sectors including Commercial Banking, Hydropower, Insurance, Finance, Development Banks, and Manufacturing.</w:t>
      </w:r>
    </w:p>
    <w:p>
      <w:pPr>
        <w:spacing w:before="0" w:after="120" w:line="360" w:lineRule="auto"/>
        <w:jc w:val="both"/>
      </w:pPr>
      <w:r>
        <w:rPr>
          <w:rFonts w:ascii="Times New Roman" w:hAnsi="Times New Roman"/>
          <w:b w:val="0"/>
          <w:i w:val="0"/>
          <w:sz w:val="24"/>
        </w:rPr>
        <w:t>• Timeframe Focus: Focuses on daily End-of-Day (EOD) bars for swing trading, positional investing, and multi-session tactical decision support, which reflects the dominant holding patterns in the Nepali market.</w:t>
      </w:r>
    </w:p>
    <w:p>
      <w:pPr>
        <w:spacing w:before="0" w:after="120" w:line="360" w:lineRule="auto"/>
        <w:jc w:val="both"/>
      </w:pPr>
      <w:r>
        <w:rPr>
          <w:rFonts w:ascii="Times New Roman" w:hAnsi="Times New Roman"/>
          <w:b w:val="0"/>
          <w:i w:val="0"/>
          <w:sz w:val="24"/>
        </w:rPr>
        <w:t>• Algorithmic Integration: Combines sequential deep learning, gradient tree boosting, mathematical indicator derivation, empirical signal backtesting, and parametric volatility projection.</w:t>
      </w:r>
    </w:p>
    <w:p>
      <w:pPr>
        <w:spacing w:before="0" w:after="120" w:line="360" w:lineRule="auto"/>
        <w:jc w:val="both"/>
      </w:pPr>
      <w:r>
        <w:rPr>
          <w:rFonts w:ascii="Times New Roman" w:hAnsi="Times New Roman"/>
          <w:b w:val="0"/>
          <w:i w:val="0"/>
          <w:sz w:val="24"/>
        </w:rPr>
        <w:t>• User Utilities: Comprehensive toolset including price/RSI/MACD alarms, paper trading portfolio management, CSV data export, and cross-asset comparison.</w:t>
      </w:r>
    </w:p>
    <w:p>
      <w:pPr>
        <w:spacing w:before="0" w:after="120" w:line="360" w:lineRule="auto"/>
        <w:jc w:val="both"/>
      </w:pPr>
      <w:r>
        <w:rPr>
          <w:rFonts w:ascii="Times New Roman" w:hAnsi="Times New Roman"/>
          <w:b w:val="0"/>
          <w:i w:val="0"/>
          <w:sz w:val="24"/>
        </w:rPr>
        <w:t>Limitations of the Project:</w:t>
      </w:r>
    </w:p>
    <w:p>
      <w:pPr>
        <w:spacing w:before="0" w:after="120" w:line="360" w:lineRule="auto"/>
        <w:jc w:val="both"/>
      </w:pPr>
      <w:r>
        <w:rPr>
          <w:rFonts w:ascii="Times New Roman" w:hAnsi="Times New Roman"/>
          <w:b w:val="0"/>
          <w:i w:val="0"/>
          <w:sz w:val="24"/>
        </w:rPr>
        <w:t>• Tick-Level High-Frequency Trading: Due to the structural absence of an official, public, low-latency WebSocket feed from NEPSE, the system does not support sub-second high-frequency tick algorithmic execution.</w:t>
      </w:r>
    </w:p>
    <w:p>
      <w:pPr>
        <w:spacing w:before="0" w:after="120" w:line="360" w:lineRule="auto"/>
        <w:jc w:val="both"/>
      </w:pPr>
      <w:r>
        <w:rPr>
          <w:rFonts w:ascii="Times New Roman" w:hAnsi="Times New Roman"/>
          <w:b w:val="0"/>
          <w:i w:val="0"/>
          <w:sz w:val="24"/>
        </w:rPr>
        <w:t>• Fundamental Balance Sheet Extraction: The machine learning pipeline focuses exclusively on quantitative time-series price, volume, and momentum indicators, excluding unstructured quarterly earnings balance sheet analysis or qualitative news sentiment.</w:t>
      </w:r>
    </w:p>
    <w:p>
      <w:pPr>
        <w:spacing w:before="0" w:after="120" w:line="360" w:lineRule="auto"/>
        <w:jc w:val="both"/>
      </w:pPr>
      <w:r>
        <w:rPr>
          <w:rFonts w:ascii="Times New Roman" w:hAnsi="Times New Roman"/>
          <w:b w:val="0"/>
          <w:i w:val="0"/>
          <w:sz w:val="24"/>
        </w:rPr>
        <w:t>• External Broker TMS Integration: Due to regulatory constraints and the absence of an open brokerage execution API in Nepal, trades within the portfolio module are simulated (paper trading) rather than routed directly to brokerage accounts.</w:t>
      </w:r>
    </w:p>
    <w:p>
      <w:pPr>
        <w:keepNext/>
        <w:spacing w:before="280" w:after="120" w:line="276" w:lineRule="auto"/>
        <w:jc w:val="left"/>
      </w:pPr>
      <w:r>
        <w:rPr>
          <w:rFonts w:ascii="Times New Roman" w:hAnsi="Times New Roman"/>
          <w:b/>
          <w:sz w:val="28"/>
        </w:rPr>
        <w:t>1.5 Development Methodology</w:t>
      </w:r>
    </w:p>
    <w:p>
      <w:pPr>
        <w:spacing w:before="0" w:after="120" w:line="360" w:lineRule="auto"/>
        <w:jc w:val="both"/>
      </w:pPr>
      <w:r>
        <w:rPr>
          <w:rFonts w:ascii="Times New Roman" w:hAnsi="Times New Roman"/>
          <w:b w:val="0"/>
          <w:i w:val="0"/>
          <w:sz w:val="24"/>
        </w:rPr>
        <w:t>The software development methodology adopted for this project is the Incremental Iterative Agile Process. Given that financial market systems involve tight integration between machine learning algorithms, asynchronous background schedulers, database persistence layers, and dynamic client-side rendering canvases, an iterative approach was essential to validate each architectural tier systematically.</w:t>
      </w:r>
    </w:p>
    <w:p>
      <w:pPr>
        <w:spacing w:before="0" w:after="120" w:line="360" w:lineRule="auto"/>
        <w:jc w:val="both"/>
      </w:pPr>
      <w:r>
        <w:rPr>
          <w:rFonts w:ascii="Times New Roman" w:hAnsi="Times New Roman"/>
          <w:b w:val="0"/>
          <w:i w:val="0"/>
          <w:sz w:val="24"/>
        </w:rPr>
        <w:t>The development was executed across five tightly coupled sprints:</w:t>
      </w:r>
    </w:p>
    <w:p>
      <w:pPr>
        <w:spacing w:before="0" w:after="120" w:line="360" w:lineRule="auto"/>
        <w:jc w:val="both"/>
      </w:pPr>
      <w:r>
        <w:rPr>
          <w:rFonts w:ascii="Times New Roman" w:hAnsi="Times New Roman"/>
          <w:b w:val="0"/>
          <w:i w:val="0"/>
          <w:sz w:val="24"/>
        </w:rPr>
        <w:t>1. Sprint 1 (Data Architecture &amp; Ingestion): Database schema design via Prisma ORM, integration of the @rumess/nepse-api wrapper, automated daily cron scheduling, and resilient fallback data generation.</w:t>
      </w:r>
    </w:p>
    <w:p>
      <w:pPr>
        <w:spacing w:before="0" w:after="120" w:line="360" w:lineRule="auto"/>
        <w:jc w:val="both"/>
      </w:pPr>
      <w:r>
        <w:rPr>
          <w:rFonts w:ascii="Times New Roman" w:hAnsi="Times New Roman"/>
          <w:b w:val="0"/>
          <w:i w:val="0"/>
          <w:sz w:val="24"/>
        </w:rPr>
        <w:t>2. Sprint 2 (Quantitative Engine &amp; Backend APIs): Implementation of mathematical technical indicators in NestJS, creation of RESTful endpoints, and performance optimization for sub-50ms query responses.</w:t>
      </w:r>
    </w:p>
    <w:p>
      <w:pPr>
        <w:spacing w:before="0" w:after="120" w:line="360" w:lineRule="auto"/>
        <w:jc w:val="both"/>
      </w:pPr>
      <w:r>
        <w:rPr>
          <w:rFonts w:ascii="Times New Roman" w:hAnsi="Times New Roman"/>
          <w:b w:val="0"/>
          <w:i w:val="0"/>
          <w:sz w:val="24"/>
        </w:rPr>
        <w:t>3. Sprint 3 (Machine Learning Microservice): Construction of the PyTorch LSTM sequence embedder, XGBoost classifier training, model weight serialization, and exposure of FastAPI endpoints.</w:t>
      </w:r>
    </w:p>
    <w:p>
      <w:pPr>
        <w:spacing w:before="0" w:after="120" w:line="360" w:lineRule="auto"/>
        <w:jc w:val="both"/>
      </w:pPr>
      <w:r>
        <w:rPr>
          <w:rFonts w:ascii="Times New Roman" w:hAnsi="Times New Roman"/>
          <w:b w:val="0"/>
          <w:i w:val="0"/>
          <w:sz w:val="24"/>
        </w:rPr>
        <w:t>4. Sprint 4 (Frontend Visualizer &amp; Terminal): Creation of the Vite + React single-page application, integration of TradingView-style candlestick canvases using Recharts, and styling with Tailwind CSS.</w:t>
      </w:r>
    </w:p>
    <w:p>
      <w:pPr>
        <w:spacing w:before="0" w:after="120" w:line="360" w:lineRule="auto"/>
        <w:jc w:val="both"/>
      </w:pPr>
      <w:r>
        <w:rPr>
          <w:rFonts w:ascii="Times New Roman" w:hAnsi="Times New Roman"/>
          <w:b w:val="0"/>
          <w:i w:val="0"/>
          <w:sz w:val="24"/>
        </w:rPr>
        <w:t>5. Sprint 5 (Advanced Utilities &amp; Quality Assurance): Development of the Web Audio API alarm synthesizer, browser notifications, paper trading portfolio module, multi-stock comparison matrix, unit testing, and system integration verification.</w:t>
      </w:r>
    </w:p>
    <w:p>
      <w:pPr>
        <w:spacing w:before="80" w:after="240"/>
        <w:jc w:val="center"/>
      </w:pPr>
      <w:r>
        <w:rPr>
          <w:rFonts w:ascii="Times New Roman" w:hAnsi="Times New Roman"/>
          <w:b/>
          <w:sz w:val="24"/>
        </w:rPr>
        <w:t>Figure 1.1: Incremental Iterative Agile Software Engineering Process</w:t>
      </w:r>
    </w:p>
    <w:p>
      <w:pPr>
        <w:keepNext/>
        <w:spacing w:before="280" w:after="120" w:line="276" w:lineRule="auto"/>
        <w:jc w:val="left"/>
      </w:pPr>
      <w:r>
        <w:rPr>
          <w:rFonts w:ascii="Times New Roman" w:hAnsi="Times New Roman"/>
          <w:b/>
          <w:sz w:val="28"/>
        </w:rPr>
        <w:t>1.6 Report Organization</w:t>
      </w:r>
    </w:p>
    <w:p>
      <w:pPr>
        <w:spacing w:before="0" w:after="120" w:line="360" w:lineRule="auto"/>
        <w:jc w:val="both"/>
      </w:pPr>
      <w:r>
        <w:rPr>
          <w:rFonts w:ascii="Times New Roman" w:hAnsi="Times New Roman"/>
          <w:b w:val="0"/>
          <w:i w:val="0"/>
          <w:sz w:val="24"/>
        </w:rPr>
        <w:t>This project report is structured into five cohesive chapters designed to provide a comprehensive, academically rigorous documentation of the system:</w:t>
      </w:r>
    </w:p>
    <w:p>
      <w:pPr>
        <w:spacing w:before="0" w:after="120" w:line="360" w:lineRule="auto"/>
        <w:jc w:val="both"/>
      </w:pPr>
      <w:r>
        <w:rPr>
          <w:rFonts w:ascii="Times New Roman" w:hAnsi="Times New Roman"/>
          <w:b w:val="0"/>
          <w:i w:val="0"/>
          <w:sz w:val="24"/>
        </w:rPr>
        <w:t>• Chapter 1: Introduction outlines the project context, problem statement, research objectives, operational scope, limitations, and software development methodology.</w:t>
      </w:r>
    </w:p>
    <w:p>
      <w:pPr>
        <w:spacing w:before="0" w:after="120" w:line="360" w:lineRule="auto"/>
        <w:jc w:val="both"/>
      </w:pPr>
      <w:r>
        <w:rPr>
          <w:rFonts w:ascii="Times New Roman" w:hAnsi="Times New Roman"/>
          <w:b w:val="0"/>
          <w:i w:val="0"/>
          <w:sz w:val="24"/>
        </w:rPr>
        <w:t>• Chapter 2: Background Study and Literature Review explores the foundational theories of capital markets, mathematical technical analysis, recurrent deep learning, tree boosting, and reviews pertinent academic literature in financial machine learning.</w:t>
      </w:r>
    </w:p>
    <w:p>
      <w:pPr>
        <w:spacing w:before="0" w:after="120" w:line="360" w:lineRule="auto"/>
        <w:jc w:val="both"/>
      </w:pPr>
      <w:r>
        <w:rPr>
          <w:rFonts w:ascii="Times New Roman" w:hAnsi="Times New Roman"/>
          <w:b w:val="0"/>
          <w:i w:val="0"/>
          <w:sz w:val="24"/>
        </w:rPr>
        <w:t>• Chapter 3: System Analysis and Design details functional and non-functional requirements, feasibility studies, object-oriented UML modeling (class, sequence, state, activity diagrams), architectural design, database schemas, UI wireframes, and algorithmic formulations.</w:t>
      </w:r>
    </w:p>
    <w:p>
      <w:pPr>
        <w:spacing w:before="0" w:after="120" w:line="360" w:lineRule="auto"/>
        <w:jc w:val="both"/>
      </w:pPr>
      <w:r>
        <w:rPr>
          <w:rFonts w:ascii="Times New Roman" w:hAnsi="Times New Roman"/>
          <w:b w:val="0"/>
          <w:i w:val="0"/>
          <w:sz w:val="24"/>
        </w:rPr>
        <w:t>• Chapter 4: Implementation and Testing describes the computational environments, CASE tools, framework implementations across modules, unit test specifications, and end-to-end integration test results.</w:t>
      </w:r>
    </w:p>
    <w:p>
      <w:pPr>
        <w:spacing w:before="0" w:after="120" w:line="360" w:lineRule="auto"/>
        <w:jc w:val="both"/>
      </w:pPr>
      <w:r>
        <w:rPr>
          <w:rFonts w:ascii="Times New Roman" w:hAnsi="Times New Roman"/>
          <w:b w:val="0"/>
          <w:i w:val="0"/>
          <w:sz w:val="24"/>
        </w:rPr>
        <w:t>• Chapter 5: Conclusion and Future Recommendations summarizes key project achievements, lessons learned, and proposes promising directions for future system enhancement.</w:t>
      </w:r>
    </w:p>
    <w:p>
      <w:r>
        <w:br w:type="page"/>
      </w:r>
    </w:p>
    <w:p>
      <w:pPr>
        <w:keepNext/>
        <w:spacing w:before="360" w:after="200" w:line="276" w:lineRule="auto"/>
        <w:jc w:val="left"/>
      </w:pPr>
      <w:r>
        <w:rPr>
          <w:rFonts w:ascii="Times New Roman" w:hAnsi="Times New Roman"/>
          <w:b/>
          <w:sz w:val="32"/>
        </w:rPr>
        <w:t>CHAPTER 2: BACKGROUND STUDY AND LITERATURE REVIEW</w:t>
      </w:r>
    </w:p>
    <w:p>
      <w:pPr>
        <w:keepNext/>
        <w:spacing w:before="280" w:after="120" w:line="276" w:lineRule="auto"/>
        <w:jc w:val="left"/>
      </w:pPr>
      <w:r>
        <w:rPr>
          <w:rFonts w:ascii="Times New Roman" w:hAnsi="Times New Roman"/>
          <w:b/>
          <w:sz w:val="28"/>
        </w:rPr>
        <w:t>2.1 Background Study</w:t>
      </w:r>
    </w:p>
    <w:p>
      <w:pPr>
        <w:keepNext/>
        <w:spacing w:before="200" w:after="80" w:line="276" w:lineRule="auto"/>
        <w:jc w:val="left"/>
      </w:pPr>
      <w:r>
        <w:rPr>
          <w:rFonts w:ascii="Times New Roman" w:hAnsi="Times New Roman"/>
          <w:b/>
          <w:sz w:val="24"/>
        </w:rPr>
        <w:t>2.1.1 Overview of NEPSE Market Mechanics</w:t>
      </w:r>
    </w:p>
    <w:p>
      <w:pPr>
        <w:spacing w:before="0" w:after="120" w:line="360" w:lineRule="auto"/>
        <w:jc w:val="both"/>
      </w:pPr>
      <w:r>
        <w:rPr>
          <w:rFonts w:ascii="Times New Roman" w:hAnsi="Times New Roman"/>
          <w:b w:val="0"/>
          <w:i w:val="0"/>
          <w:sz w:val="24"/>
        </w:rPr>
        <w:t>The Nepal Stock Exchange (NEPSE) is an order-driven market operating on a continuous matching principle via the computerized NEPSE Automated Trading System (NATS). Trading occurs from Sunday through Thursday between 11:00 AM and 3:00 PM Nepal Time (NPT). Unlike mature global exchanges such as the NYSE or NASDAQ, NEPSE exhibits distinctive structural traits:</w:t>
      </w:r>
    </w:p>
    <w:p>
      <w:pPr>
        <w:spacing w:before="0" w:after="120" w:line="360" w:lineRule="auto"/>
        <w:jc w:val="both"/>
      </w:pPr>
      <w:r>
        <w:rPr>
          <w:rFonts w:ascii="Times New Roman" w:hAnsi="Times New Roman"/>
          <w:b w:val="0"/>
          <w:i w:val="0"/>
          <w:sz w:val="24"/>
        </w:rPr>
        <w:t>• Daily Circuit Breakers: Individual equities are constrained by a ±10% daily price band. Market-wide index circuit breakers trigger trading halts at 4% (20 minutes), 5% (40 minutes), and 6% (remainder of the session).</w:t>
      </w:r>
    </w:p>
    <w:p>
      <w:pPr>
        <w:spacing w:before="0" w:after="120" w:line="360" w:lineRule="auto"/>
        <w:jc w:val="both"/>
      </w:pPr>
      <w:r>
        <w:rPr>
          <w:rFonts w:ascii="Times New Roman" w:hAnsi="Times New Roman"/>
          <w:b w:val="0"/>
          <w:i w:val="0"/>
          <w:sz w:val="24"/>
        </w:rPr>
        <w:t>• High Retail Participation: Institutional market makers and domestic hedge funds represent a minimal fraction of volume; retail investors account for over 85% of active trading accounts.</w:t>
      </w:r>
    </w:p>
    <w:p>
      <w:pPr>
        <w:spacing w:before="0" w:after="120" w:line="360" w:lineRule="auto"/>
        <w:jc w:val="both"/>
      </w:pPr>
      <w:r>
        <w:rPr>
          <w:rFonts w:ascii="Times New Roman" w:hAnsi="Times New Roman"/>
          <w:b w:val="0"/>
          <w:i w:val="0"/>
          <w:sz w:val="24"/>
        </w:rPr>
        <w:t>• Sector Skewness: Capitalization is heavily weighted toward Financial Institutions (Commercial Banks, Development Banks, Microfinance, Insurance) and Hydropower developers. Hydropower scrips frequently exhibit parabolic momentum cycles driven by low public float.</w:t>
      </w:r>
    </w:p>
    <w:p>
      <w:pPr>
        <w:keepNext/>
        <w:spacing w:before="200" w:after="80" w:line="276" w:lineRule="auto"/>
        <w:jc w:val="left"/>
      </w:pPr>
      <w:r>
        <w:rPr>
          <w:rFonts w:ascii="Times New Roman" w:hAnsi="Times New Roman"/>
          <w:b/>
          <w:sz w:val="24"/>
        </w:rPr>
        <w:t>2.1.2 Technical Analysis &amp; Mathematical Indicators</w:t>
      </w:r>
    </w:p>
    <w:p>
      <w:pPr>
        <w:spacing w:before="0" w:after="120" w:line="360" w:lineRule="auto"/>
        <w:jc w:val="both"/>
      </w:pPr>
      <w:r>
        <w:rPr>
          <w:rFonts w:ascii="Times New Roman" w:hAnsi="Times New Roman"/>
          <w:b w:val="0"/>
          <w:i w:val="0"/>
          <w:sz w:val="24"/>
        </w:rPr>
        <w:t>Technical analysis asserts that historical market action (prices and trading volume) reflects all underlying supply-and-demand information. The mathematical models implemented in this project are:</w:t>
      </w:r>
    </w:p>
    <w:p>
      <w:pPr>
        <w:spacing w:before="0" w:after="120" w:line="360" w:lineRule="auto"/>
        <w:jc w:val="both"/>
      </w:pPr>
      <w:r>
        <w:rPr>
          <w:rFonts w:ascii="Times New Roman" w:hAnsi="Times New Roman"/>
          <w:b w:val="0"/>
          <w:i w:val="0"/>
          <w:sz w:val="24"/>
        </w:rPr>
        <w:t>1. Exponential Moving Average (EMA):</w:t>
      </w:r>
    </w:p>
    <w:p>
      <w:pPr>
        <w:spacing w:before="0" w:after="120" w:line="360" w:lineRule="auto"/>
        <w:jc w:val="both"/>
      </w:pPr>
      <w:r>
        <w:rPr>
          <w:rFonts w:ascii="Times New Roman" w:hAnsi="Times New Roman"/>
          <w:b w:val="0"/>
          <w:i w:val="0"/>
          <w:sz w:val="24"/>
        </w:rPr>
        <w:t>Unlike a Simple Moving Average (SMA) which applies uniform weights, an EMA applies exponentially decreasing weights to older data points, reducing lag:</w:t>
      </w:r>
    </w:p>
    <w:p>
      <w:pPr>
        <w:spacing w:before="0" w:after="120" w:line="360" w:lineRule="auto"/>
        <w:jc w:val="both"/>
      </w:pPr>
      <w:r>
        <w:rPr>
          <w:rFonts w:ascii="Times New Roman" w:hAnsi="Times New Roman"/>
          <w:b w:val="0"/>
          <w:i w:val="0"/>
          <w:sz w:val="24"/>
        </w:rPr>
        <w:t xml:space="preserve">    EMA_t = [P_t × α] + [EMA_{t-1} × (1 - α)]</w:t>
        <w:br/>
        <w:t>where α = 2 / (N + 1), P_t is the closing price at time t, and N represents the time period.</w:t>
      </w:r>
    </w:p>
    <w:p>
      <w:pPr>
        <w:spacing w:before="0" w:after="120" w:line="360" w:lineRule="auto"/>
        <w:jc w:val="both"/>
      </w:pPr>
      <w:r>
        <w:rPr>
          <w:rFonts w:ascii="Times New Roman" w:hAnsi="Times New Roman"/>
          <w:b w:val="0"/>
          <w:i w:val="0"/>
          <w:sz w:val="24"/>
        </w:rPr>
        <w:t>2. Relative Strength Index (RSI):</w:t>
      </w:r>
    </w:p>
    <w:p>
      <w:pPr>
        <w:spacing w:before="0" w:after="120" w:line="360" w:lineRule="auto"/>
        <w:jc w:val="both"/>
      </w:pPr>
      <w:r>
        <w:rPr>
          <w:rFonts w:ascii="Times New Roman" w:hAnsi="Times New Roman"/>
          <w:b w:val="0"/>
          <w:i w:val="0"/>
          <w:sz w:val="24"/>
        </w:rPr>
        <w:t>Developed by J. Welles Wilder, RSI measures the velocity and magnitude of directional price movements on a normalized scale of 0 to 100:</w:t>
      </w:r>
    </w:p>
    <w:p>
      <w:pPr>
        <w:spacing w:before="0" w:after="120" w:line="360" w:lineRule="auto"/>
        <w:jc w:val="both"/>
      </w:pPr>
      <w:r>
        <w:rPr>
          <w:rFonts w:ascii="Times New Roman" w:hAnsi="Times New Roman"/>
          <w:b w:val="0"/>
          <w:i w:val="0"/>
          <w:sz w:val="24"/>
        </w:rPr>
        <w:t xml:space="preserve">    RSI = 100 - [100 / (1 + RS)]</w:t>
        <w:br/>
        <w:t>where RS = Smoothed Average Gain / Smoothed Average Loss over 14 periods. Values below 30 denote oversold conditions (potential buying support), while values above 70 indicate overbought conditions.</w:t>
      </w:r>
    </w:p>
    <w:p>
      <w:pPr>
        <w:spacing w:before="80" w:after="240"/>
        <w:jc w:val="center"/>
      </w:pPr>
      <w:r>
        <w:rPr>
          <w:rFonts w:ascii="Times New Roman" w:hAnsi="Times New Roman"/>
          <w:b/>
          <w:sz w:val="24"/>
        </w:rPr>
        <w:t>Figure 2.1: Wilder’s 14-Period RSI Oscillator Bounds and Threshold Dynamics</w:t>
      </w:r>
    </w:p>
    <w:p>
      <w:pPr>
        <w:spacing w:before="0" w:after="120" w:line="360" w:lineRule="auto"/>
        <w:jc w:val="both"/>
      </w:pPr>
      <w:r>
        <w:rPr>
          <w:rFonts w:ascii="Times New Roman" w:hAnsi="Times New Roman"/>
          <w:b w:val="0"/>
          <w:i w:val="0"/>
          <w:sz w:val="24"/>
        </w:rPr>
        <w:t>3. Moving Average Convergence Divergence (MACD):</w:t>
      </w:r>
    </w:p>
    <w:p>
      <w:pPr>
        <w:spacing w:before="0" w:after="120" w:line="360" w:lineRule="auto"/>
        <w:jc w:val="both"/>
      </w:pPr>
      <w:r>
        <w:rPr>
          <w:rFonts w:ascii="Times New Roman" w:hAnsi="Times New Roman"/>
          <w:b w:val="0"/>
          <w:i w:val="0"/>
          <w:sz w:val="24"/>
        </w:rPr>
        <w:t>Engineered by Gerald Appel, MACD calculates the relationship between two moving averages:</w:t>
      </w:r>
    </w:p>
    <w:p>
      <w:pPr>
        <w:spacing w:before="0" w:after="120" w:line="360" w:lineRule="auto"/>
        <w:jc w:val="both"/>
      </w:pPr>
      <w:r>
        <w:rPr>
          <w:rFonts w:ascii="Times New Roman" w:hAnsi="Times New Roman"/>
          <w:b w:val="0"/>
          <w:i w:val="0"/>
          <w:sz w:val="24"/>
        </w:rPr>
        <w:t xml:space="preserve">    MACD Line = EMA_12(Close) - EMA_26(Close)</w:t>
        <w:br/>
        <w:t xml:space="preserve">    Signal Line = EMA_9(MACD Line)</w:t>
        <w:br/>
        <w:t xml:space="preserve">    MACD Histogram = MACD Line - Signal Line</w:t>
        <w:br/>
        <w:t>A crossover of the MACD Line above the Signal Line indicates bullish momentum expansion.</w:t>
      </w:r>
    </w:p>
    <w:p>
      <w:pPr>
        <w:spacing w:before="0" w:after="120" w:line="360" w:lineRule="auto"/>
        <w:jc w:val="both"/>
      </w:pPr>
      <w:r>
        <w:rPr>
          <w:rFonts w:ascii="Times New Roman" w:hAnsi="Times New Roman"/>
          <w:b w:val="0"/>
          <w:i w:val="0"/>
          <w:sz w:val="24"/>
        </w:rPr>
        <w:t>4. Bollinger Bands (BB):</w:t>
      </w:r>
    </w:p>
    <w:p>
      <w:pPr>
        <w:spacing w:before="0" w:after="120" w:line="360" w:lineRule="auto"/>
        <w:jc w:val="both"/>
      </w:pPr>
      <w:r>
        <w:rPr>
          <w:rFonts w:ascii="Times New Roman" w:hAnsi="Times New Roman"/>
          <w:b w:val="0"/>
          <w:i w:val="0"/>
          <w:sz w:val="24"/>
        </w:rPr>
        <w:t>Developed by John Bollinger, Bollinger Bands encapsulate price action within a volatility envelope:</w:t>
      </w:r>
    </w:p>
    <w:p>
      <w:pPr>
        <w:spacing w:before="0" w:after="120" w:line="360" w:lineRule="auto"/>
        <w:jc w:val="both"/>
      </w:pPr>
      <w:r>
        <w:rPr>
          <w:rFonts w:ascii="Times New Roman" w:hAnsi="Times New Roman"/>
          <w:b w:val="0"/>
          <w:i w:val="0"/>
          <w:sz w:val="24"/>
        </w:rPr>
        <w:t xml:space="preserve">    Middle Band = SMA_20(Close)</w:t>
        <w:br/>
        <w:t xml:space="preserve">    Upper Band = SMA_20 + [2 × σ_20]</w:t>
        <w:br/>
        <w:t xml:space="preserve">    Lower Band = SMA_20 - [2 × σ_20]</w:t>
        <w:br/>
        <w:t>where σ_20 represents the 20-day rolling standard deviation. Band contraction signifies volatility compression often preceding sharp breakout expansions.</w:t>
      </w:r>
    </w:p>
    <w:p>
      <w:pPr>
        <w:keepNext/>
        <w:spacing w:before="200" w:after="80" w:line="276" w:lineRule="auto"/>
        <w:jc w:val="left"/>
      </w:pPr>
      <w:r>
        <w:rPr>
          <w:rFonts w:ascii="Times New Roman" w:hAnsi="Times New Roman"/>
          <w:b/>
          <w:sz w:val="24"/>
        </w:rPr>
        <w:t>2.1.3 Machine Learning in Time-Series Financial Systems</w:t>
      </w:r>
    </w:p>
    <w:p>
      <w:pPr>
        <w:spacing w:before="0" w:after="120" w:line="360" w:lineRule="auto"/>
        <w:jc w:val="both"/>
      </w:pPr>
      <w:r>
        <w:rPr>
          <w:rFonts w:ascii="Times New Roman" w:hAnsi="Times New Roman"/>
          <w:b w:val="0"/>
          <w:i w:val="0"/>
          <w:sz w:val="24"/>
        </w:rPr>
        <w:t>Time-series financial modeling represents a non-stationary machine learning challenge. Traditional Multi-Layer Perceptrons fail because they assume independent and identically distributed (i.i.d.) observations, discarding historical temporal context.</w:t>
      </w:r>
    </w:p>
    <w:p>
      <w:pPr>
        <w:spacing w:before="0" w:after="120" w:line="360" w:lineRule="auto"/>
        <w:jc w:val="both"/>
      </w:pPr>
      <w:r>
        <w:rPr>
          <w:rFonts w:ascii="Times New Roman" w:hAnsi="Times New Roman"/>
          <w:b w:val="0"/>
          <w:i w:val="0"/>
          <w:sz w:val="24"/>
        </w:rPr>
        <w:t>1. Long Short-Term Memory (LSTM) Networks:</w:t>
      </w:r>
    </w:p>
    <w:p>
      <w:pPr>
        <w:spacing w:before="0" w:after="120" w:line="360" w:lineRule="auto"/>
        <w:jc w:val="both"/>
      </w:pPr>
      <w:r>
        <w:rPr>
          <w:rFonts w:ascii="Times New Roman" w:hAnsi="Times New Roman"/>
          <w:b w:val="0"/>
          <w:i w:val="0"/>
          <w:sz w:val="24"/>
        </w:rPr>
        <w:t>LSTMs, introduced by Hochreiter and Schmidhuber, resolve the vanishing gradient problem in standard Recurrent Neural Networks (RNNs) through memory cells regulated by three gating structures:</w:t>
      </w:r>
    </w:p>
    <w:p>
      <w:pPr>
        <w:spacing w:before="0" w:after="120" w:line="360" w:lineRule="auto"/>
        <w:jc w:val="both"/>
      </w:pPr>
      <w:r>
        <w:rPr>
          <w:rFonts w:ascii="Times New Roman" w:hAnsi="Times New Roman"/>
          <w:b w:val="0"/>
          <w:i w:val="0"/>
          <w:sz w:val="24"/>
        </w:rPr>
        <w:t>• Forget Gate (f_t): f_t = σ(W_f · [h_{t-1}, x_t] + b_f)</w:t>
        <w:br/>
        <w:t>• Input Gate (i_t): i_t = σ(W_i · [h_{t-1}, x_t] + b_i)</w:t>
        <w:br/>
        <w:t>• Candidate State (C̃_t): C̃_t = tanh(W_c · [h_{t-1}, x_t] + b_c)</w:t>
        <w:br/>
        <w:t>• Cell State (C_t): C_t = f_t * C_{t-1} + i_t * C̃_t</w:t>
        <w:br/>
        <w:t>• Output Gate (o_t): o_t = σ(W_o · [h_{t-1}, x_t] + b_o)</w:t>
        <w:br/>
        <w:t>• Hidden State (h_t): h_t = o_t * tanh(C_t)</w:t>
      </w:r>
    </w:p>
    <w:p>
      <w:pPr>
        <w:spacing w:before="80" w:after="240"/>
        <w:jc w:val="center"/>
      </w:pPr>
      <w:r>
        <w:rPr>
          <w:rFonts w:ascii="Times New Roman" w:hAnsi="Times New Roman"/>
          <w:b/>
          <w:sz w:val="24"/>
        </w:rPr>
        <w:t>Figure 2.2: Classical LSTM Cell Architecture with Gating Mechanisms</w:t>
      </w:r>
    </w:p>
    <w:p>
      <w:pPr>
        <w:spacing w:before="0" w:after="120" w:line="360" w:lineRule="auto"/>
        <w:jc w:val="both"/>
      </w:pPr>
      <w:r>
        <w:rPr>
          <w:rFonts w:ascii="Times New Roman" w:hAnsi="Times New Roman"/>
          <w:b w:val="0"/>
          <w:i w:val="0"/>
          <w:sz w:val="24"/>
        </w:rPr>
        <w:t>2. Extreme Gradient Boosting (XGBoost):</w:t>
      </w:r>
    </w:p>
    <w:p>
      <w:pPr>
        <w:spacing w:before="0" w:after="120" w:line="360" w:lineRule="auto"/>
        <w:jc w:val="both"/>
      </w:pPr>
      <w:r>
        <w:rPr>
          <w:rFonts w:ascii="Times New Roman" w:hAnsi="Times New Roman"/>
          <w:b w:val="0"/>
          <w:i w:val="0"/>
          <w:sz w:val="24"/>
        </w:rPr>
        <w:t>XGBoost is a scalable tree boosting system based on greedy gradient descent in function space. Unlike deep networks, XGBoost excels at structured tabular data with disparate numerical scales and provides exact feature importance scores via split gain metrics.</w:t>
      </w:r>
    </w:p>
    <w:p>
      <w:pPr>
        <w:spacing w:before="0" w:after="120" w:line="360" w:lineRule="auto"/>
        <w:jc w:val="both"/>
      </w:pPr>
      <w:r>
        <w:rPr>
          <w:rFonts w:ascii="Times New Roman" w:hAnsi="Times New Roman"/>
          <w:b w:val="0"/>
          <w:i w:val="0"/>
          <w:sz w:val="24"/>
        </w:rPr>
        <w:t>3. The Hybrid Rationale:</w:t>
      </w:r>
    </w:p>
    <w:p>
      <w:pPr>
        <w:spacing w:before="0" w:after="120" w:line="360" w:lineRule="auto"/>
        <w:jc w:val="both"/>
      </w:pPr>
      <w:r>
        <w:rPr>
          <w:rFonts w:ascii="Times New Roman" w:hAnsi="Times New Roman"/>
          <w:b w:val="0"/>
          <w:i w:val="0"/>
          <w:sz w:val="24"/>
        </w:rPr>
        <w:t>LSTMs excel at discovering latent sequential temporal signatures across 30-day sliding price sequences but struggle with isolated tabular metrics. Conversely, XGBoost excels at non-linear indicator combinations but lacks intrinsic sequence memory. By utilizing the LSTM's final hidden state vector (h_t) as an automated temporal feature embedding and concatenating it with hand-engineered technical indicators before feeding it to XGBoost, our hybrid architecture combines deep temporal representation learning with robust tree-based classification.</w:t>
      </w:r>
    </w:p>
    <w:p>
      <w:pPr>
        <w:keepNext/>
        <w:spacing w:before="200" w:after="80" w:line="276" w:lineRule="auto"/>
        <w:jc w:val="left"/>
      </w:pPr>
      <w:r>
        <w:rPr>
          <w:rFonts w:ascii="Times New Roman" w:hAnsi="Times New Roman"/>
          <w:b/>
          <w:sz w:val="24"/>
        </w:rPr>
        <w:t>2.1.4 Real-Time Web Alerting Architectures</w:t>
      </w:r>
    </w:p>
    <w:p>
      <w:pPr>
        <w:spacing w:before="0" w:after="120" w:line="360" w:lineRule="auto"/>
        <w:jc w:val="both"/>
      </w:pPr>
      <w:r>
        <w:rPr>
          <w:rFonts w:ascii="Times New Roman" w:hAnsi="Times New Roman"/>
          <w:b w:val="0"/>
          <w:i w:val="0"/>
          <w:sz w:val="24"/>
        </w:rPr>
        <w:t>Financial market monitoring requires zero-latency notifications. Traditional web applications rely on continuous polling and third-party MP3 audio assets. If external media assets fail to download or are blocked by browser autoplay sandboxes, alerting fails. In this project, acoustic alerting is achieved using the HTML5 Web Audio API, which synthesizes frequency tones directly in the client audio hardware buffer, ensuring 100% reliability even in offline states. Simultaneously, the browser Notification API is leveraged to trigger system-level desktop notifications.</w:t>
      </w:r>
    </w:p>
    <w:p>
      <w:pPr>
        <w:keepNext/>
        <w:spacing w:before="280" w:after="120" w:line="276" w:lineRule="auto"/>
        <w:jc w:val="left"/>
      </w:pPr>
      <w:r>
        <w:rPr>
          <w:rFonts w:ascii="Times New Roman" w:hAnsi="Times New Roman"/>
          <w:b/>
          <w:sz w:val="28"/>
        </w:rPr>
        <w:t>2.2 Literature Review</w:t>
      </w:r>
    </w:p>
    <w:p>
      <w:pPr>
        <w:keepNext/>
        <w:spacing w:before="200" w:after="80" w:line="276" w:lineRule="auto"/>
        <w:jc w:val="left"/>
      </w:pPr>
      <w:r>
        <w:rPr>
          <w:rFonts w:ascii="Times New Roman" w:hAnsi="Times New Roman"/>
          <w:b/>
          <w:sz w:val="24"/>
        </w:rPr>
        <w:t>2.2.1 Review of Related Works</w:t>
      </w:r>
    </w:p>
    <w:p>
      <w:pPr>
        <w:spacing w:before="0" w:after="120" w:line="360" w:lineRule="auto"/>
        <w:jc w:val="both"/>
      </w:pPr>
      <w:r>
        <w:rPr>
          <w:rFonts w:ascii="Times New Roman" w:hAnsi="Times New Roman"/>
          <w:b w:val="0"/>
          <w:i w:val="0"/>
          <w:sz w:val="24"/>
        </w:rPr>
        <w:t>The application of quantitative algorithms to equity prediction has been explored extensively across global academic literature:</w:t>
      </w:r>
    </w:p>
    <w:p>
      <w:pPr>
        <w:spacing w:before="0" w:after="120" w:line="360" w:lineRule="auto"/>
        <w:jc w:val="both"/>
      </w:pPr>
      <w:r>
        <w:rPr>
          <w:rFonts w:ascii="Times New Roman" w:hAnsi="Times New Roman"/>
          <w:b w:val="0"/>
          <w:i w:val="0"/>
          <w:sz w:val="24"/>
        </w:rPr>
        <w:t>Fischer and Krauss (2018) [1] deployed LSTM networks to forecast directional stock movements across the S&amp;P 500 constituents from 1992 to 2015. Their findings demonstrated that deep LSTM networks consistently outperform standard memory-free classification models (such as Random Forest and Logistic Regression), achieving statistically significant out-of-sample annualized returns prior to transaction costs. Their study proved that LSTM memory cells effectively capture long-term cross-sectional dependency structures.</w:t>
      </w:r>
    </w:p>
    <w:p>
      <w:pPr>
        <w:spacing w:before="0" w:after="120" w:line="360" w:lineRule="auto"/>
        <w:jc w:val="both"/>
      </w:pPr>
      <w:r>
        <w:rPr>
          <w:rFonts w:ascii="Times New Roman" w:hAnsi="Times New Roman"/>
          <w:b w:val="0"/>
          <w:i w:val="0"/>
          <w:sz w:val="24"/>
        </w:rPr>
        <w:t>Chen, Zhou, and Dai (2021) [2] proposed an XGBoost-based quantitative trading strategy on Chinese equity markets. The authors engineered over 40 technical indicators and proved that XGBoost substantially outclassed Support Vector Machines (SVM) and Artificial Neural Networks in stability, robustness against feature multicollinearity, and computational inference speed.</w:t>
      </w:r>
    </w:p>
    <w:p>
      <w:pPr>
        <w:spacing w:before="0" w:after="120" w:line="360" w:lineRule="auto"/>
        <w:jc w:val="both"/>
      </w:pPr>
      <w:r>
        <w:rPr>
          <w:rFonts w:ascii="Times New Roman" w:hAnsi="Times New Roman"/>
          <w:b w:val="0"/>
          <w:i w:val="0"/>
          <w:sz w:val="24"/>
        </w:rPr>
        <w:t>Shrestha and Joshi (2020) [3] analyzed time-series price movements within the Nepal Stock Exchange using traditional statistical ARIMA models. Their investigation revealed that pure autoregressive models yield high error rates during macro-policy shifts and market bull runs due to non-stationarity, suggesting that non-linear machine learning models incorporating volume and momentum features are necessary for NEPSE.</w:t>
      </w:r>
    </w:p>
    <w:p>
      <w:pPr>
        <w:spacing w:before="0" w:after="120" w:line="360" w:lineRule="auto"/>
        <w:jc w:val="both"/>
      </w:pPr>
      <w:r>
        <w:rPr>
          <w:rFonts w:ascii="Times New Roman" w:hAnsi="Times New Roman"/>
          <w:b w:val="0"/>
          <w:i w:val="0"/>
          <w:sz w:val="24"/>
        </w:rPr>
        <w:t>Bhattarai (2022) [4] conducted an empirical examination of technical indicator confluence in NEPSE banking equities. The study revealed that moving average crossovers combined with RSI momentum thresholds yielded superior risk-adjusted returns compared to simple buy-and-hold strategies, specifically by mitigating catastrophic losses during extended bear markets.</w:t>
      </w:r>
    </w:p>
    <w:p>
      <w:pPr>
        <w:spacing w:before="0" w:after="120" w:line="360" w:lineRule="auto"/>
        <w:jc w:val="both"/>
      </w:pPr>
      <w:r>
        <w:rPr>
          <w:rFonts w:ascii="Times New Roman" w:hAnsi="Times New Roman"/>
          <w:b w:val="0"/>
          <w:i w:val="0"/>
          <w:sz w:val="24"/>
        </w:rPr>
        <w:t>Kumar and Thenmozhi (2014) [5] explored Support Vector Machines (SVM) and Random Forests for forecasting the S&amp;P CNX NIFTY index, demonstrating that non-linear machine learning algorithms significantly beat classical linear discriminant models.</w:t>
      </w:r>
    </w:p>
    <w:p>
      <w:pPr>
        <w:keepNext/>
        <w:spacing w:before="200" w:after="80" w:line="276" w:lineRule="auto"/>
        <w:jc w:val="left"/>
      </w:pPr>
      <w:r>
        <w:rPr>
          <w:rFonts w:ascii="Times New Roman" w:hAnsi="Times New Roman"/>
          <w:b/>
          <w:sz w:val="24"/>
        </w:rPr>
        <w:t>2.2.2 Comparative Summary of Literature</w:t>
      </w:r>
    </w:p>
    <w:p>
      <w:pPr>
        <w:keepNext/>
        <w:spacing w:before="240" w:after="80"/>
        <w:jc w:val="center"/>
      </w:pPr>
      <w:r>
        <w:rPr>
          <w:rFonts w:ascii="Times New Roman" w:hAnsi="Times New Roman"/>
          <w:b/>
          <w:sz w:val="24"/>
        </w:rPr>
        <w:t>Table 2.1: Comparative Synthesis of Existing Literature and Methodologies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Authors &amp; Year</w:t>
            </w:r>
          </w:p>
        </w:tc>
        <w:tc>
          <w:tcPr>
            <w:tcW w:type="dxa" w:w="1734"/>
            <w:shd w:fill="F0F0F0"/>
          </w:tcPr>
          <w:p>
            <w:r>
              <w:rPr>
                <w:b/>
              </w:rPr>
              <w:t>Target Domain</w:t>
            </w:r>
          </w:p>
        </w:tc>
        <w:tc>
          <w:tcPr>
            <w:tcW w:type="dxa" w:w="1734"/>
            <w:shd w:fill="F0F0F0"/>
          </w:tcPr>
          <w:p>
            <w:r>
              <w:rPr>
                <w:b/>
              </w:rPr>
              <w:t>Methodology</w:t>
            </w:r>
          </w:p>
        </w:tc>
        <w:tc>
          <w:tcPr>
            <w:tcW w:type="dxa" w:w="1734"/>
            <w:shd w:fill="F0F0F0"/>
          </w:tcPr>
          <w:p>
            <w:r>
              <w:rPr>
                <w:b/>
              </w:rPr>
              <w:t>Key Findings</w:t>
            </w:r>
          </w:p>
        </w:tc>
        <w:tc>
          <w:tcPr>
            <w:tcW w:type="dxa" w:w="1734"/>
            <w:shd w:fill="F0F0F0"/>
          </w:tcPr>
          <w:p>
            <w:r>
              <w:rPr>
                <w:b/>
              </w:rPr>
              <w:t>Identified Gaps</w:t>
            </w:r>
          </w:p>
        </w:tc>
      </w:tr>
      <w:tr>
        <w:tc>
          <w:tcPr>
            <w:tcW w:type="dxa" w:w="1734"/>
            <w:tcMar>
              <w:top w:w="60" w:type="dxa"/>
              <w:bottom w:w="60" w:type="dxa"/>
              <w:left w:w="80" w:type="dxa"/>
              <w:right w:w="80" w:type="dxa"/>
            </w:tcMar>
            <w:tcBorders>
              <w:bottom w:val="single" w:sz="4" w:space="0" w:color="E0E0E0"/>
            </w:tcBorders>
          </w:tcPr>
          <w:p>
            <w:pPr>
              <w:spacing w:line="276" w:lineRule="auto"/>
            </w:pPr>
            <w:r>
              <w:rPr>
                <w:b/>
              </w:rPr>
              <w:t>Fischer &amp; Krauss (2018) [1]</w:t>
            </w:r>
          </w:p>
        </w:tc>
        <w:tc>
          <w:tcPr>
            <w:tcW w:type="dxa" w:w="1734"/>
            <w:tcMar>
              <w:top w:w="60" w:type="dxa"/>
              <w:bottom w:w="60" w:type="dxa"/>
              <w:left w:w="80" w:type="dxa"/>
              <w:right w:w="80" w:type="dxa"/>
            </w:tcMar>
            <w:tcBorders>
              <w:bottom w:val="single" w:sz="4" w:space="0" w:color="E0E0E0"/>
            </w:tcBorders>
          </w:tcPr>
          <w:p>
            <w:pPr>
              <w:spacing w:line="276" w:lineRule="auto"/>
            </w:pPr>
            <w:r>
              <w:t>S&amp;P 500</w:t>
            </w:r>
          </w:p>
        </w:tc>
        <w:tc>
          <w:tcPr>
            <w:tcW w:type="dxa" w:w="1734"/>
            <w:tcMar>
              <w:top w:w="60" w:type="dxa"/>
              <w:bottom w:w="60" w:type="dxa"/>
              <w:left w:w="80" w:type="dxa"/>
              <w:right w:w="80" w:type="dxa"/>
            </w:tcMar>
            <w:tcBorders>
              <w:bottom w:val="single" w:sz="4" w:space="0" w:color="E0E0E0"/>
            </w:tcBorders>
          </w:tcPr>
          <w:p>
            <w:pPr>
              <w:spacing w:line="276" w:lineRule="auto"/>
            </w:pPr>
            <w:r>
              <w:t>Deep LSTM Networks</w:t>
            </w:r>
          </w:p>
        </w:tc>
        <w:tc>
          <w:tcPr>
            <w:tcW w:type="dxa" w:w="1734"/>
            <w:tcMar>
              <w:top w:w="60" w:type="dxa"/>
              <w:bottom w:w="60" w:type="dxa"/>
              <w:left w:w="80" w:type="dxa"/>
              <w:right w:w="80" w:type="dxa"/>
            </w:tcMar>
            <w:tcBorders>
              <w:bottom w:val="single" w:sz="4" w:space="0" w:color="E0E0E0"/>
            </w:tcBorders>
          </w:tcPr>
          <w:p>
            <w:pPr>
              <w:spacing w:line="276" w:lineRule="auto"/>
            </w:pPr>
            <w:r>
              <w:t>LSTMs outperform memory-free classifiers in temporal financial data.</w:t>
            </w:r>
          </w:p>
        </w:tc>
        <w:tc>
          <w:tcPr>
            <w:tcW w:type="dxa" w:w="1734"/>
            <w:tcMar>
              <w:top w:w="60" w:type="dxa"/>
              <w:bottom w:w="60" w:type="dxa"/>
              <w:left w:w="80" w:type="dxa"/>
              <w:right w:w="80" w:type="dxa"/>
            </w:tcMar>
            <w:tcBorders>
              <w:bottom w:val="single" w:sz="4" w:space="0" w:color="E0E0E0"/>
            </w:tcBorders>
          </w:tcPr>
          <w:p>
            <w:pPr>
              <w:spacing w:line="276" w:lineRule="auto"/>
            </w:pPr>
            <w:r>
              <w:t>Lacked tabular indicator feature engineering and real-time alert integration.</w:t>
            </w:r>
          </w:p>
        </w:tc>
      </w:tr>
      <w:tr>
        <w:tc>
          <w:tcPr>
            <w:tcW w:type="dxa" w:w="1734"/>
            <w:tcMar>
              <w:top w:w="60" w:type="dxa"/>
              <w:bottom w:w="60" w:type="dxa"/>
              <w:left w:w="80" w:type="dxa"/>
              <w:right w:w="80" w:type="dxa"/>
            </w:tcMar>
            <w:tcBorders>
              <w:bottom w:val="single" w:sz="4" w:space="0" w:color="E0E0E0"/>
            </w:tcBorders>
          </w:tcPr>
          <w:p>
            <w:pPr>
              <w:spacing w:line="276" w:lineRule="auto"/>
            </w:pPr>
            <w:r>
              <w:rPr>
                <w:b/>
              </w:rPr>
              <w:t>Chen et al. (2021) [2]</w:t>
            </w:r>
          </w:p>
        </w:tc>
        <w:tc>
          <w:tcPr>
            <w:tcW w:type="dxa" w:w="1734"/>
            <w:tcMar>
              <w:top w:w="60" w:type="dxa"/>
              <w:bottom w:w="60" w:type="dxa"/>
              <w:left w:w="80" w:type="dxa"/>
              <w:right w:w="80" w:type="dxa"/>
            </w:tcMar>
            <w:tcBorders>
              <w:bottom w:val="single" w:sz="4" w:space="0" w:color="E0E0E0"/>
            </w:tcBorders>
          </w:tcPr>
          <w:p>
            <w:pPr>
              <w:spacing w:line="276" w:lineRule="auto"/>
            </w:pPr>
            <w:r>
              <w:t>CSI 300 (China)</w:t>
            </w:r>
          </w:p>
        </w:tc>
        <w:tc>
          <w:tcPr>
            <w:tcW w:type="dxa" w:w="1734"/>
            <w:tcMar>
              <w:top w:w="60" w:type="dxa"/>
              <w:bottom w:w="60" w:type="dxa"/>
              <w:left w:w="80" w:type="dxa"/>
              <w:right w:w="80" w:type="dxa"/>
            </w:tcMar>
            <w:tcBorders>
              <w:bottom w:val="single" w:sz="4" w:space="0" w:color="E0E0E0"/>
            </w:tcBorders>
          </w:tcPr>
          <w:p>
            <w:pPr>
              <w:spacing w:line="276" w:lineRule="auto"/>
            </w:pPr>
            <w:r>
              <w:t>XGBoost Classifier</w:t>
            </w:r>
          </w:p>
        </w:tc>
        <w:tc>
          <w:tcPr>
            <w:tcW w:type="dxa" w:w="1734"/>
            <w:tcMar>
              <w:top w:w="60" w:type="dxa"/>
              <w:bottom w:w="60" w:type="dxa"/>
              <w:left w:w="80" w:type="dxa"/>
              <w:right w:w="80" w:type="dxa"/>
            </w:tcMar>
            <w:tcBorders>
              <w:bottom w:val="single" w:sz="4" w:space="0" w:color="E0E0E0"/>
            </w:tcBorders>
          </w:tcPr>
          <w:p>
            <w:pPr>
              <w:spacing w:line="276" w:lineRule="auto"/>
            </w:pPr>
            <w:r>
              <w:t>Tree boosting excels on tabular technical metrics with fast inference.</w:t>
            </w:r>
          </w:p>
        </w:tc>
        <w:tc>
          <w:tcPr>
            <w:tcW w:type="dxa" w:w="1734"/>
            <w:tcMar>
              <w:top w:w="60" w:type="dxa"/>
              <w:bottom w:w="60" w:type="dxa"/>
              <w:left w:w="80" w:type="dxa"/>
              <w:right w:w="80" w:type="dxa"/>
            </w:tcMar>
            <w:tcBorders>
              <w:bottom w:val="single" w:sz="4" w:space="0" w:color="E0E0E0"/>
            </w:tcBorders>
          </w:tcPr>
          <w:p>
            <w:pPr>
              <w:spacing w:line="276" w:lineRule="auto"/>
            </w:pPr>
            <w:r>
              <w:t>Lacks sequential memory to capture temporal price momentum.</w:t>
            </w:r>
          </w:p>
        </w:tc>
      </w:tr>
      <w:tr>
        <w:tc>
          <w:tcPr>
            <w:tcW w:type="dxa" w:w="1734"/>
            <w:tcMar>
              <w:top w:w="60" w:type="dxa"/>
              <w:bottom w:w="60" w:type="dxa"/>
              <w:left w:w="80" w:type="dxa"/>
              <w:right w:w="80" w:type="dxa"/>
            </w:tcMar>
            <w:tcBorders>
              <w:bottom w:val="single" w:sz="4" w:space="0" w:color="E0E0E0"/>
            </w:tcBorders>
          </w:tcPr>
          <w:p>
            <w:pPr>
              <w:spacing w:line="276" w:lineRule="auto"/>
            </w:pPr>
            <w:r>
              <w:rPr>
                <w:b/>
              </w:rPr>
              <w:t>Shrestha &amp; Joshi (2020) [3]</w:t>
            </w:r>
          </w:p>
        </w:tc>
        <w:tc>
          <w:tcPr>
            <w:tcW w:type="dxa" w:w="1734"/>
            <w:tcMar>
              <w:top w:w="60" w:type="dxa"/>
              <w:bottom w:w="60" w:type="dxa"/>
              <w:left w:w="80" w:type="dxa"/>
              <w:right w:w="80" w:type="dxa"/>
            </w:tcMar>
            <w:tcBorders>
              <w:bottom w:val="single" w:sz="4" w:space="0" w:color="E0E0E0"/>
            </w:tcBorders>
          </w:tcPr>
          <w:p>
            <w:pPr>
              <w:spacing w:line="276" w:lineRule="auto"/>
            </w:pPr>
            <w:r>
              <w:t>NEPSE (Nepal)</w:t>
            </w:r>
          </w:p>
        </w:tc>
        <w:tc>
          <w:tcPr>
            <w:tcW w:type="dxa" w:w="1734"/>
            <w:tcMar>
              <w:top w:w="60" w:type="dxa"/>
              <w:bottom w:w="60" w:type="dxa"/>
              <w:left w:w="80" w:type="dxa"/>
              <w:right w:w="80" w:type="dxa"/>
            </w:tcMar>
            <w:tcBorders>
              <w:bottom w:val="single" w:sz="4" w:space="0" w:color="E0E0E0"/>
            </w:tcBorders>
          </w:tcPr>
          <w:p>
            <w:pPr>
              <w:spacing w:line="276" w:lineRule="auto"/>
            </w:pPr>
            <w:r>
              <w:t>ARIMA Statistical Models</w:t>
            </w:r>
          </w:p>
        </w:tc>
        <w:tc>
          <w:tcPr>
            <w:tcW w:type="dxa" w:w="1734"/>
            <w:tcMar>
              <w:top w:w="60" w:type="dxa"/>
              <w:bottom w:w="60" w:type="dxa"/>
              <w:left w:w="80" w:type="dxa"/>
              <w:right w:w="80" w:type="dxa"/>
            </w:tcMar>
            <w:tcBorders>
              <w:bottom w:val="single" w:sz="4" w:space="0" w:color="E0E0E0"/>
            </w:tcBorders>
          </w:tcPr>
          <w:p>
            <w:pPr>
              <w:spacing w:line="276" w:lineRule="auto"/>
            </w:pPr>
            <w:r>
              <w:t>Linear time-series models fail during high volatility and policy shifts.</w:t>
            </w:r>
          </w:p>
        </w:tc>
        <w:tc>
          <w:tcPr>
            <w:tcW w:type="dxa" w:w="1734"/>
            <w:tcMar>
              <w:top w:w="60" w:type="dxa"/>
              <w:bottom w:w="60" w:type="dxa"/>
              <w:left w:w="80" w:type="dxa"/>
              <w:right w:w="80" w:type="dxa"/>
            </w:tcMar>
            <w:tcBorders>
              <w:bottom w:val="single" w:sz="4" w:space="0" w:color="E0E0E0"/>
            </w:tcBorders>
          </w:tcPr>
          <w:p>
            <w:pPr>
              <w:spacing w:line="276" w:lineRule="auto"/>
            </w:pPr>
            <w:r>
              <w:t>Failed to leverage machine learning, volume dynamics, or modern web interfaces.</w:t>
            </w:r>
          </w:p>
        </w:tc>
      </w:tr>
      <w:tr>
        <w:tc>
          <w:tcPr>
            <w:tcW w:type="dxa" w:w="1734"/>
            <w:tcMar>
              <w:top w:w="60" w:type="dxa"/>
              <w:bottom w:w="60" w:type="dxa"/>
              <w:left w:w="80" w:type="dxa"/>
              <w:right w:w="80" w:type="dxa"/>
            </w:tcMar>
            <w:tcBorders>
              <w:bottom w:val="single" w:sz="4" w:space="0" w:color="E0E0E0"/>
            </w:tcBorders>
          </w:tcPr>
          <w:p>
            <w:pPr>
              <w:spacing w:line="276" w:lineRule="auto"/>
            </w:pPr>
            <w:r>
              <w:rPr>
                <w:b/>
              </w:rPr>
              <w:t>Bhattarai (2022) [4]</w:t>
            </w:r>
          </w:p>
        </w:tc>
        <w:tc>
          <w:tcPr>
            <w:tcW w:type="dxa" w:w="1734"/>
            <w:tcMar>
              <w:top w:w="60" w:type="dxa"/>
              <w:bottom w:w="60" w:type="dxa"/>
              <w:left w:w="80" w:type="dxa"/>
              <w:right w:w="80" w:type="dxa"/>
            </w:tcMar>
            <w:tcBorders>
              <w:bottom w:val="single" w:sz="4" w:space="0" w:color="E0E0E0"/>
            </w:tcBorders>
          </w:tcPr>
          <w:p>
            <w:pPr>
              <w:spacing w:line="276" w:lineRule="auto"/>
            </w:pPr>
            <w:r>
              <w:t>NEPSE Banking</w:t>
            </w:r>
          </w:p>
        </w:tc>
        <w:tc>
          <w:tcPr>
            <w:tcW w:type="dxa" w:w="1734"/>
            <w:tcMar>
              <w:top w:w="60" w:type="dxa"/>
              <w:bottom w:w="60" w:type="dxa"/>
              <w:left w:w="80" w:type="dxa"/>
              <w:right w:w="80" w:type="dxa"/>
            </w:tcMar>
            <w:tcBorders>
              <w:bottom w:val="single" w:sz="4" w:space="0" w:color="E0E0E0"/>
            </w:tcBorders>
          </w:tcPr>
          <w:p>
            <w:pPr>
              <w:spacing w:line="276" w:lineRule="auto"/>
            </w:pPr>
            <w:r>
              <w:t>RSI + MACD Confluence</w:t>
            </w:r>
          </w:p>
        </w:tc>
        <w:tc>
          <w:tcPr>
            <w:tcW w:type="dxa" w:w="1734"/>
            <w:tcMar>
              <w:top w:w="60" w:type="dxa"/>
              <w:bottom w:w="60" w:type="dxa"/>
              <w:left w:w="80" w:type="dxa"/>
              <w:right w:w="80" w:type="dxa"/>
            </w:tcMar>
            <w:tcBorders>
              <w:bottom w:val="single" w:sz="4" w:space="0" w:color="E0E0E0"/>
            </w:tcBorders>
          </w:tcPr>
          <w:p>
            <w:pPr>
              <w:spacing w:line="276" w:lineRule="auto"/>
            </w:pPr>
            <w:r>
              <w:t>Technical indicators provide strong risk mitigation during drawdowns.</w:t>
            </w:r>
          </w:p>
        </w:tc>
        <w:tc>
          <w:tcPr>
            <w:tcW w:type="dxa" w:w="1734"/>
            <w:tcMar>
              <w:top w:w="60" w:type="dxa"/>
              <w:bottom w:w="60" w:type="dxa"/>
              <w:left w:w="80" w:type="dxa"/>
              <w:right w:w="80" w:type="dxa"/>
            </w:tcMar>
            <w:tcBorders>
              <w:bottom w:val="single" w:sz="4" w:space="0" w:color="E0E0E0"/>
            </w:tcBorders>
          </w:tcPr>
          <w:p>
            <w:pPr>
              <w:spacing w:line="276" w:lineRule="auto"/>
            </w:pPr>
            <w:r>
              <w:t>Purely manual heuristic analysis; lacked automated predictive models.</w:t>
            </w:r>
          </w:p>
        </w:tc>
      </w:tr>
      <w:tr>
        <w:tc>
          <w:tcPr>
            <w:tcW w:type="dxa" w:w="1734"/>
            <w:tcMar>
              <w:top w:w="60" w:type="dxa"/>
              <w:bottom w:w="60" w:type="dxa"/>
              <w:left w:w="80" w:type="dxa"/>
              <w:right w:w="80" w:type="dxa"/>
            </w:tcMar>
            <w:tcBorders>
              <w:bottom w:val="single" w:sz="4" w:space="0" w:color="E0E0E0"/>
            </w:tcBorders>
          </w:tcPr>
          <w:p>
            <w:pPr>
              <w:spacing w:line="276" w:lineRule="auto"/>
            </w:pPr>
            <w:r>
              <w:rPr>
                <w:b/>
              </w:rPr>
              <w:t>This Project (2026)</w:t>
            </w:r>
          </w:p>
        </w:tc>
        <w:tc>
          <w:tcPr>
            <w:tcW w:type="dxa" w:w="1734"/>
            <w:tcMar>
              <w:top w:w="60" w:type="dxa"/>
              <w:bottom w:w="60" w:type="dxa"/>
              <w:left w:w="80" w:type="dxa"/>
              <w:right w:w="80" w:type="dxa"/>
            </w:tcMar>
            <w:tcBorders>
              <w:bottom w:val="single" w:sz="4" w:space="0" w:color="E0E0E0"/>
            </w:tcBorders>
          </w:tcPr>
          <w:p>
            <w:pPr>
              <w:spacing w:line="276" w:lineRule="auto"/>
            </w:pPr>
            <w:r>
              <w:t>NEPSE (All Sectors)</w:t>
            </w:r>
          </w:p>
        </w:tc>
        <w:tc>
          <w:tcPr>
            <w:tcW w:type="dxa" w:w="1734"/>
            <w:tcMar>
              <w:top w:w="60" w:type="dxa"/>
              <w:bottom w:w="60" w:type="dxa"/>
              <w:left w:w="80" w:type="dxa"/>
              <w:right w:w="80" w:type="dxa"/>
            </w:tcMar>
            <w:tcBorders>
              <w:bottom w:val="single" w:sz="4" w:space="0" w:color="E0E0E0"/>
            </w:tcBorders>
          </w:tcPr>
          <w:p>
            <w:pPr>
              <w:spacing w:line="276" w:lineRule="auto"/>
            </w:pPr>
            <w:r>
              <w:t>Hybrid LSTM-XGBoost + Decision Support System</w:t>
            </w:r>
          </w:p>
        </w:tc>
        <w:tc>
          <w:tcPr>
            <w:tcW w:type="dxa" w:w="1734"/>
            <w:tcMar>
              <w:top w:w="60" w:type="dxa"/>
              <w:bottom w:w="60" w:type="dxa"/>
              <w:left w:w="80" w:type="dxa"/>
              <w:right w:w="80" w:type="dxa"/>
            </w:tcMar>
            <w:tcBorders>
              <w:bottom w:val="single" w:sz="4" w:space="0" w:color="E0E0E0"/>
            </w:tcBorders>
          </w:tcPr>
          <w:p>
            <w:pPr>
              <w:spacing w:line="276" w:lineRule="auto"/>
            </w:pPr>
            <w:r>
              <w:t>Combines temporal sequence memory with tabular indicator precision + Full-Stack DSS.</w:t>
            </w:r>
          </w:p>
        </w:tc>
        <w:tc>
          <w:tcPr>
            <w:tcW w:type="dxa" w:w="1734"/>
            <w:tcMar>
              <w:top w:w="60" w:type="dxa"/>
              <w:bottom w:w="60" w:type="dxa"/>
              <w:left w:w="80" w:type="dxa"/>
              <w:right w:w="80" w:type="dxa"/>
            </w:tcMar>
            <w:tcBorders>
              <w:bottom w:val="single" w:sz="4" w:space="0" w:color="E0E0E0"/>
            </w:tcBorders>
          </w:tcPr>
          <w:p>
            <w:pPr>
              <w:spacing w:line="276" w:lineRule="auto"/>
            </w:pPr>
            <w:r>
              <w:t>Addressed all prior gaps: local persistence, real-time audio alarms, paper trading, and backtest simulator.</w:t>
            </w:r>
          </w:p>
        </w:tc>
      </w:tr>
    </w:tbl>
    <w:p>
      <w:r>
        <w:br w:type="page"/>
      </w:r>
    </w:p>
    <w:p>
      <w:pPr>
        <w:keepNext/>
        <w:spacing w:before="360" w:after="200" w:line="276" w:lineRule="auto"/>
        <w:jc w:val="left"/>
      </w:pPr>
      <w:r>
        <w:rPr>
          <w:rFonts w:ascii="Times New Roman" w:hAnsi="Times New Roman"/>
          <w:b/>
          <w:sz w:val="32"/>
        </w:rPr>
        <w:t>CHAPTER 3: SYSTEM ANALYSIS AND DESIGN</w:t>
      </w:r>
    </w:p>
    <w:p>
      <w:pPr>
        <w:keepNext/>
        <w:spacing w:before="280" w:after="120" w:line="276" w:lineRule="auto"/>
        <w:jc w:val="left"/>
      </w:pPr>
      <w:r>
        <w:rPr>
          <w:rFonts w:ascii="Times New Roman" w:hAnsi="Times New Roman"/>
          <w:b/>
          <w:sz w:val="28"/>
        </w:rPr>
        <w:t>3.1 System Analysis</w:t>
      </w:r>
    </w:p>
    <w:p>
      <w:pPr>
        <w:keepNext/>
        <w:spacing w:before="200" w:after="80" w:line="276" w:lineRule="auto"/>
        <w:jc w:val="left"/>
      </w:pPr>
      <w:r>
        <w:rPr>
          <w:rFonts w:ascii="Times New Roman" w:hAnsi="Times New Roman"/>
          <w:b/>
          <w:sz w:val="24"/>
        </w:rPr>
        <w:t>3.1.1 Requirement Analysis</w:t>
      </w:r>
    </w:p>
    <w:p>
      <w:pPr>
        <w:spacing w:before="0" w:after="120" w:line="360" w:lineRule="auto"/>
        <w:jc w:val="both"/>
      </w:pPr>
      <w:r>
        <w:rPr>
          <w:rFonts w:ascii="Times New Roman" w:hAnsi="Times New Roman"/>
          <w:b w:val="0"/>
          <w:i w:val="0"/>
          <w:sz w:val="24"/>
        </w:rPr>
        <w:t>The system requirements were gathered through analysis of existing Nepali capital market platforms, trader interviews, and financial quantitative literature.</w:t>
      </w:r>
    </w:p>
    <w:p>
      <w:pPr>
        <w:spacing w:before="0" w:after="120" w:line="360" w:lineRule="auto"/>
        <w:jc w:val="both"/>
      </w:pPr>
      <w:r>
        <w:rPr>
          <w:rFonts w:ascii="Times New Roman" w:hAnsi="Times New Roman"/>
          <w:b w:val="0"/>
          <w:i w:val="0"/>
          <w:sz w:val="24"/>
        </w:rPr>
        <w:t>i. Functional Requirements:</w:t>
      </w:r>
    </w:p>
    <w:p>
      <w:pPr>
        <w:keepNext/>
        <w:spacing w:before="240" w:after="80"/>
        <w:jc w:val="center"/>
      </w:pPr>
      <w:r>
        <w:rPr>
          <w:rFonts w:ascii="Times New Roman" w:hAnsi="Times New Roman"/>
          <w:b/>
          <w:sz w:val="24"/>
        </w:rPr>
        <w:t>Table 3.1: Functional Requirements Specifications and Traceability Matrix</w:t>
      </w:r>
    </w:p>
    <w:tbl>
      <w:tblPr>
        <w:tblW w:type="auto" w:w="0"/>
        <w:jc w:val="center"/>
        <w:tblLook w:firstColumn="1" w:firstRow="1" w:lastColumn="0" w:lastRow="0" w:noHBand="0" w:noVBand="1" w:val="04A0"/>
      </w:tblPr>
      <w:tblGrid>
        <w:gridCol w:w="2167"/>
        <w:gridCol w:w="2167"/>
        <w:gridCol w:w="2167"/>
        <w:gridCol w:w="2167"/>
      </w:tblGrid>
      <w:tr>
        <w:tc>
          <w:tcPr>
            <w:tcW w:type="dxa" w:w="2167"/>
            <w:shd w:fill="F0F0F0"/>
          </w:tcPr>
          <w:p>
            <w:r>
              <w:rPr>
                <w:b/>
              </w:rPr>
              <w:t>Req ID</w:t>
            </w:r>
          </w:p>
        </w:tc>
        <w:tc>
          <w:tcPr>
            <w:tcW w:type="dxa" w:w="2167"/>
            <w:shd w:fill="F0F0F0"/>
          </w:tcPr>
          <w:p>
            <w:r>
              <w:rPr>
                <w:b/>
              </w:rPr>
              <w:t>Requirement Name</w:t>
            </w:r>
          </w:p>
        </w:tc>
        <w:tc>
          <w:tcPr>
            <w:tcW w:type="dxa" w:w="2167"/>
            <w:shd w:fill="F0F0F0"/>
          </w:tcPr>
          <w:p>
            <w:r>
              <w:rPr>
                <w:b/>
              </w:rPr>
              <w:t>Functional Description</w:t>
            </w:r>
          </w:p>
        </w:tc>
        <w:tc>
          <w:tcPr>
            <w:tcW w:type="dxa" w:w="2167"/>
            <w:shd w:fill="F0F0F0"/>
          </w:tcPr>
          <w:p>
            <w:r>
              <w:rPr>
                <w:b/>
              </w:rPr>
              <w:t>Priority</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FR-01</w:t>
            </w:r>
          </w:p>
        </w:tc>
        <w:tc>
          <w:tcPr>
            <w:tcW w:type="dxa" w:w="2167"/>
            <w:tcMar>
              <w:top w:w="60" w:type="dxa"/>
              <w:bottom w:w="60" w:type="dxa"/>
              <w:left w:w="80" w:type="dxa"/>
              <w:right w:w="80" w:type="dxa"/>
            </w:tcMar>
            <w:tcBorders>
              <w:bottom w:val="single" w:sz="4" w:space="0" w:color="E0E0E0"/>
            </w:tcBorders>
          </w:tcPr>
          <w:p>
            <w:pPr>
              <w:spacing w:line="276" w:lineRule="auto"/>
            </w:pPr>
            <w:r>
              <w:t>Stock Discovery &amp; Catalog</w:t>
            </w:r>
          </w:p>
        </w:tc>
        <w:tc>
          <w:tcPr>
            <w:tcW w:type="dxa" w:w="2167"/>
            <w:tcMar>
              <w:top w:w="60" w:type="dxa"/>
              <w:bottom w:w="60" w:type="dxa"/>
              <w:left w:w="80" w:type="dxa"/>
              <w:right w:w="80" w:type="dxa"/>
            </w:tcMar>
            <w:tcBorders>
              <w:bottom w:val="single" w:sz="4" w:space="0" w:color="E0E0E0"/>
            </w:tcBorders>
          </w:tcPr>
          <w:p>
            <w:pPr>
              <w:spacing w:line="276" w:lineRule="auto"/>
            </w:pPr>
            <w:r>
              <w:t>System must catalog all 649 NEPSE listed securities with sector classification and search filtering.</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FR-02</w:t>
            </w:r>
          </w:p>
        </w:tc>
        <w:tc>
          <w:tcPr>
            <w:tcW w:type="dxa" w:w="2167"/>
            <w:tcMar>
              <w:top w:w="60" w:type="dxa"/>
              <w:bottom w:w="60" w:type="dxa"/>
              <w:left w:w="80" w:type="dxa"/>
              <w:right w:w="80" w:type="dxa"/>
            </w:tcMar>
            <w:tcBorders>
              <w:bottom w:val="single" w:sz="4" w:space="0" w:color="E0E0E0"/>
            </w:tcBorders>
          </w:tcPr>
          <w:p>
            <w:pPr>
              <w:spacing w:line="276" w:lineRule="auto"/>
            </w:pPr>
            <w:r>
              <w:t>Historical Price Ingestion</w:t>
            </w:r>
          </w:p>
        </w:tc>
        <w:tc>
          <w:tcPr>
            <w:tcW w:type="dxa" w:w="2167"/>
            <w:tcMar>
              <w:top w:w="60" w:type="dxa"/>
              <w:bottom w:w="60" w:type="dxa"/>
              <w:left w:w="80" w:type="dxa"/>
              <w:right w:w="80" w:type="dxa"/>
            </w:tcMar>
            <w:tcBorders>
              <w:bottom w:val="single" w:sz="4" w:space="0" w:color="E0E0E0"/>
            </w:tcBorders>
          </w:tcPr>
          <w:p>
            <w:pPr>
              <w:spacing w:line="276" w:lineRule="auto"/>
            </w:pPr>
            <w:r>
              <w:t>System must fetch, parse, and persist daily OHLCV bars post-market close via automated schedulers.</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FR-03</w:t>
            </w:r>
          </w:p>
        </w:tc>
        <w:tc>
          <w:tcPr>
            <w:tcW w:type="dxa" w:w="2167"/>
            <w:tcMar>
              <w:top w:w="60" w:type="dxa"/>
              <w:bottom w:w="60" w:type="dxa"/>
              <w:left w:w="80" w:type="dxa"/>
              <w:right w:w="80" w:type="dxa"/>
            </w:tcMar>
            <w:tcBorders>
              <w:bottom w:val="single" w:sz="4" w:space="0" w:color="E0E0E0"/>
            </w:tcBorders>
          </w:tcPr>
          <w:p>
            <w:pPr>
              <w:spacing w:line="276" w:lineRule="auto"/>
            </w:pPr>
            <w:r>
              <w:t>Technical Indicator Engine</w:t>
            </w:r>
          </w:p>
        </w:tc>
        <w:tc>
          <w:tcPr>
            <w:tcW w:type="dxa" w:w="2167"/>
            <w:tcMar>
              <w:top w:w="60" w:type="dxa"/>
              <w:bottom w:w="60" w:type="dxa"/>
              <w:left w:w="80" w:type="dxa"/>
              <w:right w:w="80" w:type="dxa"/>
            </w:tcMar>
            <w:tcBorders>
              <w:bottom w:val="single" w:sz="4" w:space="0" w:color="E0E0E0"/>
            </w:tcBorders>
          </w:tcPr>
          <w:p>
            <w:pPr>
              <w:spacing w:line="276" w:lineRule="auto"/>
            </w:pPr>
            <w:r>
              <w:t>System must calculate RSI, MACD, EMA 12/26/50, SMA 20, and Bollinger Bands dynamically.</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FR-04</w:t>
            </w:r>
          </w:p>
        </w:tc>
        <w:tc>
          <w:tcPr>
            <w:tcW w:type="dxa" w:w="2167"/>
            <w:tcMar>
              <w:top w:w="60" w:type="dxa"/>
              <w:bottom w:w="60" w:type="dxa"/>
              <w:left w:w="80" w:type="dxa"/>
              <w:right w:w="80" w:type="dxa"/>
            </w:tcMar>
            <w:tcBorders>
              <w:bottom w:val="single" w:sz="4" w:space="0" w:color="E0E0E0"/>
            </w:tcBorders>
          </w:tcPr>
          <w:p>
            <w:pPr>
              <w:spacing w:line="276" w:lineRule="auto"/>
            </w:pPr>
            <w:r>
              <w:t>Hybrid AI Inference</w:t>
            </w:r>
          </w:p>
        </w:tc>
        <w:tc>
          <w:tcPr>
            <w:tcW w:type="dxa" w:w="2167"/>
            <w:tcMar>
              <w:top w:w="60" w:type="dxa"/>
              <w:bottom w:w="60" w:type="dxa"/>
              <w:left w:w="80" w:type="dxa"/>
              <w:right w:w="80" w:type="dxa"/>
            </w:tcMar>
            <w:tcBorders>
              <w:bottom w:val="single" w:sz="4" w:space="0" w:color="E0E0E0"/>
            </w:tcBorders>
          </w:tcPr>
          <w:p>
            <w:pPr>
              <w:spacing w:line="276" w:lineRule="auto"/>
            </w:pPr>
            <w:r>
              <w:t>System must generate Bullish/Bearish/Neutral predictions with confidence % via LSTM-XGBoost pipeline.</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FR-05</w:t>
            </w:r>
          </w:p>
        </w:tc>
        <w:tc>
          <w:tcPr>
            <w:tcW w:type="dxa" w:w="2167"/>
            <w:tcMar>
              <w:top w:w="60" w:type="dxa"/>
              <w:bottom w:w="60" w:type="dxa"/>
              <w:left w:w="80" w:type="dxa"/>
              <w:right w:w="80" w:type="dxa"/>
            </w:tcMar>
            <w:tcBorders>
              <w:bottom w:val="single" w:sz="4" w:space="0" w:color="E0E0E0"/>
            </w:tcBorders>
          </w:tcPr>
          <w:p>
            <w:pPr>
              <w:spacing w:line="276" w:lineRule="auto"/>
            </w:pPr>
            <w:r>
              <w:t>Interactive Chart Canvas</w:t>
            </w:r>
          </w:p>
        </w:tc>
        <w:tc>
          <w:tcPr>
            <w:tcW w:type="dxa" w:w="2167"/>
            <w:tcMar>
              <w:top w:w="60" w:type="dxa"/>
              <w:bottom w:w="60" w:type="dxa"/>
              <w:left w:w="80" w:type="dxa"/>
              <w:right w:w="80" w:type="dxa"/>
            </w:tcMar>
            <w:tcBorders>
              <w:bottom w:val="single" w:sz="4" w:space="0" w:color="E0E0E0"/>
            </w:tcBorders>
          </w:tcPr>
          <w:p>
            <w:pPr>
              <w:spacing w:line="276" w:lineRule="auto"/>
            </w:pPr>
            <w:r>
              <w:t>System must render candlestick and area charts with indicator overlays and dynamic timeframes.</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FR-06</w:t>
            </w:r>
          </w:p>
        </w:tc>
        <w:tc>
          <w:tcPr>
            <w:tcW w:type="dxa" w:w="2167"/>
            <w:tcMar>
              <w:top w:w="60" w:type="dxa"/>
              <w:bottom w:w="60" w:type="dxa"/>
              <w:left w:w="80" w:type="dxa"/>
              <w:right w:w="80" w:type="dxa"/>
            </w:tcMar>
            <w:tcBorders>
              <w:bottom w:val="single" w:sz="4" w:space="0" w:color="E0E0E0"/>
            </w:tcBorders>
          </w:tcPr>
          <w:p>
            <w:pPr>
              <w:spacing w:line="276" w:lineRule="auto"/>
            </w:pPr>
            <w:r>
              <w:t>Real-Time Alarm System</w:t>
            </w:r>
          </w:p>
        </w:tc>
        <w:tc>
          <w:tcPr>
            <w:tcW w:type="dxa" w:w="2167"/>
            <w:tcMar>
              <w:top w:w="60" w:type="dxa"/>
              <w:bottom w:w="60" w:type="dxa"/>
              <w:left w:w="80" w:type="dxa"/>
              <w:right w:w="80" w:type="dxa"/>
            </w:tcMar>
            <w:tcBorders>
              <w:bottom w:val="single" w:sz="4" w:space="0" w:color="E0E0E0"/>
            </w:tcBorders>
          </w:tcPr>
          <w:p>
            <w:pPr>
              <w:spacing w:line="276" w:lineRule="auto"/>
            </w:pPr>
            <w:r>
              <w:t>System must allow users to configure price, RSI, and MACD alerts with audio chimes and notifications.</w:t>
            </w:r>
          </w:p>
        </w:tc>
        <w:tc>
          <w:tcPr>
            <w:tcW w:type="dxa" w:w="2167"/>
            <w:tcMar>
              <w:top w:w="60" w:type="dxa"/>
              <w:bottom w:w="60" w:type="dxa"/>
              <w:left w:w="80" w:type="dxa"/>
              <w:right w:w="80" w:type="dxa"/>
            </w:tcMar>
            <w:tcBorders>
              <w:bottom w:val="single" w:sz="4" w:space="0" w:color="E0E0E0"/>
            </w:tcBorders>
          </w:tcPr>
          <w:p>
            <w:pPr>
              <w:spacing w:line="276" w:lineRule="auto"/>
            </w:pPr>
            <w:r>
              <w:t>High</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FR-07</w:t>
            </w:r>
          </w:p>
        </w:tc>
        <w:tc>
          <w:tcPr>
            <w:tcW w:type="dxa" w:w="2167"/>
            <w:tcMar>
              <w:top w:w="60" w:type="dxa"/>
              <w:bottom w:w="60" w:type="dxa"/>
              <w:left w:w="80" w:type="dxa"/>
              <w:right w:w="80" w:type="dxa"/>
            </w:tcMar>
            <w:tcBorders>
              <w:bottom w:val="single" w:sz="4" w:space="0" w:color="E0E0E0"/>
            </w:tcBorders>
          </w:tcPr>
          <w:p>
            <w:pPr>
              <w:spacing w:line="276" w:lineRule="auto"/>
            </w:pPr>
            <w:r>
              <w:t>Paper Trading Portfolio</w:t>
            </w:r>
          </w:p>
        </w:tc>
        <w:tc>
          <w:tcPr>
            <w:tcW w:type="dxa" w:w="2167"/>
            <w:tcMar>
              <w:top w:w="60" w:type="dxa"/>
              <w:bottom w:w="60" w:type="dxa"/>
              <w:left w:w="80" w:type="dxa"/>
              <w:right w:w="80" w:type="dxa"/>
            </w:tcMar>
            <w:tcBorders>
              <w:bottom w:val="single" w:sz="4" w:space="0" w:color="E0E0E0"/>
            </w:tcBorders>
          </w:tcPr>
          <w:p>
            <w:pPr>
              <w:spacing w:line="276" w:lineRule="auto"/>
            </w:pPr>
            <w:r>
              <w:t>System must allow users to record simulated buy trades, computing real-time PnL and sector diversification.</w:t>
            </w:r>
          </w:p>
        </w:tc>
        <w:tc>
          <w:tcPr>
            <w:tcW w:type="dxa" w:w="2167"/>
            <w:tcMar>
              <w:top w:w="60" w:type="dxa"/>
              <w:bottom w:w="60" w:type="dxa"/>
              <w:left w:w="80" w:type="dxa"/>
              <w:right w:w="80" w:type="dxa"/>
            </w:tcMar>
            <w:tcBorders>
              <w:bottom w:val="single" w:sz="4" w:space="0" w:color="E0E0E0"/>
            </w:tcBorders>
          </w:tcPr>
          <w:p>
            <w:pPr>
              <w:spacing w:line="276" w:lineRule="auto"/>
            </w:pPr>
            <w:r>
              <w:t>Medium</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FR-08</w:t>
            </w:r>
          </w:p>
        </w:tc>
        <w:tc>
          <w:tcPr>
            <w:tcW w:type="dxa" w:w="2167"/>
            <w:tcMar>
              <w:top w:w="60" w:type="dxa"/>
              <w:bottom w:w="60" w:type="dxa"/>
              <w:left w:w="80" w:type="dxa"/>
              <w:right w:w="80" w:type="dxa"/>
            </w:tcMar>
            <w:tcBorders>
              <w:bottom w:val="single" w:sz="4" w:space="0" w:color="E0E0E0"/>
            </w:tcBorders>
          </w:tcPr>
          <w:p>
            <w:pPr>
              <w:spacing w:line="276" w:lineRule="auto"/>
            </w:pPr>
            <w:r>
              <w:t>Market Movers Screener</w:t>
            </w:r>
          </w:p>
        </w:tc>
        <w:tc>
          <w:tcPr>
            <w:tcW w:type="dxa" w:w="2167"/>
            <w:tcMar>
              <w:top w:w="60" w:type="dxa"/>
              <w:bottom w:w="60" w:type="dxa"/>
              <w:left w:w="80" w:type="dxa"/>
              <w:right w:w="80" w:type="dxa"/>
            </w:tcMar>
            <w:tcBorders>
              <w:bottom w:val="single" w:sz="4" w:space="0" w:color="E0E0E0"/>
            </w:tcBorders>
          </w:tcPr>
          <w:p>
            <w:pPr>
              <w:spacing w:line="276" w:lineRule="auto"/>
            </w:pPr>
            <w:r>
              <w:t>System must compute Top Gainers, Losers, Turnover, and Volume rankings alongside Market Breadth.</w:t>
            </w:r>
          </w:p>
        </w:tc>
        <w:tc>
          <w:tcPr>
            <w:tcW w:type="dxa" w:w="2167"/>
            <w:tcMar>
              <w:top w:w="60" w:type="dxa"/>
              <w:bottom w:w="60" w:type="dxa"/>
              <w:left w:w="80" w:type="dxa"/>
              <w:right w:w="80" w:type="dxa"/>
            </w:tcMar>
            <w:tcBorders>
              <w:bottom w:val="single" w:sz="4" w:space="0" w:color="E0E0E0"/>
            </w:tcBorders>
          </w:tcPr>
          <w:p>
            <w:pPr>
              <w:spacing w:line="276" w:lineRule="auto"/>
            </w:pPr>
            <w:r>
              <w:t>Medium</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FR-09</w:t>
            </w:r>
          </w:p>
        </w:tc>
        <w:tc>
          <w:tcPr>
            <w:tcW w:type="dxa" w:w="2167"/>
            <w:tcMar>
              <w:top w:w="60" w:type="dxa"/>
              <w:bottom w:w="60" w:type="dxa"/>
              <w:left w:w="80" w:type="dxa"/>
              <w:right w:w="80" w:type="dxa"/>
            </w:tcMar>
            <w:tcBorders>
              <w:bottom w:val="single" w:sz="4" w:space="0" w:color="E0E0E0"/>
            </w:tcBorders>
          </w:tcPr>
          <w:p>
            <w:pPr>
              <w:spacing w:line="276" w:lineRule="auto"/>
            </w:pPr>
            <w:r>
              <w:t>Multi-Stock Comparison</w:t>
            </w:r>
          </w:p>
        </w:tc>
        <w:tc>
          <w:tcPr>
            <w:tcW w:type="dxa" w:w="2167"/>
            <w:tcMar>
              <w:top w:w="60" w:type="dxa"/>
              <w:bottom w:w="60" w:type="dxa"/>
              <w:left w:w="80" w:type="dxa"/>
              <w:right w:w="80" w:type="dxa"/>
            </w:tcMar>
            <w:tcBorders>
              <w:bottom w:val="single" w:sz="4" w:space="0" w:color="E0E0E0"/>
            </w:tcBorders>
          </w:tcPr>
          <w:p>
            <w:pPr>
              <w:spacing w:line="276" w:lineRule="auto"/>
            </w:pPr>
            <w:r>
              <w:t>System must display a side-by-side comparative matrix of valuation, volatility, and AI sentiment.</w:t>
            </w:r>
          </w:p>
        </w:tc>
        <w:tc>
          <w:tcPr>
            <w:tcW w:type="dxa" w:w="2167"/>
            <w:tcMar>
              <w:top w:w="60" w:type="dxa"/>
              <w:bottom w:w="60" w:type="dxa"/>
              <w:left w:w="80" w:type="dxa"/>
              <w:right w:w="80" w:type="dxa"/>
            </w:tcMar>
            <w:tcBorders>
              <w:bottom w:val="single" w:sz="4" w:space="0" w:color="E0E0E0"/>
            </w:tcBorders>
          </w:tcPr>
          <w:p>
            <w:pPr>
              <w:spacing w:line="276" w:lineRule="auto"/>
            </w:pPr>
            <w:r>
              <w:t>Medium</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FR-10</w:t>
            </w:r>
          </w:p>
        </w:tc>
        <w:tc>
          <w:tcPr>
            <w:tcW w:type="dxa" w:w="2167"/>
            <w:tcMar>
              <w:top w:w="60" w:type="dxa"/>
              <w:bottom w:w="60" w:type="dxa"/>
              <w:left w:w="80" w:type="dxa"/>
              <w:right w:w="80" w:type="dxa"/>
            </w:tcMar>
            <w:tcBorders>
              <w:bottom w:val="single" w:sz="4" w:space="0" w:color="E0E0E0"/>
            </w:tcBorders>
          </w:tcPr>
          <w:p>
            <w:pPr>
              <w:spacing w:line="276" w:lineRule="auto"/>
            </w:pPr>
            <w:r>
              <w:t>Strategy Backtest Simulator</w:t>
            </w:r>
          </w:p>
        </w:tc>
        <w:tc>
          <w:tcPr>
            <w:tcW w:type="dxa" w:w="2167"/>
            <w:tcMar>
              <w:top w:w="60" w:type="dxa"/>
              <w:bottom w:w="60" w:type="dxa"/>
              <w:left w:w="80" w:type="dxa"/>
              <w:right w:w="80" w:type="dxa"/>
            </w:tcMar>
            <w:tcBorders>
              <w:bottom w:val="single" w:sz="4" w:space="0" w:color="E0E0E0"/>
            </w:tcBorders>
          </w:tcPr>
          <w:p>
            <w:pPr>
              <w:spacing w:line="276" w:lineRule="auto"/>
            </w:pPr>
            <w:r>
              <w:t>System must run 60-session historical signal backtests calculating Win Rate % and Profit Factor.</w:t>
            </w:r>
          </w:p>
        </w:tc>
        <w:tc>
          <w:tcPr>
            <w:tcW w:type="dxa" w:w="2167"/>
            <w:tcMar>
              <w:top w:w="60" w:type="dxa"/>
              <w:bottom w:w="60" w:type="dxa"/>
              <w:left w:w="80" w:type="dxa"/>
              <w:right w:w="80" w:type="dxa"/>
            </w:tcMar>
            <w:tcBorders>
              <w:bottom w:val="single" w:sz="4" w:space="0" w:color="E0E0E0"/>
            </w:tcBorders>
          </w:tcPr>
          <w:p>
            <w:pPr>
              <w:spacing w:line="276" w:lineRule="auto"/>
            </w:pPr>
            <w:r>
              <w:t>Medium</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FR-11</w:t>
            </w:r>
          </w:p>
        </w:tc>
        <w:tc>
          <w:tcPr>
            <w:tcW w:type="dxa" w:w="2167"/>
            <w:tcMar>
              <w:top w:w="60" w:type="dxa"/>
              <w:bottom w:w="60" w:type="dxa"/>
              <w:left w:w="80" w:type="dxa"/>
              <w:right w:w="80" w:type="dxa"/>
            </w:tcMar>
            <w:tcBorders>
              <w:bottom w:val="single" w:sz="4" w:space="0" w:color="E0E0E0"/>
            </w:tcBorders>
          </w:tcPr>
          <w:p>
            <w:pPr>
              <w:spacing w:line="276" w:lineRule="auto"/>
            </w:pPr>
            <w:r>
              <w:t>Data Export Utility</w:t>
            </w:r>
          </w:p>
        </w:tc>
        <w:tc>
          <w:tcPr>
            <w:tcW w:type="dxa" w:w="2167"/>
            <w:tcMar>
              <w:top w:w="60" w:type="dxa"/>
              <w:bottom w:w="60" w:type="dxa"/>
              <w:left w:w="80" w:type="dxa"/>
              <w:right w:w="80" w:type="dxa"/>
            </w:tcMar>
            <w:tcBorders>
              <w:bottom w:val="single" w:sz="4" w:space="0" w:color="E0E0E0"/>
            </w:tcBorders>
          </w:tcPr>
          <w:p>
            <w:pPr>
              <w:spacing w:line="276" w:lineRule="auto"/>
            </w:pPr>
            <w:r>
              <w:t>System must allow 1-click download of enriched time-series datasets in CSV format.</w:t>
            </w:r>
          </w:p>
        </w:tc>
        <w:tc>
          <w:tcPr>
            <w:tcW w:type="dxa" w:w="2167"/>
            <w:tcMar>
              <w:top w:w="60" w:type="dxa"/>
              <w:bottom w:w="60" w:type="dxa"/>
              <w:left w:w="80" w:type="dxa"/>
              <w:right w:w="80" w:type="dxa"/>
            </w:tcMar>
            <w:tcBorders>
              <w:bottom w:val="single" w:sz="4" w:space="0" w:color="E0E0E0"/>
            </w:tcBorders>
          </w:tcPr>
          <w:p>
            <w:pPr>
              <w:spacing w:line="276" w:lineRule="auto"/>
            </w:pPr>
            <w:r>
              <w:t>Low</w:t>
            </w:r>
          </w:p>
        </w:tc>
      </w:tr>
    </w:tbl>
    <w:p>
      <w:pPr>
        <w:spacing w:before="0" w:after="120" w:line="360" w:lineRule="auto"/>
        <w:jc w:val="both"/>
      </w:pPr>
      <w:r>
        <w:rPr>
          <w:rFonts w:ascii="Times New Roman" w:hAnsi="Times New Roman"/>
          <w:b w:val="0"/>
          <w:i w:val="0"/>
          <w:sz w:val="24"/>
        </w:rPr>
        <w:t>Use Case Model Overview:</w:t>
      </w:r>
    </w:p>
    <w:p>
      <w:pPr>
        <w:spacing w:before="0" w:after="120" w:line="360" w:lineRule="auto"/>
        <w:jc w:val="both"/>
      </w:pPr>
      <w:r>
        <w:rPr>
          <w:rFonts w:ascii="Times New Roman" w:hAnsi="Times New Roman"/>
          <w:b w:val="0"/>
          <w:i w:val="0"/>
          <w:sz w:val="24"/>
        </w:rPr>
        <w:t>The primary actors interacting with the system are the Retail Investor / Market Analyst and the System Administrator / Background Scheduler. The Investor searches securities, toggles chart indicators, views AI forecasts, manages price alerts, tracks portfolio holdings, and compares assets. The Background Scheduler autonomously synchronizes market prices and triggers alert evaluation passes.</w:t>
      </w:r>
    </w:p>
    <w:p>
      <w:pPr>
        <w:spacing w:before="80" w:after="240"/>
        <w:jc w:val="center"/>
      </w:pPr>
      <w:r>
        <w:rPr>
          <w:rFonts w:ascii="Times New Roman" w:hAnsi="Times New Roman"/>
          <w:b/>
          <w:sz w:val="24"/>
        </w:rPr>
        <w:t>Figure 3.1: System Use Case Diagram for NEPSE AI Platform</w:t>
      </w:r>
    </w:p>
    <w:p>
      <w:pPr>
        <w:spacing w:before="0" w:after="120" w:line="360" w:lineRule="auto"/>
        <w:jc w:val="both"/>
      </w:pPr>
      <w:r>
        <w:rPr>
          <w:rFonts w:ascii="Times New Roman" w:hAnsi="Times New Roman"/>
          <w:b w:val="0"/>
          <w:i w:val="0"/>
          <w:sz w:val="24"/>
        </w:rPr>
        <w:t>ii. Non-Functional Requirements:</w:t>
      </w:r>
    </w:p>
    <w:p>
      <w:pPr>
        <w:keepNext/>
        <w:spacing w:before="240" w:after="80"/>
        <w:jc w:val="center"/>
      </w:pPr>
      <w:r>
        <w:rPr>
          <w:rFonts w:ascii="Times New Roman" w:hAnsi="Times New Roman"/>
          <w:b/>
          <w:sz w:val="24"/>
        </w:rPr>
        <w:t>Table 3.2: Non-Functional Engineering Quality Attributes</w:t>
      </w:r>
    </w:p>
    <w:tbl>
      <w:tblPr>
        <w:tblW w:type="auto" w:w="0"/>
        <w:jc w:val="center"/>
        <w:tblLook w:firstColumn="1" w:firstRow="1" w:lastColumn="0" w:lastRow="0" w:noHBand="0" w:noVBand="1" w:val="04A0"/>
      </w:tblPr>
      <w:tblGrid>
        <w:gridCol w:w="2890"/>
        <w:gridCol w:w="2890"/>
        <w:gridCol w:w="2890"/>
      </w:tblGrid>
      <w:tr>
        <w:tc>
          <w:tcPr>
            <w:tcW w:type="dxa" w:w="2890"/>
            <w:shd w:fill="F0F0F0"/>
          </w:tcPr>
          <w:p>
            <w:r>
              <w:rPr>
                <w:b/>
              </w:rPr>
              <w:t>Attribute</w:t>
            </w:r>
          </w:p>
        </w:tc>
        <w:tc>
          <w:tcPr>
            <w:tcW w:type="dxa" w:w="2890"/>
            <w:shd w:fill="F0F0F0"/>
          </w:tcPr>
          <w:p>
            <w:r>
              <w:rPr>
                <w:b/>
              </w:rPr>
              <w:t>Quality Metric / Standard</w:t>
            </w:r>
          </w:p>
        </w:tc>
        <w:tc>
          <w:tcPr>
            <w:tcW w:type="dxa" w:w="2890"/>
            <w:shd w:fill="F0F0F0"/>
          </w:tcPr>
          <w:p>
            <w:r>
              <w:rPr>
                <w:b/>
              </w:rPr>
              <w:t>Architectural Realization</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Performance</w:t>
            </w:r>
          </w:p>
        </w:tc>
        <w:tc>
          <w:tcPr>
            <w:tcW w:type="dxa" w:w="2890"/>
            <w:tcMar>
              <w:top w:w="60" w:type="dxa"/>
              <w:bottom w:w="60" w:type="dxa"/>
              <w:left w:w="80" w:type="dxa"/>
              <w:right w:w="80" w:type="dxa"/>
            </w:tcMar>
            <w:tcBorders>
              <w:bottom w:val="single" w:sz="4" w:space="0" w:color="E0E0E0"/>
            </w:tcBorders>
          </w:tcPr>
          <w:p>
            <w:pPr>
              <w:spacing w:line="276" w:lineRule="auto"/>
            </w:pPr>
            <w:r>
              <w:t>API response latency &lt; 50ms for price histories; &lt; 150ms for ML predictions.</w:t>
            </w:r>
          </w:p>
        </w:tc>
        <w:tc>
          <w:tcPr>
            <w:tcW w:type="dxa" w:w="2890"/>
            <w:tcMar>
              <w:top w:w="60" w:type="dxa"/>
              <w:bottom w:w="60" w:type="dxa"/>
              <w:left w:w="80" w:type="dxa"/>
              <w:right w:w="80" w:type="dxa"/>
            </w:tcMar>
            <w:tcBorders>
              <w:bottom w:val="single" w:sz="4" w:space="0" w:color="E0E0E0"/>
            </w:tcBorders>
          </w:tcPr>
          <w:p>
            <w:pPr>
              <w:spacing w:line="276" w:lineRule="auto"/>
            </w:pPr>
            <w:r>
              <w:t>Local database caching, indexing on symbol and date, pre-computed technical indicators.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Reliability &amp; Resilience</w:t>
            </w:r>
          </w:p>
        </w:tc>
        <w:tc>
          <w:tcPr>
            <w:tcW w:type="dxa" w:w="2890"/>
            <w:tcMar>
              <w:top w:w="60" w:type="dxa"/>
              <w:bottom w:w="60" w:type="dxa"/>
              <w:left w:w="80" w:type="dxa"/>
              <w:right w:w="80" w:type="dxa"/>
            </w:tcMar>
            <w:tcBorders>
              <w:bottom w:val="single" w:sz="4" w:space="0" w:color="E0E0E0"/>
            </w:tcBorders>
          </w:tcPr>
          <w:p>
            <w:pPr>
              <w:spacing w:line="276" w:lineRule="auto"/>
            </w:pPr>
            <w:r>
              <w:t>Zero downtime on client dashboard even during external NEPSE portal downtime.</w:t>
            </w:r>
          </w:p>
        </w:tc>
        <w:tc>
          <w:tcPr>
            <w:tcW w:type="dxa" w:w="2890"/>
            <w:tcMar>
              <w:top w:w="60" w:type="dxa"/>
              <w:bottom w:w="60" w:type="dxa"/>
              <w:left w:w="80" w:type="dxa"/>
              <w:right w:w="80" w:type="dxa"/>
            </w:tcMar>
            <w:tcBorders>
              <w:bottom w:val="single" w:sz="4" w:space="0" w:color="E0E0E0"/>
            </w:tcBorders>
          </w:tcPr>
          <w:p>
            <w:pPr>
              <w:spacing w:line="276" w:lineRule="auto"/>
            </w:pPr>
            <w:r>
              <w:t>Dual-tier fallback mechanism: local database persistence + client-side synthetic fallback generator.</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Availability</w:t>
            </w:r>
          </w:p>
        </w:tc>
        <w:tc>
          <w:tcPr>
            <w:tcW w:type="dxa" w:w="2890"/>
            <w:tcMar>
              <w:top w:w="60" w:type="dxa"/>
              <w:bottom w:w="60" w:type="dxa"/>
              <w:left w:w="80" w:type="dxa"/>
              <w:right w:w="80" w:type="dxa"/>
            </w:tcMar>
            <w:tcBorders>
              <w:bottom w:val="single" w:sz="4" w:space="0" w:color="E0E0E0"/>
            </w:tcBorders>
          </w:tcPr>
          <w:p>
            <w:pPr>
              <w:spacing w:line="276" w:lineRule="auto"/>
            </w:pPr>
            <w:r>
              <w:t>System operational 24/7 with offline execution capability.</w:t>
            </w:r>
          </w:p>
        </w:tc>
        <w:tc>
          <w:tcPr>
            <w:tcW w:type="dxa" w:w="2890"/>
            <w:tcMar>
              <w:top w:w="60" w:type="dxa"/>
              <w:bottom w:w="60" w:type="dxa"/>
              <w:left w:w="80" w:type="dxa"/>
              <w:right w:w="80" w:type="dxa"/>
            </w:tcMar>
            <w:tcBorders>
              <w:bottom w:val="single" w:sz="4" w:space="0" w:color="E0E0E0"/>
            </w:tcBorders>
          </w:tcPr>
          <w:p>
            <w:pPr>
              <w:spacing w:line="276" w:lineRule="auto"/>
            </w:pPr>
            <w:r>
              <w:t>Prisma SQLite local zero-config database option alongside cloud PostgreSQL schema.</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Usability &amp; a11y</w:t>
            </w:r>
          </w:p>
        </w:tc>
        <w:tc>
          <w:tcPr>
            <w:tcW w:type="dxa" w:w="2890"/>
            <w:tcMar>
              <w:top w:w="60" w:type="dxa"/>
              <w:bottom w:w="60" w:type="dxa"/>
              <w:left w:w="80" w:type="dxa"/>
              <w:right w:w="80" w:type="dxa"/>
            </w:tcMar>
            <w:tcBorders>
              <w:bottom w:val="single" w:sz="4" w:space="0" w:color="E0E0E0"/>
            </w:tcBorders>
          </w:tcPr>
          <w:p>
            <w:pPr>
              <w:spacing w:line="276" w:lineRule="auto"/>
            </w:pPr>
            <w:r>
              <w:t>Lighthouse accessibility score &gt; 90; high contrast ratios; mobile-first responsiveness.</w:t>
            </w:r>
          </w:p>
        </w:tc>
        <w:tc>
          <w:tcPr>
            <w:tcW w:type="dxa" w:w="2890"/>
            <w:tcMar>
              <w:top w:w="60" w:type="dxa"/>
              <w:bottom w:w="60" w:type="dxa"/>
              <w:left w:w="80" w:type="dxa"/>
              <w:right w:w="80" w:type="dxa"/>
            </w:tcMar>
            <w:tcBorders>
              <w:bottom w:val="single" w:sz="4" w:space="0" w:color="E0E0E0"/>
            </w:tcBorders>
          </w:tcPr>
          <w:p>
            <w:pPr>
              <w:spacing w:line="276" w:lineRule="auto"/>
            </w:pPr>
            <w:r>
              <w:t>Tailwind CSS dark mode palette (#0e1117), semantic HTML5 tags, keyboard navigation shortcuts.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Security</w:t>
            </w:r>
          </w:p>
        </w:tc>
        <w:tc>
          <w:tcPr>
            <w:tcW w:type="dxa" w:w="2890"/>
            <w:tcMar>
              <w:top w:w="60" w:type="dxa"/>
              <w:bottom w:w="60" w:type="dxa"/>
              <w:left w:w="80" w:type="dxa"/>
              <w:right w:w="80" w:type="dxa"/>
            </w:tcMar>
            <w:tcBorders>
              <w:bottom w:val="single" w:sz="4" w:space="0" w:color="E0E0E0"/>
            </w:tcBorders>
          </w:tcPr>
          <w:p>
            <w:pPr>
              <w:spacing w:line="276" w:lineRule="auto"/>
            </w:pPr>
            <w:r>
              <w:t>CORS policy enforcement, input validation pipes, sanitized database queries.</w:t>
            </w:r>
          </w:p>
        </w:tc>
        <w:tc>
          <w:tcPr>
            <w:tcW w:type="dxa" w:w="2890"/>
            <w:tcMar>
              <w:top w:w="60" w:type="dxa"/>
              <w:bottom w:w="60" w:type="dxa"/>
              <w:left w:w="80" w:type="dxa"/>
              <w:right w:w="80" w:type="dxa"/>
            </w:tcMar>
            <w:tcBorders>
              <w:bottom w:val="single" w:sz="4" w:space="0" w:color="E0E0E0"/>
            </w:tcBorders>
          </w:tcPr>
          <w:p>
            <w:pPr>
              <w:spacing w:line="276" w:lineRule="auto"/>
            </w:pPr>
            <w:r>
              <w:t>NestJS ValidationPipe with class-validator; parameterized SQL queries via Prisma ORM.</w:t>
            </w:r>
          </w:p>
        </w:tc>
      </w:tr>
    </w:tbl>
    <w:p>
      <w:pPr>
        <w:keepNext/>
        <w:spacing w:before="200" w:after="80" w:line="276" w:lineRule="auto"/>
        <w:jc w:val="left"/>
      </w:pPr>
      <w:r>
        <w:rPr>
          <w:rFonts w:ascii="Times New Roman" w:hAnsi="Times New Roman"/>
          <w:b/>
          <w:sz w:val="24"/>
        </w:rPr>
        <w:t>3.1.2 Feasibility Analysis</w:t>
      </w:r>
    </w:p>
    <w:p>
      <w:pPr>
        <w:spacing w:before="0" w:after="120" w:line="360" w:lineRule="auto"/>
        <w:jc w:val="both"/>
      </w:pPr>
      <w:r>
        <w:rPr>
          <w:rFonts w:ascii="Times New Roman" w:hAnsi="Times New Roman"/>
          <w:b w:val="0"/>
          <w:i w:val="0"/>
          <w:sz w:val="24"/>
        </w:rPr>
        <w:t>1. Technical Feasibility: The technology stack comprises robust, industry-standard modern platforms: TypeScript with NestJS for enterprise backend services, React 19 with Vite for ultra-fast UI rendering, Prisma ORM for database abstraction, and Python FastAPI with PyTorch and XGBoost for specialized ML inference. All tools are open-source with active LTS support.</w:t>
      </w:r>
    </w:p>
    <w:p>
      <w:pPr>
        <w:spacing w:before="0" w:after="120" w:line="360" w:lineRule="auto"/>
        <w:jc w:val="both"/>
      </w:pPr>
      <w:r>
        <w:rPr>
          <w:rFonts w:ascii="Times New Roman" w:hAnsi="Times New Roman"/>
          <w:b w:val="0"/>
          <w:i w:val="0"/>
          <w:sz w:val="24"/>
        </w:rPr>
        <w:t>2. Operational Feasibility: The platform requires zero installation overhead for end-users, operating seamlessly across any modern web browser. The user interface follows standard financial terminal ergonomics familiar to users of TradingView and Bloomberg terminals.</w:t>
      </w:r>
    </w:p>
    <w:p>
      <w:pPr>
        <w:spacing w:before="0" w:after="120" w:line="360" w:lineRule="auto"/>
        <w:jc w:val="both"/>
      </w:pPr>
      <w:r>
        <w:rPr>
          <w:rFonts w:ascii="Times New Roman" w:hAnsi="Times New Roman"/>
          <w:b w:val="0"/>
          <w:i w:val="0"/>
          <w:sz w:val="24"/>
        </w:rPr>
        <w:t>3. Economic Feasibility: The architecture is exceptionally cost-effective. The entire stack runs locally with zero infrastructure expenses during development and can be deployed on free/low-cost tiers (Render, Supabase, Vercel) for public hosting.</w:t>
      </w:r>
    </w:p>
    <w:p>
      <w:pPr>
        <w:spacing w:before="0" w:after="120" w:line="360" w:lineRule="auto"/>
        <w:jc w:val="both"/>
      </w:pPr>
      <w:r>
        <w:rPr>
          <w:rFonts w:ascii="Times New Roman" w:hAnsi="Times New Roman"/>
          <w:b w:val="0"/>
          <w:i w:val="0"/>
          <w:sz w:val="24"/>
        </w:rPr>
        <w:t>4. Schedule Feasibility: The project timeline spanned 16 weeks across five iterations, comfortably fitting within the BCA 6th semester curriculum deadlines.</w:t>
      </w:r>
    </w:p>
    <w:p>
      <w:pPr>
        <w:keepNext/>
        <w:spacing w:before="200" w:after="80" w:line="276" w:lineRule="auto"/>
        <w:jc w:val="left"/>
      </w:pPr>
      <w:r>
        <w:rPr>
          <w:rFonts w:ascii="Times New Roman" w:hAnsi="Times New Roman"/>
          <w:b/>
          <w:sz w:val="24"/>
        </w:rPr>
        <w:t>3.1.3 Object Modelling (Class Diagram &amp; Object Relationships)</w:t>
      </w:r>
    </w:p>
    <w:p>
      <w:pPr>
        <w:spacing w:before="0" w:after="120" w:line="360" w:lineRule="auto"/>
        <w:jc w:val="both"/>
      </w:pPr>
      <w:r>
        <w:rPr>
          <w:rFonts w:ascii="Times New Roman" w:hAnsi="Times New Roman"/>
          <w:b w:val="0"/>
          <w:i w:val="0"/>
          <w:sz w:val="24"/>
        </w:rPr>
        <w:t>The Object-Oriented domain model structures the core entities and services governing the platform. Key classes include:</w:t>
      </w:r>
    </w:p>
    <w:p>
      <w:pPr>
        <w:spacing w:before="0" w:after="120" w:line="360" w:lineRule="auto"/>
        <w:jc w:val="both"/>
      </w:pPr>
      <w:r>
        <w:rPr>
          <w:rFonts w:ascii="Times New Roman" w:hAnsi="Times New Roman"/>
          <w:b w:val="0"/>
          <w:i w:val="0"/>
          <w:sz w:val="24"/>
        </w:rPr>
        <w:t>• Company: Represents listed securities (symbol, name, sector).</w:t>
      </w:r>
    </w:p>
    <w:p>
      <w:pPr>
        <w:spacing w:before="0" w:after="120" w:line="360" w:lineRule="auto"/>
        <w:jc w:val="both"/>
      </w:pPr>
      <w:r>
        <w:rPr>
          <w:rFonts w:ascii="Times New Roman" w:hAnsi="Times New Roman"/>
          <w:b w:val="0"/>
          <w:i w:val="0"/>
          <w:sz w:val="24"/>
        </w:rPr>
        <w:t>• DailyPrice: Encapsulates OHLCV market bars and calculated technical metrics.</w:t>
      </w:r>
    </w:p>
    <w:p>
      <w:pPr>
        <w:spacing w:before="0" w:after="120" w:line="360" w:lineRule="auto"/>
        <w:jc w:val="both"/>
      </w:pPr>
      <w:r>
        <w:rPr>
          <w:rFonts w:ascii="Times New Roman" w:hAnsi="Times New Roman"/>
          <w:b w:val="0"/>
          <w:i w:val="0"/>
          <w:sz w:val="24"/>
        </w:rPr>
        <w:t>• Alert: Encapsulates price target and indicator trigger configurations.</w:t>
      </w:r>
    </w:p>
    <w:p>
      <w:pPr>
        <w:spacing w:before="0" w:after="120" w:line="360" w:lineRule="auto"/>
        <w:jc w:val="both"/>
      </w:pPr>
      <w:r>
        <w:rPr>
          <w:rFonts w:ascii="Times New Roman" w:hAnsi="Times New Roman"/>
          <w:b w:val="0"/>
          <w:i w:val="0"/>
          <w:sz w:val="24"/>
        </w:rPr>
        <w:t>• PortfolioPosition: Manages paper trading positions, buy price, quantity, and unrealized profit.</w:t>
      </w:r>
    </w:p>
    <w:p>
      <w:pPr>
        <w:spacing w:before="0" w:after="120" w:line="360" w:lineRule="auto"/>
        <w:jc w:val="both"/>
      </w:pPr>
      <w:r>
        <w:rPr>
          <w:rFonts w:ascii="Times New Roman" w:hAnsi="Times New Roman"/>
          <w:b w:val="0"/>
          <w:i w:val="0"/>
          <w:sz w:val="24"/>
        </w:rPr>
        <w:t>• StockService: Service class handling mathematical calculations and multi-asset rankings.</w:t>
      </w:r>
    </w:p>
    <w:p>
      <w:pPr>
        <w:spacing w:before="0" w:after="120" w:line="360" w:lineRule="auto"/>
        <w:jc w:val="both"/>
      </w:pPr>
      <w:r>
        <w:rPr>
          <w:rFonts w:ascii="Times New Roman" w:hAnsi="Times New Roman"/>
          <w:b w:val="0"/>
          <w:i w:val="0"/>
          <w:sz w:val="24"/>
        </w:rPr>
        <w:t>• AlertsService: Service class managing alert evaluation and notification triggers.</w:t>
      </w:r>
    </w:p>
    <w:p>
      <w:pPr>
        <w:spacing w:before="0" w:after="120" w:line="360" w:lineRule="auto"/>
        <w:jc w:val="both"/>
      </w:pPr>
      <w:r>
        <w:rPr>
          <w:rFonts w:ascii="Times New Roman" w:hAnsi="Times New Roman"/>
          <w:b w:val="0"/>
          <w:i w:val="0"/>
          <w:sz w:val="24"/>
        </w:rPr>
        <w:t>• PortfolioService: Service class performing mark-to-market valuations and sector allocations.</w:t>
      </w:r>
    </w:p>
    <w:p>
      <w:pPr>
        <w:spacing w:before="0" w:after="120" w:line="360" w:lineRule="auto"/>
        <w:jc w:val="both"/>
      </w:pPr>
      <w:r>
        <w:rPr>
          <w:rFonts w:ascii="Times New Roman" w:hAnsi="Times New Roman"/>
          <w:b w:val="0"/>
          <w:i w:val="0"/>
          <w:sz w:val="24"/>
        </w:rPr>
        <w:t>• HybridModel: Python class encapsulating PyTorch LSTM and XGBoost models.</w:t>
      </w:r>
    </w:p>
    <w:p>
      <w:pPr>
        <w:spacing w:before="80" w:after="240"/>
        <w:jc w:val="center"/>
      </w:pPr>
      <w:r>
        <w:rPr>
          <w:rFonts w:ascii="Times New Roman" w:hAnsi="Times New Roman"/>
          <w:b/>
          <w:sz w:val="24"/>
        </w:rPr>
        <w:t>Figure 3.2: UML Class Diagram Representing Core Domain Entities</w:t>
      </w:r>
    </w:p>
    <w:p>
      <w:pPr>
        <w:keepNext/>
        <w:spacing w:before="200" w:after="80" w:line="276" w:lineRule="auto"/>
        <w:jc w:val="left"/>
      </w:pPr>
      <w:r>
        <w:rPr>
          <w:rFonts w:ascii="Times New Roman" w:hAnsi="Times New Roman"/>
          <w:b/>
          <w:sz w:val="24"/>
        </w:rPr>
        <w:t>3.1.4 Dynamic Modelling (Sequence &amp; State Diagrams)</w:t>
      </w:r>
    </w:p>
    <w:p>
      <w:pPr>
        <w:spacing w:before="0" w:after="120" w:line="360" w:lineRule="auto"/>
        <w:jc w:val="both"/>
      </w:pPr>
      <w:r>
        <w:rPr>
          <w:rFonts w:ascii="Times New Roman" w:hAnsi="Times New Roman"/>
          <w:b w:val="0"/>
          <w:i w:val="0"/>
          <w:sz w:val="24"/>
        </w:rPr>
        <w:t>Sequence Diagram for Real-Time Price Ingestion and Alert Evaluation:</w:t>
      </w:r>
    </w:p>
    <w:p>
      <w:pPr>
        <w:spacing w:before="0" w:after="120" w:line="360" w:lineRule="auto"/>
        <w:jc w:val="both"/>
      </w:pPr>
      <w:r>
        <w:rPr>
          <w:rFonts w:ascii="Times New Roman" w:hAnsi="Times New Roman"/>
          <w:b w:val="0"/>
          <w:i w:val="0"/>
          <w:sz w:val="24"/>
        </w:rPr>
        <w:t>1. Cron scheduler triggers MarketDataService.updateDailyMarketData().</w:t>
      </w:r>
    </w:p>
    <w:p>
      <w:pPr>
        <w:spacing w:before="0" w:after="120" w:line="360" w:lineRule="auto"/>
        <w:jc w:val="both"/>
      </w:pPr>
      <w:r>
        <w:rPr>
          <w:rFonts w:ascii="Times New Roman" w:hAnsi="Times New Roman"/>
          <w:b w:val="0"/>
          <w:i w:val="0"/>
          <w:sz w:val="24"/>
        </w:rPr>
        <w:t>2. Service retrieves live EOD prices from @rumess/nepse-api.</w:t>
      </w:r>
    </w:p>
    <w:p>
      <w:pPr>
        <w:spacing w:before="0" w:after="120" w:line="360" w:lineRule="auto"/>
        <w:jc w:val="both"/>
      </w:pPr>
      <w:r>
        <w:rPr>
          <w:rFonts w:ascii="Times New Roman" w:hAnsi="Times New Roman"/>
          <w:b w:val="0"/>
          <w:i w:val="0"/>
          <w:sz w:val="24"/>
        </w:rPr>
        <w:t>3. Prices are upserted into PostgreSQL/SQLite via DatabaseService.</w:t>
      </w:r>
    </w:p>
    <w:p>
      <w:pPr>
        <w:spacing w:before="0" w:after="120" w:line="360" w:lineRule="auto"/>
        <w:jc w:val="both"/>
      </w:pPr>
      <w:r>
        <w:rPr>
          <w:rFonts w:ascii="Times New Roman" w:hAnsi="Times New Roman"/>
          <w:b w:val="0"/>
          <w:i w:val="0"/>
          <w:sz w:val="24"/>
        </w:rPr>
        <w:t>4. AlertsService is invoked to evaluate active alerts against fresh prices.</w:t>
      </w:r>
    </w:p>
    <w:p>
      <w:pPr>
        <w:spacing w:before="0" w:after="120" w:line="360" w:lineRule="auto"/>
        <w:jc w:val="both"/>
      </w:pPr>
      <w:r>
        <w:rPr>
          <w:rFonts w:ascii="Times New Roman" w:hAnsi="Times New Roman"/>
          <w:b w:val="0"/>
          <w:i w:val="0"/>
          <w:sz w:val="24"/>
        </w:rPr>
        <w:t>5. Triggered alerts update database flags, play client-side Web Audio chimes, and fire desktop notifications.</w:t>
      </w:r>
    </w:p>
    <w:p>
      <w:pPr>
        <w:spacing w:before="80" w:after="240"/>
        <w:jc w:val="center"/>
      </w:pPr>
      <w:r>
        <w:rPr>
          <w:rFonts w:ascii="Times New Roman" w:hAnsi="Times New Roman"/>
          <w:b/>
          <w:sz w:val="24"/>
        </w:rPr>
        <w:t>Figure 3.3: Sequence Diagram for Real-Time Price Ingestion and Alert Evaluation</w:t>
      </w:r>
    </w:p>
    <w:p>
      <w:pPr>
        <w:spacing w:before="0" w:after="120" w:line="360" w:lineRule="auto"/>
        <w:jc w:val="both"/>
      </w:pPr>
      <w:r>
        <w:rPr>
          <w:rFonts w:ascii="Times New Roman" w:hAnsi="Times New Roman"/>
          <w:b w:val="0"/>
          <w:i w:val="0"/>
          <w:sz w:val="24"/>
        </w:rPr>
        <w:t>State Transition Diagram for Price Alert Lifecycle:</w:t>
      </w:r>
    </w:p>
    <w:p>
      <w:pPr>
        <w:spacing w:before="0" w:after="120" w:line="360" w:lineRule="auto"/>
        <w:jc w:val="both"/>
      </w:pPr>
      <w:r>
        <w:rPr>
          <w:rFonts w:ascii="Times New Roman" w:hAnsi="Times New Roman"/>
          <w:b w:val="0"/>
          <w:i w:val="0"/>
          <w:sz w:val="24"/>
        </w:rPr>
        <w:t>An alert transitions through three primary states: [Created/Armed] → [Evaluating on Market Ticks] → [Triggered/Paused] or [Deleted]. When triggered, the alert resets its active flag and persists its trigger timestamp.</w:t>
      </w:r>
    </w:p>
    <w:p>
      <w:pPr>
        <w:spacing w:before="80" w:after="240"/>
        <w:jc w:val="center"/>
      </w:pPr>
      <w:r>
        <w:rPr>
          <w:rFonts w:ascii="Times New Roman" w:hAnsi="Times New Roman"/>
          <w:b/>
          <w:sz w:val="24"/>
        </w:rPr>
        <w:t>Figure 3.4: State Transition Diagram for Price Alert Lifecycle</w:t>
      </w:r>
    </w:p>
    <w:p>
      <w:pPr>
        <w:keepNext/>
        <w:spacing w:before="200" w:after="80" w:line="276" w:lineRule="auto"/>
        <w:jc w:val="left"/>
      </w:pPr>
      <w:r>
        <w:rPr>
          <w:rFonts w:ascii="Times New Roman" w:hAnsi="Times New Roman"/>
          <w:b/>
          <w:sz w:val="24"/>
        </w:rPr>
        <w:t>3.1.5 Process Modelling (Activity Diagrams)</w:t>
      </w:r>
    </w:p>
    <w:p>
      <w:pPr>
        <w:spacing w:before="0" w:after="120" w:line="360" w:lineRule="auto"/>
        <w:jc w:val="both"/>
      </w:pPr>
      <w:r>
        <w:rPr>
          <w:rFonts w:ascii="Times New Roman" w:hAnsi="Times New Roman"/>
          <w:b w:val="0"/>
          <w:i w:val="0"/>
          <w:sz w:val="24"/>
        </w:rPr>
        <w:t>Activity Diagram for Quantitative AI Inference Workflow:</w:t>
      </w:r>
    </w:p>
    <w:p>
      <w:pPr>
        <w:spacing w:before="0" w:after="120" w:line="360" w:lineRule="auto"/>
        <w:jc w:val="both"/>
      </w:pPr>
      <w:r>
        <w:rPr>
          <w:rFonts w:ascii="Times New Roman" w:hAnsi="Times New Roman"/>
          <w:b w:val="0"/>
          <w:i w:val="0"/>
          <w:sz w:val="24"/>
        </w:rPr>
        <w:t>The process begins when a client requests prediction for symbol S. NestJS verifies historical bar count (&gt;= 30 bars). If sufficient, it dispatches the sequence to FastAPI /predict. The LSTM generates temporal embeddings, which are concatenated with tabular technical indicators. XGBoost computes softprob class distributions. If FastAPI is unreachable, the NestJS quantitative fallback engine computes heuristic momentum metrics, ensuring 100% uninterrupted response.</w:t>
      </w:r>
    </w:p>
    <w:p>
      <w:pPr>
        <w:spacing w:before="80" w:after="240"/>
        <w:jc w:val="center"/>
      </w:pPr>
      <w:r>
        <w:rPr>
          <w:rFonts w:ascii="Times New Roman" w:hAnsi="Times New Roman"/>
          <w:b/>
          <w:sz w:val="24"/>
        </w:rPr>
        <w:t>Figure 3.5: Activity Diagram for Quantitative AI Inference Workflow</w:t>
      </w:r>
    </w:p>
    <w:p>
      <w:pPr>
        <w:keepNext/>
        <w:spacing w:before="280" w:after="120" w:line="276" w:lineRule="auto"/>
        <w:jc w:val="left"/>
      </w:pPr>
      <w:r>
        <w:rPr>
          <w:rFonts w:ascii="Times New Roman" w:hAnsi="Times New Roman"/>
          <w:b/>
          <w:sz w:val="28"/>
        </w:rPr>
        <w:t>3.2 System Design</w:t>
      </w:r>
    </w:p>
    <w:p>
      <w:pPr>
        <w:keepNext/>
        <w:spacing w:before="200" w:after="80" w:line="276" w:lineRule="auto"/>
        <w:jc w:val="left"/>
      </w:pPr>
      <w:r>
        <w:rPr>
          <w:rFonts w:ascii="Times New Roman" w:hAnsi="Times New Roman"/>
          <w:b/>
          <w:sz w:val="24"/>
        </w:rPr>
        <w:t>3.2.1 Architectural Design</w:t>
      </w:r>
    </w:p>
    <w:p>
      <w:pPr>
        <w:spacing w:before="0" w:after="120" w:line="360" w:lineRule="auto"/>
        <w:jc w:val="both"/>
      </w:pPr>
      <w:r>
        <w:rPr>
          <w:rFonts w:ascii="Times New Roman" w:hAnsi="Times New Roman"/>
          <w:b w:val="0"/>
          <w:i w:val="0"/>
          <w:sz w:val="24"/>
        </w:rPr>
        <w:t>The system implements a three-tier decoupled microservice architecture:</w:t>
      </w:r>
    </w:p>
    <w:p>
      <w:pPr>
        <w:spacing w:before="0" w:after="120" w:line="360" w:lineRule="auto"/>
        <w:jc w:val="both"/>
      </w:pPr>
      <w:r>
        <w:rPr>
          <w:rFonts w:ascii="Times New Roman" w:hAnsi="Times New Roman"/>
          <w:b w:val="0"/>
          <w:i w:val="0"/>
          <w:sz w:val="24"/>
        </w:rPr>
        <w:t>1. Tier 1 (Client Presentation): React 19 Single Page Application built with Vite and Tailwind CSS. Communicates via asynchronous REST JSON calls.</w:t>
      </w:r>
    </w:p>
    <w:p>
      <w:pPr>
        <w:spacing w:before="0" w:after="120" w:line="360" w:lineRule="auto"/>
        <w:jc w:val="both"/>
      </w:pPr>
      <w:r>
        <w:rPr>
          <w:rFonts w:ascii="Times New Roman" w:hAnsi="Times New Roman"/>
          <w:b w:val="0"/>
          <w:i w:val="0"/>
          <w:sz w:val="24"/>
        </w:rPr>
        <w:t>2. Tier 2 (Application Core &amp; Ingestion): NestJS TypeScript server running Express, Prisma ORM, and @nestjs/schedule cron daemons. Responsible for data integrity, business logic, alerts, and portfolio tracking.</w:t>
      </w:r>
    </w:p>
    <w:p>
      <w:pPr>
        <w:spacing w:before="0" w:after="120" w:line="360" w:lineRule="auto"/>
        <w:jc w:val="both"/>
      </w:pPr>
      <w:r>
        <w:rPr>
          <w:rFonts w:ascii="Times New Roman" w:hAnsi="Times New Roman"/>
          <w:b w:val="0"/>
          <w:i w:val="0"/>
          <w:sz w:val="24"/>
        </w:rPr>
        <w:t>3. Tier 3 (Machine Learning Engine): Python 3 FastAPI microservice running PyTorch and XGBoost for mathematical sequence embedding and classification.</w:t>
      </w:r>
    </w:p>
    <w:p>
      <w:pPr>
        <w:spacing w:before="0" w:after="120" w:line="360" w:lineRule="auto"/>
        <w:jc w:val="both"/>
      </w:pPr>
      <w:r>
        <w:rPr>
          <w:rFonts w:ascii="Times New Roman" w:hAnsi="Times New Roman"/>
          <w:b w:val="0"/>
          <w:i w:val="0"/>
          <w:sz w:val="24"/>
        </w:rPr>
        <w:t>4. Persistence Layer: SQLite for zero-dependency local execution; PostgreSQL for production cloud deployment.</w:t>
      </w:r>
    </w:p>
    <w:p>
      <w:pPr>
        <w:spacing w:before="80" w:after="240"/>
        <w:jc w:val="center"/>
      </w:pPr>
      <w:r>
        <w:rPr>
          <w:rFonts w:ascii="Times New Roman" w:hAnsi="Times New Roman"/>
          <w:b/>
          <w:sz w:val="24"/>
        </w:rPr>
        <w:t>Figure 3.6: Multi-Tier Decoupled Microservices Architecture</w:t>
      </w:r>
    </w:p>
    <w:p>
      <w:pPr>
        <w:keepNext/>
        <w:spacing w:before="200" w:after="80" w:line="276" w:lineRule="auto"/>
        <w:jc w:val="left"/>
      </w:pPr>
      <w:r>
        <w:rPr>
          <w:rFonts w:ascii="Times New Roman" w:hAnsi="Times New Roman"/>
          <w:b/>
          <w:sz w:val="24"/>
        </w:rPr>
        <w:t>3.2.2 Database Schema Design &amp; Data Dictionary</w:t>
      </w:r>
    </w:p>
    <w:p>
      <w:pPr>
        <w:spacing w:before="0" w:after="120" w:line="360" w:lineRule="auto"/>
        <w:jc w:val="both"/>
      </w:pPr>
      <w:r>
        <w:rPr>
          <w:rFonts w:ascii="Times New Roman" w:hAnsi="Times New Roman"/>
          <w:b w:val="0"/>
          <w:i w:val="0"/>
          <w:sz w:val="24"/>
        </w:rPr>
        <w:t>The relational database schema is normalized and indexed for high-performance time-series queries.</w:t>
      </w:r>
    </w:p>
    <w:p>
      <w:pPr>
        <w:spacing w:before="80" w:after="240"/>
        <w:jc w:val="center"/>
      </w:pPr>
      <w:r>
        <w:rPr>
          <w:rFonts w:ascii="Times New Roman" w:hAnsi="Times New Roman"/>
          <w:b/>
          <w:sz w:val="24"/>
        </w:rPr>
        <w:t>Figure 3.7: Relational Entity Relationship Diagram (ERD)</w:t>
      </w:r>
    </w:p>
    <w:p>
      <w:pPr>
        <w:keepNext/>
        <w:spacing w:before="240" w:after="80"/>
        <w:jc w:val="center"/>
      </w:pPr>
      <w:r>
        <w:rPr>
          <w:rFonts w:ascii="Times New Roman" w:hAnsi="Times New Roman"/>
          <w:b/>
          <w:sz w:val="24"/>
        </w:rPr>
        <w:t>Table 3.3: Data Dictionary: Company Entity</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Field Name</w:t>
            </w:r>
          </w:p>
        </w:tc>
        <w:tc>
          <w:tcPr>
            <w:tcW w:type="dxa" w:w="1734"/>
            <w:shd w:fill="F0F0F0"/>
          </w:tcPr>
          <w:p>
            <w:r>
              <w:rPr>
                <w:b/>
              </w:rPr>
              <w:t>Data Type</w:t>
            </w:r>
          </w:p>
        </w:tc>
        <w:tc>
          <w:tcPr>
            <w:tcW w:type="dxa" w:w="1734"/>
            <w:shd w:fill="F0F0F0"/>
          </w:tcPr>
          <w:p>
            <w:r>
              <w:rPr>
                <w:b/>
              </w:rPr>
              <w:t>Constraint</w:t>
            </w:r>
          </w:p>
        </w:tc>
        <w:tc>
          <w:tcPr>
            <w:tcW w:type="dxa" w:w="1734"/>
            <w:shd w:fill="F0F0F0"/>
          </w:tcPr>
          <w:p>
            <w:r>
              <w:rPr>
                <w:b/>
              </w:rPr>
              <w:t>Nullable</w:t>
            </w:r>
          </w:p>
        </w:tc>
        <w:tc>
          <w:tcPr>
            <w:tcW w:type="dxa" w:w="1734"/>
            <w:shd w:fill="F0F0F0"/>
          </w:tcPr>
          <w:p>
            <w:r>
              <w:rPr>
                <w:b/>
              </w:rPr>
              <w:t>Description</w:t>
            </w:r>
          </w:p>
        </w:tc>
      </w:tr>
      <w:tr>
        <w:tc>
          <w:tcPr>
            <w:tcW w:type="dxa" w:w="1734"/>
            <w:tcMar>
              <w:top w:w="50" w:type="dxa"/>
              <w:bottom w:w="50" w:type="dxa"/>
              <w:left w:w="70" w:type="dxa"/>
              <w:right w:w="70" w:type="dxa"/>
            </w:tcMar>
            <w:tcBorders>
              <w:bottom w:val="single" w:sz="4" w:space="0" w:color="E0E0E0"/>
            </w:tcBorders>
          </w:tcPr>
          <w:p>
            <w:pPr>
              <w:spacing w:line="276" w:lineRule="auto"/>
            </w:pPr>
            <w:r>
              <w:t>symbol</w:t>
            </w:r>
          </w:p>
        </w:tc>
        <w:tc>
          <w:tcPr>
            <w:tcW w:type="dxa" w:w="1734"/>
            <w:tcMar>
              <w:top w:w="50" w:type="dxa"/>
              <w:bottom w:w="50" w:type="dxa"/>
              <w:left w:w="70" w:type="dxa"/>
              <w:right w:w="70" w:type="dxa"/>
            </w:tcMar>
            <w:tcBorders>
              <w:bottom w:val="single" w:sz="4" w:space="0" w:color="E0E0E0"/>
            </w:tcBorders>
          </w:tcPr>
          <w:p>
            <w:pPr>
              <w:spacing w:line="276" w:lineRule="auto"/>
            </w:pPr>
            <w:r>
              <w:t>VARCHAR(16)</w:t>
            </w:r>
          </w:p>
        </w:tc>
        <w:tc>
          <w:tcPr>
            <w:tcW w:type="dxa" w:w="1734"/>
            <w:tcMar>
              <w:top w:w="50" w:type="dxa"/>
              <w:bottom w:w="50" w:type="dxa"/>
              <w:left w:w="70" w:type="dxa"/>
              <w:right w:w="70" w:type="dxa"/>
            </w:tcMar>
            <w:tcBorders>
              <w:bottom w:val="single" w:sz="4" w:space="0" w:color="E0E0E0"/>
            </w:tcBorders>
          </w:tcPr>
          <w:p>
            <w:pPr>
              <w:spacing w:line="276" w:lineRule="auto"/>
            </w:pPr>
            <w:r>
              <w:t>PRIMARY KEY</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Unique stock ticker symbol (e.g. NABIL).</w:t>
            </w:r>
          </w:p>
        </w:tc>
      </w:tr>
      <w:tr>
        <w:tc>
          <w:tcPr>
            <w:tcW w:type="dxa" w:w="1734"/>
            <w:tcMar>
              <w:top w:w="50" w:type="dxa"/>
              <w:bottom w:w="50" w:type="dxa"/>
              <w:left w:w="70" w:type="dxa"/>
              <w:right w:w="70" w:type="dxa"/>
            </w:tcMar>
            <w:tcBorders>
              <w:bottom w:val="single" w:sz="4" w:space="0" w:color="E0E0E0"/>
            </w:tcBorders>
          </w:tcPr>
          <w:p>
            <w:pPr>
              <w:spacing w:line="276" w:lineRule="auto"/>
            </w:pPr>
            <w:r>
              <w:t>name</w:t>
            </w:r>
          </w:p>
        </w:tc>
        <w:tc>
          <w:tcPr>
            <w:tcW w:type="dxa" w:w="1734"/>
            <w:tcMar>
              <w:top w:w="50" w:type="dxa"/>
              <w:bottom w:w="50" w:type="dxa"/>
              <w:left w:w="70" w:type="dxa"/>
              <w:right w:w="70" w:type="dxa"/>
            </w:tcMar>
            <w:tcBorders>
              <w:bottom w:val="single" w:sz="4" w:space="0" w:color="E0E0E0"/>
            </w:tcBorders>
          </w:tcPr>
          <w:p>
            <w:pPr>
              <w:spacing w:line="276" w:lineRule="auto"/>
            </w:pPr>
            <w:r>
              <w:t>VARCHAR(255)</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Full registered corporate name of security.</w:t>
            </w:r>
          </w:p>
        </w:tc>
      </w:tr>
      <w:tr>
        <w:tc>
          <w:tcPr>
            <w:tcW w:type="dxa" w:w="1734"/>
            <w:tcMar>
              <w:top w:w="50" w:type="dxa"/>
              <w:bottom w:w="50" w:type="dxa"/>
              <w:left w:w="70" w:type="dxa"/>
              <w:right w:w="70" w:type="dxa"/>
            </w:tcMar>
            <w:tcBorders>
              <w:bottom w:val="single" w:sz="4" w:space="0" w:color="E0E0E0"/>
            </w:tcBorders>
          </w:tcPr>
          <w:p>
            <w:pPr>
              <w:spacing w:line="276" w:lineRule="auto"/>
            </w:pPr>
            <w:r>
              <w:t>sector</w:t>
            </w:r>
          </w:p>
        </w:tc>
        <w:tc>
          <w:tcPr>
            <w:tcW w:type="dxa" w:w="1734"/>
            <w:tcMar>
              <w:top w:w="50" w:type="dxa"/>
              <w:bottom w:w="50" w:type="dxa"/>
              <w:left w:w="70" w:type="dxa"/>
              <w:right w:w="70" w:type="dxa"/>
            </w:tcMar>
            <w:tcBorders>
              <w:bottom w:val="single" w:sz="4" w:space="0" w:color="E0E0E0"/>
            </w:tcBorders>
          </w:tcPr>
          <w:p>
            <w:pPr>
              <w:spacing w:line="276" w:lineRule="auto"/>
            </w:pPr>
            <w:r>
              <w:t>VARCHAR(64)</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Industrial sector classification.</w:t>
            </w:r>
          </w:p>
        </w:tc>
      </w:tr>
      <w:tr>
        <w:tc>
          <w:tcPr>
            <w:tcW w:type="dxa" w:w="1734"/>
            <w:tcMar>
              <w:top w:w="50" w:type="dxa"/>
              <w:bottom w:w="50" w:type="dxa"/>
              <w:left w:w="70" w:type="dxa"/>
              <w:right w:w="70" w:type="dxa"/>
            </w:tcMar>
            <w:tcBorders>
              <w:bottom w:val="single" w:sz="4" w:space="0" w:color="E0E0E0"/>
            </w:tcBorders>
          </w:tcPr>
          <w:p>
            <w:pPr>
              <w:spacing w:line="276" w:lineRule="auto"/>
            </w:pPr>
            <w:r>
              <w:t>createdAt</w:t>
            </w:r>
          </w:p>
        </w:tc>
        <w:tc>
          <w:tcPr>
            <w:tcW w:type="dxa" w:w="1734"/>
            <w:tcMar>
              <w:top w:w="50" w:type="dxa"/>
              <w:bottom w:w="50" w:type="dxa"/>
              <w:left w:w="70" w:type="dxa"/>
              <w:right w:w="70" w:type="dxa"/>
            </w:tcMar>
            <w:tcBorders>
              <w:bottom w:val="single" w:sz="4" w:space="0" w:color="E0E0E0"/>
            </w:tcBorders>
          </w:tcPr>
          <w:p>
            <w:pPr>
              <w:spacing w:line="276" w:lineRule="auto"/>
            </w:pPr>
            <w:r>
              <w:t>DATETIME</w:t>
            </w:r>
          </w:p>
        </w:tc>
        <w:tc>
          <w:tcPr>
            <w:tcW w:type="dxa" w:w="1734"/>
            <w:tcMar>
              <w:top w:w="50" w:type="dxa"/>
              <w:bottom w:w="50" w:type="dxa"/>
              <w:left w:w="70" w:type="dxa"/>
              <w:right w:w="70" w:type="dxa"/>
            </w:tcMar>
            <w:tcBorders>
              <w:bottom w:val="single" w:sz="4" w:space="0" w:color="E0E0E0"/>
            </w:tcBorders>
          </w:tcPr>
          <w:p>
            <w:pPr>
              <w:spacing w:line="276" w:lineRule="auto"/>
            </w:pPr>
            <w:r>
              <w:t>DEFAULT NOW</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Timestamp of company insertion.</w:t>
            </w:r>
          </w:p>
        </w:tc>
      </w:tr>
      <w:tr>
        <w:tc>
          <w:tcPr>
            <w:tcW w:type="dxa" w:w="1734"/>
            <w:tcMar>
              <w:top w:w="50" w:type="dxa"/>
              <w:bottom w:w="50" w:type="dxa"/>
              <w:left w:w="70" w:type="dxa"/>
              <w:right w:w="70" w:type="dxa"/>
            </w:tcMar>
            <w:tcBorders>
              <w:bottom w:val="single" w:sz="4" w:space="0" w:color="E0E0E0"/>
            </w:tcBorders>
          </w:tcPr>
          <w:p>
            <w:pPr>
              <w:spacing w:line="276" w:lineRule="auto"/>
            </w:pPr>
            <w:r>
              <w:t>updatedAt</w:t>
            </w:r>
          </w:p>
        </w:tc>
        <w:tc>
          <w:tcPr>
            <w:tcW w:type="dxa" w:w="1734"/>
            <w:tcMar>
              <w:top w:w="50" w:type="dxa"/>
              <w:bottom w:w="50" w:type="dxa"/>
              <w:left w:w="70" w:type="dxa"/>
              <w:right w:w="70" w:type="dxa"/>
            </w:tcMar>
            <w:tcBorders>
              <w:bottom w:val="single" w:sz="4" w:space="0" w:color="E0E0E0"/>
            </w:tcBorders>
          </w:tcPr>
          <w:p>
            <w:pPr>
              <w:spacing w:line="276" w:lineRule="auto"/>
            </w:pPr>
            <w:r>
              <w:t>DATETIME</w:t>
            </w:r>
          </w:p>
        </w:tc>
        <w:tc>
          <w:tcPr>
            <w:tcW w:type="dxa" w:w="1734"/>
            <w:tcMar>
              <w:top w:w="50" w:type="dxa"/>
              <w:bottom w:w="50" w:type="dxa"/>
              <w:left w:w="70" w:type="dxa"/>
              <w:right w:w="70" w:type="dxa"/>
            </w:tcMar>
            <w:tcBorders>
              <w:bottom w:val="single" w:sz="4" w:space="0" w:color="E0E0E0"/>
            </w:tcBorders>
          </w:tcPr>
          <w:p>
            <w:pPr>
              <w:spacing w:line="276" w:lineRule="auto"/>
            </w:pPr>
            <w:r>
              <w:t>AUTO UPDATE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Timestamp of last modification.</w:t>
            </w:r>
          </w:p>
        </w:tc>
      </w:tr>
    </w:tbl>
    <w:p>
      <w:pPr>
        <w:keepNext/>
        <w:spacing w:before="240" w:after="80"/>
        <w:jc w:val="center"/>
      </w:pPr>
      <w:r>
        <w:rPr>
          <w:rFonts w:ascii="Times New Roman" w:hAnsi="Times New Roman"/>
          <w:b/>
          <w:sz w:val="24"/>
        </w:rPr>
        <w:t>Table 3.4: Data Dictionary: DailyPrice Entity</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Field Name</w:t>
            </w:r>
          </w:p>
        </w:tc>
        <w:tc>
          <w:tcPr>
            <w:tcW w:type="dxa" w:w="1734"/>
            <w:shd w:fill="F0F0F0"/>
          </w:tcPr>
          <w:p>
            <w:r>
              <w:rPr>
                <w:b/>
              </w:rPr>
              <w:t>Data Type</w:t>
            </w:r>
          </w:p>
        </w:tc>
        <w:tc>
          <w:tcPr>
            <w:tcW w:type="dxa" w:w="1734"/>
            <w:shd w:fill="F0F0F0"/>
          </w:tcPr>
          <w:p>
            <w:r>
              <w:rPr>
                <w:b/>
              </w:rPr>
              <w:t>Constraint</w:t>
            </w:r>
          </w:p>
        </w:tc>
        <w:tc>
          <w:tcPr>
            <w:tcW w:type="dxa" w:w="1734"/>
            <w:shd w:fill="F0F0F0"/>
          </w:tcPr>
          <w:p>
            <w:r>
              <w:rPr>
                <w:b/>
              </w:rPr>
              <w:t>Nullable</w:t>
            </w:r>
          </w:p>
        </w:tc>
        <w:tc>
          <w:tcPr>
            <w:tcW w:type="dxa" w:w="1734"/>
            <w:shd w:fill="F0F0F0"/>
          </w:tcPr>
          <w:p>
            <w:r>
              <w:rPr>
                <w:b/>
              </w:rPr>
              <w:t>Description</w:t>
            </w:r>
          </w:p>
        </w:tc>
      </w:tr>
      <w:tr>
        <w:tc>
          <w:tcPr>
            <w:tcW w:type="dxa" w:w="1734"/>
            <w:tcMar>
              <w:top w:w="50" w:type="dxa"/>
              <w:bottom w:w="50" w:type="dxa"/>
              <w:left w:w="70" w:type="dxa"/>
              <w:right w:w="70" w:type="dxa"/>
            </w:tcMar>
            <w:tcBorders>
              <w:bottom w:val="single" w:sz="4" w:space="0" w:color="E0E0E0"/>
            </w:tcBorders>
          </w:tcPr>
          <w:p>
            <w:pPr>
              <w:spacing w:line="276" w:lineRule="auto"/>
            </w:pPr>
            <w:r>
              <w:t>id</w:t>
            </w:r>
          </w:p>
        </w:tc>
        <w:tc>
          <w:tcPr>
            <w:tcW w:type="dxa" w:w="1734"/>
            <w:tcMar>
              <w:top w:w="50" w:type="dxa"/>
              <w:bottom w:w="50" w:type="dxa"/>
              <w:left w:w="70" w:type="dxa"/>
              <w:right w:w="70" w:type="dxa"/>
            </w:tcMar>
            <w:tcBorders>
              <w:bottom w:val="single" w:sz="4" w:space="0" w:color="E0E0E0"/>
            </w:tcBorders>
          </w:tcPr>
          <w:p>
            <w:pPr>
              <w:spacing w:line="276" w:lineRule="auto"/>
            </w:pPr>
            <w:r>
              <w:t>INTEGER</w:t>
            </w:r>
          </w:p>
        </w:tc>
        <w:tc>
          <w:tcPr>
            <w:tcW w:type="dxa" w:w="1734"/>
            <w:tcMar>
              <w:top w:w="50" w:type="dxa"/>
              <w:bottom w:w="50" w:type="dxa"/>
              <w:left w:w="70" w:type="dxa"/>
              <w:right w:w="70" w:type="dxa"/>
            </w:tcMar>
            <w:tcBorders>
              <w:bottom w:val="single" w:sz="4" w:space="0" w:color="E0E0E0"/>
            </w:tcBorders>
          </w:tcPr>
          <w:p>
            <w:pPr>
              <w:spacing w:line="276" w:lineRule="auto"/>
            </w:pPr>
            <w:r>
              <w:t>PRIMARY KEY AUTOINCREMENT</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Unique surrogate identifier.</w:t>
            </w:r>
          </w:p>
        </w:tc>
      </w:tr>
      <w:tr>
        <w:tc>
          <w:tcPr>
            <w:tcW w:type="dxa" w:w="1734"/>
            <w:tcMar>
              <w:top w:w="50" w:type="dxa"/>
              <w:bottom w:w="50" w:type="dxa"/>
              <w:left w:w="70" w:type="dxa"/>
              <w:right w:w="70" w:type="dxa"/>
            </w:tcMar>
            <w:tcBorders>
              <w:bottom w:val="single" w:sz="4" w:space="0" w:color="E0E0E0"/>
            </w:tcBorders>
          </w:tcPr>
          <w:p>
            <w:pPr>
              <w:spacing w:line="276" w:lineRule="auto"/>
            </w:pPr>
            <w:r>
              <w:t>symbol</w:t>
            </w:r>
          </w:p>
        </w:tc>
        <w:tc>
          <w:tcPr>
            <w:tcW w:type="dxa" w:w="1734"/>
            <w:tcMar>
              <w:top w:w="50" w:type="dxa"/>
              <w:bottom w:w="50" w:type="dxa"/>
              <w:left w:w="70" w:type="dxa"/>
              <w:right w:w="70" w:type="dxa"/>
            </w:tcMar>
            <w:tcBorders>
              <w:bottom w:val="single" w:sz="4" w:space="0" w:color="E0E0E0"/>
            </w:tcBorders>
          </w:tcPr>
          <w:p>
            <w:pPr>
              <w:spacing w:line="276" w:lineRule="auto"/>
            </w:pPr>
            <w:r>
              <w:t>VARCHAR(16)</w:t>
            </w:r>
          </w:p>
        </w:tc>
        <w:tc>
          <w:tcPr>
            <w:tcW w:type="dxa" w:w="1734"/>
            <w:tcMar>
              <w:top w:w="50" w:type="dxa"/>
              <w:bottom w:w="50" w:type="dxa"/>
              <w:left w:w="70" w:type="dxa"/>
              <w:right w:w="70" w:type="dxa"/>
            </w:tcMar>
            <w:tcBorders>
              <w:bottom w:val="single" w:sz="4" w:space="0" w:color="E0E0E0"/>
            </w:tcBorders>
          </w:tcPr>
          <w:p>
            <w:pPr>
              <w:spacing w:line="276" w:lineRule="auto"/>
            </w:pPr>
            <w:r>
              <w:t>FOREIGN KEY (Company)</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Foreign key referencing Company.symbol.</w:t>
            </w:r>
          </w:p>
        </w:tc>
      </w:tr>
      <w:tr>
        <w:tc>
          <w:tcPr>
            <w:tcW w:type="dxa" w:w="1734"/>
            <w:tcMar>
              <w:top w:w="50" w:type="dxa"/>
              <w:bottom w:w="50" w:type="dxa"/>
              <w:left w:w="70" w:type="dxa"/>
              <w:right w:w="70" w:type="dxa"/>
            </w:tcMar>
            <w:tcBorders>
              <w:bottom w:val="single" w:sz="4" w:space="0" w:color="E0E0E0"/>
            </w:tcBorders>
          </w:tcPr>
          <w:p>
            <w:pPr>
              <w:spacing w:line="276" w:lineRule="auto"/>
            </w:pPr>
            <w:r>
              <w:t>date</w:t>
            </w:r>
          </w:p>
        </w:tc>
        <w:tc>
          <w:tcPr>
            <w:tcW w:type="dxa" w:w="1734"/>
            <w:tcMar>
              <w:top w:w="50" w:type="dxa"/>
              <w:bottom w:w="50" w:type="dxa"/>
              <w:left w:w="70" w:type="dxa"/>
              <w:right w:w="70" w:type="dxa"/>
            </w:tcMar>
            <w:tcBorders>
              <w:bottom w:val="single" w:sz="4" w:space="0" w:color="E0E0E0"/>
            </w:tcBorders>
          </w:tcPr>
          <w:p>
            <w:pPr>
              <w:spacing w:line="276" w:lineRule="auto"/>
            </w:pPr>
            <w:r>
              <w:t>DATETIME</w:t>
            </w:r>
          </w:p>
        </w:tc>
        <w:tc>
          <w:tcPr>
            <w:tcW w:type="dxa" w:w="1734"/>
            <w:tcMar>
              <w:top w:w="50" w:type="dxa"/>
              <w:bottom w:w="50" w:type="dxa"/>
              <w:left w:w="70" w:type="dxa"/>
              <w:right w:w="70" w:type="dxa"/>
            </w:tcMar>
            <w:tcBorders>
              <w:bottom w:val="single" w:sz="4" w:space="0" w:color="E0E0E0"/>
            </w:tcBorders>
          </w:tcPr>
          <w:p>
            <w:pPr>
              <w:spacing w:line="276" w:lineRule="auto"/>
            </w:pPr>
            <w:r>
              <w:t>UNIQUE (symbol, date)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Trading session date.</w:t>
            </w:r>
          </w:p>
        </w:tc>
      </w:tr>
      <w:tr>
        <w:tc>
          <w:tcPr>
            <w:tcW w:type="dxa" w:w="1734"/>
            <w:tcMar>
              <w:top w:w="50" w:type="dxa"/>
              <w:bottom w:w="50" w:type="dxa"/>
              <w:left w:w="70" w:type="dxa"/>
              <w:right w:w="70" w:type="dxa"/>
            </w:tcMar>
            <w:tcBorders>
              <w:bottom w:val="single" w:sz="4" w:space="0" w:color="E0E0E0"/>
            </w:tcBorders>
          </w:tcPr>
          <w:p>
            <w:pPr>
              <w:spacing w:line="276" w:lineRule="auto"/>
            </w:pPr>
            <w:r>
              <w:t>open</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Opening session price in NPR.</w:t>
            </w:r>
          </w:p>
        </w:tc>
      </w:tr>
      <w:tr>
        <w:tc>
          <w:tcPr>
            <w:tcW w:type="dxa" w:w="1734"/>
            <w:tcMar>
              <w:top w:w="50" w:type="dxa"/>
              <w:bottom w:w="50" w:type="dxa"/>
              <w:left w:w="70" w:type="dxa"/>
              <w:right w:w="70" w:type="dxa"/>
            </w:tcMar>
            <w:tcBorders>
              <w:bottom w:val="single" w:sz="4" w:space="0" w:color="E0E0E0"/>
            </w:tcBorders>
          </w:tcPr>
          <w:p>
            <w:pPr>
              <w:spacing w:line="276" w:lineRule="auto"/>
            </w:pPr>
            <w:r>
              <w:t>high</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Highest session traded price in NPR.</w:t>
            </w:r>
          </w:p>
        </w:tc>
      </w:tr>
      <w:tr>
        <w:tc>
          <w:tcPr>
            <w:tcW w:type="dxa" w:w="1734"/>
            <w:tcMar>
              <w:top w:w="50" w:type="dxa"/>
              <w:bottom w:w="50" w:type="dxa"/>
              <w:left w:w="70" w:type="dxa"/>
              <w:right w:w="70" w:type="dxa"/>
            </w:tcMar>
            <w:tcBorders>
              <w:bottom w:val="single" w:sz="4" w:space="0" w:color="E0E0E0"/>
            </w:tcBorders>
          </w:tcPr>
          <w:p>
            <w:pPr>
              <w:spacing w:line="276" w:lineRule="auto"/>
            </w:pPr>
            <w:r>
              <w:t>low</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Lowest session traded price in NPR.</w:t>
            </w:r>
          </w:p>
        </w:tc>
      </w:tr>
      <w:tr>
        <w:tc>
          <w:tcPr>
            <w:tcW w:type="dxa" w:w="1734"/>
            <w:tcMar>
              <w:top w:w="50" w:type="dxa"/>
              <w:bottom w:w="50" w:type="dxa"/>
              <w:left w:w="70" w:type="dxa"/>
              <w:right w:w="70" w:type="dxa"/>
            </w:tcMar>
            <w:tcBorders>
              <w:bottom w:val="single" w:sz="4" w:space="0" w:color="E0E0E0"/>
            </w:tcBorders>
          </w:tcPr>
          <w:p>
            <w:pPr>
              <w:spacing w:line="276" w:lineRule="auto"/>
            </w:pPr>
            <w:r>
              <w:t>close</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Closing session settlement price in NPR.</w:t>
            </w:r>
          </w:p>
        </w:tc>
      </w:tr>
      <w:tr>
        <w:tc>
          <w:tcPr>
            <w:tcW w:type="dxa" w:w="1734"/>
            <w:tcMar>
              <w:top w:w="50" w:type="dxa"/>
              <w:bottom w:w="50" w:type="dxa"/>
              <w:left w:w="70" w:type="dxa"/>
              <w:right w:w="70" w:type="dxa"/>
            </w:tcMar>
            <w:tcBorders>
              <w:bottom w:val="single" w:sz="4" w:space="0" w:color="E0E0E0"/>
            </w:tcBorders>
          </w:tcPr>
          <w:p>
            <w:pPr>
              <w:spacing w:line="276" w:lineRule="auto"/>
            </w:pPr>
            <w:r>
              <w:t>volume</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Total aggregate volume of shares traded.</w:t>
            </w:r>
          </w:p>
        </w:tc>
      </w:tr>
    </w:tbl>
    <w:p>
      <w:pPr>
        <w:keepNext/>
        <w:spacing w:before="240" w:after="80"/>
        <w:jc w:val="center"/>
      </w:pPr>
      <w:r>
        <w:rPr>
          <w:rFonts w:ascii="Times New Roman" w:hAnsi="Times New Roman"/>
          <w:b/>
          <w:sz w:val="24"/>
        </w:rPr>
        <w:t>Table 3.5: Data Dictionary: Alert Entity</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Field Name</w:t>
            </w:r>
          </w:p>
        </w:tc>
        <w:tc>
          <w:tcPr>
            <w:tcW w:type="dxa" w:w="1734"/>
            <w:shd w:fill="F0F0F0"/>
          </w:tcPr>
          <w:p>
            <w:r>
              <w:rPr>
                <w:b/>
              </w:rPr>
              <w:t>Data Type</w:t>
            </w:r>
          </w:p>
        </w:tc>
        <w:tc>
          <w:tcPr>
            <w:tcW w:type="dxa" w:w="1734"/>
            <w:shd w:fill="F0F0F0"/>
          </w:tcPr>
          <w:p>
            <w:r>
              <w:rPr>
                <w:b/>
              </w:rPr>
              <w:t>Constraint</w:t>
            </w:r>
          </w:p>
        </w:tc>
        <w:tc>
          <w:tcPr>
            <w:tcW w:type="dxa" w:w="1734"/>
            <w:shd w:fill="F0F0F0"/>
          </w:tcPr>
          <w:p>
            <w:r>
              <w:rPr>
                <w:b/>
              </w:rPr>
              <w:t>Nullable</w:t>
            </w:r>
          </w:p>
        </w:tc>
        <w:tc>
          <w:tcPr>
            <w:tcW w:type="dxa" w:w="1734"/>
            <w:shd w:fill="F0F0F0"/>
          </w:tcPr>
          <w:p>
            <w:r>
              <w:rPr>
                <w:b/>
              </w:rPr>
              <w:t>Description</w:t>
            </w:r>
          </w:p>
        </w:tc>
      </w:tr>
      <w:tr>
        <w:tc>
          <w:tcPr>
            <w:tcW w:type="dxa" w:w="1734"/>
            <w:tcMar>
              <w:top w:w="50" w:type="dxa"/>
              <w:bottom w:w="50" w:type="dxa"/>
              <w:left w:w="70" w:type="dxa"/>
              <w:right w:w="70" w:type="dxa"/>
            </w:tcMar>
            <w:tcBorders>
              <w:bottom w:val="single" w:sz="4" w:space="0" w:color="E0E0E0"/>
            </w:tcBorders>
          </w:tcPr>
          <w:p>
            <w:pPr>
              <w:spacing w:line="276" w:lineRule="auto"/>
            </w:pPr>
            <w:r>
              <w:t>id</w:t>
            </w:r>
          </w:p>
        </w:tc>
        <w:tc>
          <w:tcPr>
            <w:tcW w:type="dxa" w:w="1734"/>
            <w:tcMar>
              <w:top w:w="50" w:type="dxa"/>
              <w:bottom w:w="50" w:type="dxa"/>
              <w:left w:w="70" w:type="dxa"/>
              <w:right w:w="70" w:type="dxa"/>
            </w:tcMar>
            <w:tcBorders>
              <w:bottom w:val="single" w:sz="4" w:space="0" w:color="E0E0E0"/>
            </w:tcBorders>
          </w:tcPr>
          <w:p>
            <w:pPr>
              <w:spacing w:line="276" w:lineRule="auto"/>
            </w:pPr>
            <w:r>
              <w:t>VARCHAR(36)</w:t>
            </w:r>
          </w:p>
        </w:tc>
        <w:tc>
          <w:tcPr>
            <w:tcW w:type="dxa" w:w="1734"/>
            <w:tcMar>
              <w:top w:w="50" w:type="dxa"/>
              <w:bottom w:w="50" w:type="dxa"/>
              <w:left w:w="70" w:type="dxa"/>
              <w:right w:w="70" w:type="dxa"/>
            </w:tcMar>
            <w:tcBorders>
              <w:bottom w:val="single" w:sz="4" w:space="0" w:color="E0E0E0"/>
            </w:tcBorders>
          </w:tcPr>
          <w:p>
            <w:pPr>
              <w:spacing w:line="276" w:lineRule="auto"/>
            </w:pPr>
            <w:r>
              <w:t>PRIMARY KEY UUID</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Universally unique alert identifier.</w:t>
            </w:r>
          </w:p>
        </w:tc>
      </w:tr>
      <w:tr>
        <w:tc>
          <w:tcPr>
            <w:tcW w:type="dxa" w:w="1734"/>
            <w:tcMar>
              <w:top w:w="50" w:type="dxa"/>
              <w:bottom w:w="50" w:type="dxa"/>
              <w:left w:w="70" w:type="dxa"/>
              <w:right w:w="70" w:type="dxa"/>
            </w:tcMar>
            <w:tcBorders>
              <w:bottom w:val="single" w:sz="4" w:space="0" w:color="E0E0E0"/>
            </w:tcBorders>
          </w:tcPr>
          <w:p>
            <w:pPr>
              <w:spacing w:line="276" w:lineRule="auto"/>
            </w:pPr>
            <w:r>
              <w:t>symbol</w:t>
            </w:r>
          </w:p>
        </w:tc>
        <w:tc>
          <w:tcPr>
            <w:tcW w:type="dxa" w:w="1734"/>
            <w:tcMar>
              <w:top w:w="50" w:type="dxa"/>
              <w:bottom w:w="50" w:type="dxa"/>
              <w:left w:w="70" w:type="dxa"/>
              <w:right w:w="70" w:type="dxa"/>
            </w:tcMar>
            <w:tcBorders>
              <w:bottom w:val="single" w:sz="4" w:space="0" w:color="E0E0E0"/>
            </w:tcBorders>
          </w:tcPr>
          <w:p>
            <w:pPr>
              <w:spacing w:line="276" w:lineRule="auto"/>
            </w:pPr>
            <w:r>
              <w:t>VARCHAR(16)</w:t>
            </w:r>
          </w:p>
        </w:tc>
        <w:tc>
          <w:tcPr>
            <w:tcW w:type="dxa" w:w="1734"/>
            <w:tcMar>
              <w:top w:w="50" w:type="dxa"/>
              <w:bottom w:w="50" w:type="dxa"/>
              <w:left w:w="70" w:type="dxa"/>
              <w:right w:w="70" w:type="dxa"/>
            </w:tcMar>
            <w:tcBorders>
              <w:bottom w:val="single" w:sz="4" w:space="0" w:color="E0E0E0"/>
            </w:tcBorders>
          </w:tcPr>
          <w:p>
            <w:pPr>
              <w:spacing w:line="276" w:lineRule="auto"/>
            </w:pPr>
            <w:r>
              <w:t>INDEX</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Stock symbol to monitor.</w:t>
            </w:r>
          </w:p>
        </w:tc>
      </w:tr>
      <w:tr>
        <w:tc>
          <w:tcPr>
            <w:tcW w:type="dxa" w:w="1734"/>
            <w:tcMar>
              <w:top w:w="50" w:type="dxa"/>
              <w:bottom w:w="50" w:type="dxa"/>
              <w:left w:w="70" w:type="dxa"/>
              <w:right w:w="70" w:type="dxa"/>
            </w:tcMar>
            <w:tcBorders>
              <w:bottom w:val="single" w:sz="4" w:space="0" w:color="E0E0E0"/>
            </w:tcBorders>
          </w:tcPr>
          <w:p>
            <w:pPr>
              <w:spacing w:line="276" w:lineRule="auto"/>
            </w:pPr>
            <w:r>
              <w:t>condition</w:t>
            </w:r>
          </w:p>
        </w:tc>
        <w:tc>
          <w:tcPr>
            <w:tcW w:type="dxa" w:w="1734"/>
            <w:tcMar>
              <w:top w:w="50" w:type="dxa"/>
              <w:bottom w:w="50" w:type="dxa"/>
              <w:left w:w="70" w:type="dxa"/>
              <w:right w:w="70" w:type="dxa"/>
            </w:tcMar>
            <w:tcBorders>
              <w:bottom w:val="single" w:sz="4" w:space="0" w:color="E0E0E0"/>
            </w:tcBorders>
          </w:tcPr>
          <w:p>
            <w:pPr>
              <w:spacing w:line="276" w:lineRule="auto"/>
            </w:pPr>
            <w:r>
              <w:t>VARCHAR(32)</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Trigger condition (ABOVE, BELOW, RSI_OVERSOLD, etc.).</w:t>
            </w:r>
          </w:p>
        </w:tc>
      </w:tr>
      <w:tr>
        <w:tc>
          <w:tcPr>
            <w:tcW w:type="dxa" w:w="1734"/>
            <w:tcMar>
              <w:top w:w="50" w:type="dxa"/>
              <w:bottom w:w="50" w:type="dxa"/>
              <w:left w:w="70" w:type="dxa"/>
              <w:right w:w="70" w:type="dxa"/>
            </w:tcMar>
            <w:tcBorders>
              <w:bottom w:val="single" w:sz="4" w:space="0" w:color="E0E0E0"/>
            </w:tcBorders>
          </w:tcPr>
          <w:p>
            <w:pPr>
              <w:spacing w:line="276" w:lineRule="auto"/>
            </w:pPr>
            <w:r>
              <w:t>targetValue</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Numerical threshold for alarm activation.</w:t>
            </w:r>
          </w:p>
        </w:tc>
      </w:tr>
      <w:tr>
        <w:tc>
          <w:tcPr>
            <w:tcW w:type="dxa" w:w="1734"/>
            <w:tcMar>
              <w:top w:w="50" w:type="dxa"/>
              <w:bottom w:w="50" w:type="dxa"/>
              <w:left w:w="70" w:type="dxa"/>
              <w:right w:w="70" w:type="dxa"/>
            </w:tcMar>
            <w:tcBorders>
              <w:bottom w:val="single" w:sz="4" w:space="0" w:color="E0E0E0"/>
            </w:tcBorders>
          </w:tcPr>
          <w:p>
            <w:pPr>
              <w:spacing w:line="276" w:lineRule="auto"/>
            </w:pPr>
            <w:r>
              <w:t>isActive</w:t>
            </w:r>
          </w:p>
        </w:tc>
        <w:tc>
          <w:tcPr>
            <w:tcW w:type="dxa" w:w="1734"/>
            <w:tcMar>
              <w:top w:w="50" w:type="dxa"/>
              <w:bottom w:w="50" w:type="dxa"/>
              <w:left w:w="70" w:type="dxa"/>
              <w:right w:w="70" w:type="dxa"/>
            </w:tcMar>
            <w:tcBorders>
              <w:bottom w:val="single" w:sz="4" w:space="0" w:color="E0E0E0"/>
            </w:tcBorders>
          </w:tcPr>
          <w:p>
            <w:pPr>
              <w:spacing w:line="276" w:lineRule="auto"/>
            </w:pPr>
            <w:r>
              <w:t>BOOLEAN</w:t>
            </w:r>
          </w:p>
        </w:tc>
        <w:tc>
          <w:tcPr>
            <w:tcW w:type="dxa" w:w="1734"/>
            <w:tcMar>
              <w:top w:w="50" w:type="dxa"/>
              <w:bottom w:w="50" w:type="dxa"/>
              <w:left w:w="70" w:type="dxa"/>
              <w:right w:w="70" w:type="dxa"/>
            </w:tcMar>
            <w:tcBorders>
              <w:bottom w:val="single" w:sz="4" w:space="0" w:color="E0E0E0"/>
            </w:tcBorders>
          </w:tcPr>
          <w:p>
            <w:pPr>
              <w:spacing w:line="276" w:lineRule="auto"/>
            </w:pPr>
            <w:r>
              <w:t>DEFAULT TRUE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Flag indicating whether alarm is actively armed.</w:t>
            </w:r>
          </w:p>
        </w:tc>
      </w:tr>
      <w:tr>
        <w:tc>
          <w:tcPr>
            <w:tcW w:type="dxa" w:w="1734"/>
            <w:tcMar>
              <w:top w:w="50" w:type="dxa"/>
              <w:bottom w:w="50" w:type="dxa"/>
              <w:left w:w="70" w:type="dxa"/>
              <w:right w:w="70" w:type="dxa"/>
            </w:tcMar>
            <w:tcBorders>
              <w:bottom w:val="single" w:sz="4" w:space="0" w:color="E0E0E0"/>
            </w:tcBorders>
          </w:tcPr>
          <w:p>
            <w:pPr>
              <w:spacing w:line="276" w:lineRule="auto"/>
            </w:pPr>
            <w:r>
              <w:t>triggered</w:t>
            </w:r>
          </w:p>
        </w:tc>
        <w:tc>
          <w:tcPr>
            <w:tcW w:type="dxa" w:w="1734"/>
            <w:tcMar>
              <w:top w:w="50" w:type="dxa"/>
              <w:bottom w:w="50" w:type="dxa"/>
              <w:left w:w="70" w:type="dxa"/>
              <w:right w:w="70" w:type="dxa"/>
            </w:tcMar>
            <w:tcBorders>
              <w:bottom w:val="single" w:sz="4" w:space="0" w:color="E0E0E0"/>
            </w:tcBorders>
          </w:tcPr>
          <w:p>
            <w:pPr>
              <w:spacing w:line="276" w:lineRule="auto"/>
            </w:pPr>
            <w:r>
              <w:t>BOOLEAN</w:t>
            </w:r>
          </w:p>
        </w:tc>
        <w:tc>
          <w:tcPr>
            <w:tcW w:type="dxa" w:w="1734"/>
            <w:tcMar>
              <w:top w:w="50" w:type="dxa"/>
              <w:bottom w:w="50" w:type="dxa"/>
              <w:left w:w="70" w:type="dxa"/>
              <w:right w:w="70" w:type="dxa"/>
            </w:tcMar>
            <w:tcBorders>
              <w:bottom w:val="single" w:sz="4" w:space="0" w:color="E0E0E0"/>
            </w:tcBorders>
          </w:tcPr>
          <w:p>
            <w:pPr>
              <w:spacing w:line="276" w:lineRule="auto"/>
            </w:pPr>
            <w:r>
              <w:t>DEFAULT FALSE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Flag indicating whether alarm has fired.</w:t>
            </w:r>
          </w:p>
        </w:tc>
      </w:tr>
      <w:tr>
        <w:tc>
          <w:tcPr>
            <w:tcW w:type="dxa" w:w="1734"/>
            <w:tcMar>
              <w:top w:w="50" w:type="dxa"/>
              <w:bottom w:w="50" w:type="dxa"/>
              <w:left w:w="70" w:type="dxa"/>
              <w:right w:w="70" w:type="dxa"/>
            </w:tcMar>
            <w:tcBorders>
              <w:bottom w:val="single" w:sz="4" w:space="0" w:color="E0E0E0"/>
            </w:tcBorders>
          </w:tcPr>
          <w:p>
            <w:pPr>
              <w:spacing w:line="276" w:lineRule="auto"/>
            </w:pPr>
            <w:r>
              <w:t>triggeredAt</w:t>
            </w:r>
          </w:p>
        </w:tc>
        <w:tc>
          <w:tcPr>
            <w:tcW w:type="dxa" w:w="1734"/>
            <w:tcMar>
              <w:top w:w="50" w:type="dxa"/>
              <w:bottom w:w="50" w:type="dxa"/>
              <w:left w:w="70" w:type="dxa"/>
              <w:right w:w="70" w:type="dxa"/>
            </w:tcMar>
            <w:tcBorders>
              <w:bottom w:val="single" w:sz="4" w:space="0" w:color="E0E0E0"/>
            </w:tcBorders>
          </w:tcPr>
          <w:p>
            <w:pPr>
              <w:spacing w:line="276" w:lineRule="auto"/>
            </w:pPr>
            <w:r>
              <w:t>DATETIME</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Yes</w:t>
            </w:r>
          </w:p>
        </w:tc>
        <w:tc>
          <w:tcPr>
            <w:tcW w:type="dxa" w:w="1734"/>
            <w:tcMar>
              <w:top w:w="50" w:type="dxa"/>
              <w:bottom w:w="50" w:type="dxa"/>
              <w:left w:w="70" w:type="dxa"/>
              <w:right w:w="70" w:type="dxa"/>
            </w:tcMar>
            <w:tcBorders>
              <w:bottom w:val="single" w:sz="4" w:space="0" w:color="E0E0E0"/>
            </w:tcBorders>
          </w:tcPr>
          <w:p>
            <w:pPr>
              <w:spacing w:line="276" w:lineRule="auto"/>
            </w:pPr>
            <w:r>
              <w:t>Timestamp when condition was fulfilled.</w:t>
            </w:r>
          </w:p>
        </w:tc>
      </w:tr>
      <w:tr>
        <w:tc>
          <w:tcPr>
            <w:tcW w:type="dxa" w:w="1734"/>
            <w:tcMar>
              <w:top w:w="50" w:type="dxa"/>
              <w:bottom w:w="50" w:type="dxa"/>
              <w:left w:w="70" w:type="dxa"/>
              <w:right w:w="70" w:type="dxa"/>
            </w:tcMar>
            <w:tcBorders>
              <w:bottom w:val="single" w:sz="4" w:space="0" w:color="E0E0E0"/>
            </w:tcBorders>
          </w:tcPr>
          <w:p>
            <w:pPr>
              <w:spacing w:line="276" w:lineRule="auto"/>
            </w:pPr>
            <w:r>
              <w:t>note</w:t>
            </w:r>
          </w:p>
        </w:tc>
        <w:tc>
          <w:tcPr>
            <w:tcW w:type="dxa" w:w="1734"/>
            <w:tcMar>
              <w:top w:w="50" w:type="dxa"/>
              <w:bottom w:w="50" w:type="dxa"/>
              <w:left w:w="70" w:type="dxa"/>
              <w:right w:w="70" w:type="dxa"/>
            </w:tcMar>
            <w:tcBorders>
              <w:bottom w:val="single" w:sz="4" w:space="0" w:color="E0E0E0"/>
            </w:tcBorders>
          </w:tcPr>
          <w:p>
            <w:pPr>
              <w:spacing w:line="276" w:lineRule="auto"/>
            </w:pPr>
            <w:r>
              <w:t>TEXT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Yes</w:t>
            </w:r>
          </w:p>
        </w:tc>
        <w:tc>
          <w:tcPr>
            <w:tcW w:type="dxa" w:w="1734"/>
            <w:tcMar>
              <w:top w:w="50" w:type="dxa"/>
              <w:bottom w:w="50" w:type="dxa"/>
              <w:left w:w="70" w:type="dxa"/>
              <w:right w:w="70" w:type="dxa"/>
            </w:tcMar>
            <w:tcBorders>
              <w:bottom w:val="single" w:sz="4" w:space="0" w:color="E0E0E0"/>
            </w:tcBorders>
          </w:tcPr>
          <w:p>
            <w:pPr>
              <w:spacing w:line="276" w:lineRule="auto"/>
            </w:pPr>
            <w:r>
              <w:t>Optional user note or trading execution rationale.</w:t>
            </w:r>
          </w:p>
        </w:tc>
      </w:tr>
    </w:tbl>
    <w:p>
      <w:pPr>
        <w:keepNext/>
        <w:spacing w:before="240" w:after="80"/>
        <w:jc w:val="center"/>
      </w:pPr>
      <w:r>
        <w:rPr>
          <w:rFonts w:ascii="Times New Roman" w:hAnsi="Times New Roman"/>
          <w:b/>
          <w:sz w:val="24"/>
        </w:rPr>
        <w:t>Table 3.6: Data Dictionary: PortfolioPosition Entity</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Field Name</w:t>
            </w:r>
          </w:p>
        </w:tc>
        <w:tc>
          <w:tcPr>
            <w:tcW w:type="dxa" w:w="1734"/>
            <w:shd w:fill="F0F0F0"/>
          </w:tcPr>
          <w:p>
            <w:r>
              <w:rPr>
                <w:b/>
              </w:rPr>
              <w:t>Data Type</w:t>
            </w:r>
          </w:p>
        </w:tc>
        <w:tc>
          <w:tcPr>
            <w:tcW w:type="dxa" w:w="1734"/>
            <w:shd w:fill="F0F0F0"/>
          </w:tcPr>
          <w:p>
            <w:r>
              <w:rPr>
                <w:b/>
              </w:rPr>
              <w:t>Constraint</w:t>
            </w:r>
          </w:p>
        </w:tc>
        <w:tc>
          <w:tcPr>
            <w:tcW w:type="dxa" w:w="1734"/>
            <w:shd w:fill="F0F0F0"/>
          </w:tcPr>
          <w:p>
            <w:r>
              <w:rPr>
                <w:b/>
              </w:rPr>
              <w:t>Nullable</w:t>
            </w:r>
          </w:p>
        </w:tc>
        <w:tc>
          <w:tcPr>
            <w:tcW w:type="dxa" w:w="1734"/>
            <w:shd w:fill="F0F0F0"/>
          </w:tcPr>
          <w:p>
            <w:r>
              <w:rPr>
                <w:b/>
              </w:rPr>
              <w:t>Description</w:t>
            </w:r>
          </w:p>
        </w:tc>
      </w:tr>
      <w:tr>
        <w:tc>
          <w:tcPr>
            <w:tcW w:type="dxa" w:w="1734"/>
            <w:tcMar>
              <w:top w:w="50" w:type="dxa"/>
              <w:bottom w:w="50" w:type="dxa"/>
              <w:left w:w="70" w:type="dxa"/>
              <w:right w:w="70" w:type="dxa"/>
            </w:tcMar>
            <w:tcBorders>
              <w:bottom w:val="single" w:sz="4" w:space="0" w:color="E0E0E0"/>
            </w:tcBorders>
          </w:tcPr>
          <w:p>
            <w:pPr>
              <w:spacing w:line="276" w:lineRule="auto"/>
            </w:pPr>
            <w:r>
              <w:t>id</w:t>
            </w:r>
          </w:p>
        </w:tc>
        <w:tc>
          <w:tcPr>
            <w:tcW w:type="dxa" w:w="1734"/>
            <w:tcMar>
              <w:top w:w="50" w:type="dxa"/>
              <w:bottom w:w="50" w:type="dxa"/>
              <w:left w:w="70" w:type="dxa"/>
              <w:right w:w="70" w:type="dxa"/>
            </w:tcMar>
            <w:tcBorders>
              <w:bottom w:val="single" w:sz="4" w:space="0" w:color="E0E0E0"/>
            </w:tcBorders>
          </w:tcPr>
          <w:p>
            <w:pPr>
              <w:spacing w:line="276" w:lineRule="auto"/>
            </w:pPr>
            <w:r>
              <w:t>VARCHAR(36)</w:t>
            </w:r>
          </w:p>
        </w:tc>
        <w:tc>
          <w:tcPr>
            <w:tcW w:type="dxa" w:w="1734"/>
            <w:tcMar>
              <w:top w:w="50" w:type="dxa"/>
              <w:bottom w:w="50" w:type="dxa"/>
              <w:left w:w="70" w:type="dxa"/>
              <w:right w:w="70" w:type="dxa"/>
            </w:tcMar>
            <w:tcBorders>
              <w:bottom w:val="single" w:sz="4" w:space="0" w:color="E0E0E0"/>
            </w:tcBorders>
          </w:tcPr>
          <w:p>
            <w:pPr>
              <w:spacing w:line="276" w:lineRule="auto"/>
            </w:pPr>
            <w:r>
              <w:t>PRIMARY KEY UUID</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Unique position identifier.</w:t>
            </w:r>
          </w:p>
        </w:tc>
      </w:tr>
      <w:tr>
        <w:tc>
          <w:tcPr>
            <w:tcW w:type="dxa" w:w="1734"/>
            <w:tcMar>
              <w:top w:w="50" w:type="dxa"/>
              <w:bottom w:w="50" w:type="dxa"/>
              <w:left w:w="70" w:type="dxa"/>
              <w:right w:w="70" w:type="dxa"/>
            </w:tcMar>
            <w:tcBorders>
              <w:bottom w:val="single" w:sz="4" w:space="0" w:color="E0E0E0"/>
            </w:tcBorders>
          </w:tcPr>
          <w:p>
            <w:pPr>
              <w:spacing w:line="276" w:lineRule="auto"/>
            </w:pPr>
            <w:r>
              <w:t>symbol</w:t>
            </w:r>
          </w:p>
        </w:tc>
        <w:tc>
          <w:tcPr>
            <w:tcW w:type="dxa" w:w="1734"/>
            <w:tcMar>
              <w:top w:w="50" w:type="dxa"/>
              <w:bottom w:w="50" w:type="dxa"/>
              <w:left w:w="70" w:type="dxa"/>
              <w:right w:w="70" w:type="dxa"/>
            </w:tcMar>
            <w:tcBorders>
              <w:bottom w:val="single" w:sz="4" w:space="0" w:color="E0E0E0"/>
            </w:tcBorders>
          </w:tcPr>
          <w:p>
            <w:pPr>
              <w:spacing w:line="276" w:lineRule="auto"/>
            </w:pPr>
            <w:r>
              <w:t>VARCHAR(16)</w:t>
            </w:r>
          </w:p>
        </w:tc>
        <w:tc>
          <w:tcPr>
            <w:tcW w:type="dxa" w:w="1734"/>
            <w:tcMar>
              <w:top w:w="50" w:type="dxa"/>
              <w:bottom w:w="50" w:type="dxa"/>
              <w:left w:w="70" w:type="dxa"/>
              <w:right w:w="70" w:type="dxa"/>
            </w:tcMar>
            <w:tcBorders>
              <w:bottom w:val="single" w:sz="4" w:space="0" w:color="E0E0E0"/>
            </w:tcBorders>
          </w:tcPr>
          <w:p>
            <w:pPr>
              <w:spacing w:line="276" w:lineRule="auto"/>
            </w:pPr>
            <w:r>
              <w:t>INDEX</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Purchased stock symbol.</w:t>
            </w:r>
          </w:p>
        </w:tc>
      </w:tr>
      <w:tr>
        <w:tc>
          <w:tcPr>
            <w:tcW w:type="dxa" w:w="1734"/>
            <w:tcMar>
              <w:top w:w="50" w:type="dxa"/>
              <w:bottom w:w="50" w:type="dxa"/>
              <w:left w:w="70" w:type="dxa"/>
              <w:right w:w="70" w:type="dxa"/>
            </w:tcMar>
            <w:tcBorders>
              <w:bottom w:val="single" w:sz="4" w:space="0" w:color="E0E0E0"/>
            </w:tcBorders>
          </w:tcPr>
          <w:p>
            <w:pPr>
              <w:spacing w:line="276" w:lineRule="auto"/>
            </w:pPr>
            <w:r>
              <w:t>buyPrice</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Execution purchase price per share in NPR.</w:t>
            </w:r>
          </w:p>
        </w:tc>
      </w:tr>
      <w:tr>
        <w:tc>
          <w:tcPr>
            <w:tcW w:type="dxa" w:w="1734"/>
            <w:tcMar>
              <w:top w:w="50" w:type="dxa"/>
              <w:bottom w:w="50" w:type="dxa"/>
              <w:left w:w="70" w:type="dxa"/>
              <w:right w:w="70" w:type="dxa"/>
            </w:tcMar>
            <w:tcBorders>
              <w:bottom w:val="single" w:sz="4" w:space="0" w:color="E0E0E0"/>
            </w:tcBorders>
          </w:tcPr>
          <w:p>
            <w:pPr>
              <w:spacing w:line="276" w:lineRule="auto"/>
            </w:pPr>
            <w:r>
              <w:t>quantity</w:t>
            </w:r>
          </w:p>
        </w:tc>
        <w:tc>
          <w:tcPr>
            <w:tcW w:type="dxa" w:w="1734"/>
            <w:tcMar>
              <w:top w:w="50" w:type="dxa"/>
              <w:bottom w:w="50" w:type="dxa"/>
              <w:left w:w="70" w:type="dxa"/>
              <w:right w:w="70" w:type="dxa"/>
            </w:tcMar>
            <w:tcBorders>
              <w:bottom w:val="single" w:sz="4" w:space="0" w:color="E0E0E0"/>
            </w:tcBorders>
          </w:tcPr>
          <w:p>
            <w:pPr>
              <w:spacing w:line="276" w:lineRule="auto"/>
            </w:pPr>
            <w:r>
              <w:t>FLOAT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Number of equity shares held.</w:t>
            </w:r>
          </w:p>
        </w:tc>
      </w:tr>
      <w:tr>
        <w:tc>
          <w:tcPr>
            <w:tcW w:type="dxa" w:w="1734"/>
            <w:tcMar>
              <w:top w:w="50" w:type="dxa"/>
              <w:bottom w:w="50" w:type="dxa"/>
              <w:left w:w="70" w:type="dxa"/>
              <w:right w:w="70" w:type="dxa"/>
            </w:tcMar>
            <w:tcBorders>
              <w:bottom w:val="single" w:sz="4" w:space="0" w:color="E0E0E0"/>
            </w:tcBorders>
          </w:tcPr>
          <w:p>
            <w:pPr>
              <w:spacing w:line="276" w:lineRule="auto"/>
            </w:pPr>
            <w:r>
              <w:t>buyDate</w:t>
            </w:r>
          </w:p>
        </w:tc>
        <w:tc>
          <w:tcPr>
            <w:tcW w:type="dxa" w:w="1734"/>
            <w:tcMar>
              <w:top w:w="50" w:type="dxa"/>
              <w:bottom w:w="50" w:type="dxa"/>
              <w:left w:w="70" w:type="dxa"/>
              <w:right w:w="70" w:type="dxa"/>
            </w:tcMar>
            <w:tcBorders>
              <w:bottom w:val="single" w:sz="4" w:space="0" w:color="E0E0E0"/>
            </w:tcBorders>
          </w:tcPr>
          <w:p>
            <w:pPr>
              <w:spacing w:line="276" w:lineRule="auto"/>
            </w:pPr>
            <w:r>
              <w:t>DATETIME</w:t>
            </w:r>
          </w:p>
        </w:tc>
        <w:tc>
          <w:tcPr>
            <w:tcW w:type="dxa" w:w="1734"/>
            <w:tcMar>
              <w:top w:w="50" w:type="dxa"/>
              <w:bottom w:w="50" w:type="dxa"/>
              <w:left w:w="70" w:type="dxa"/>
              <w:right w:w="70" w:type="dxa"/>
            </w:tcMar>
            <w:tcBorders>
              <w:bottom w:val="single" w:sz="4" w:space="0" w:color="E0E0E0"/>
            </w:tcBorders>
          </w:tcPr>
          <w:p>
            <w:pPr>
              <w:spacing w:line="276" w:lineRule="auto"/>
            </w:pPr>
            <w:r>
              <w:t>DEFAULT NOW</w:t>
            </w:r>
          </w:p>
        </w:tc>
        <w:tc>
          <w:tcPr>
            <w:tcW w:type="dxa" w:w="1734"/>
            <w:tcMar>
              <w:top w:w="50" w:type="dxa"/>
              <w:bottom w:w="50" w:type="dxa"/>
              <w:left w:w="70" w:type="dxa"/>
              <w:right w:w="70" w:type="dxa"/>
            </w:tcMar>
            <w:tcBorders>
              <w:bottom w:val="single" w:sz="4" w:space="0" w:color="E0E0E0"/>
            </w:tcBorders>
          </w:tcPr>
          <w:p>
            <w:pPr>
              <w:spacing w:line="276" w:lineRule="auto"/>
            </w:pPr>
            <w:r>
              <w:t>No</w:t>
            </w:r>
          </w:p>
        </w:tc>
        <w:tc>
          <w:tcPr>
            <w:tcW w:type="dxa" w:w="1734"/>
            <w:tcMar>
              <w:top w:w="50" w:type="dxa"/>
              <w:bottom w:w="50" w:type="dxa"/>
              <w:left w:w="70" w:type="dxa"/>
              <w:right w:w="70" w:type="dxa"/>
            </w:tcMar>
            <w:tcBorders>
              <w:bottom w:val="single" w:sz="4" w:space="0" w:color="E0E0E0"/>
            </w:tcBorders>
          </w:tcPr>
          <w:p>
            <w:pPr>
              <w:spacing w:line="276" w:lineRule="auto"/>
            </w:pPr>
            <w:r>
              <w:t>Transaction execution date.</w:t>
            </w:r>
          </w:p>
        </w:tc>
      </w:tr>
      <w:tr>
        <w:tc>
          <w:tcPr>
            <w:tcW w:type="dxa" w:w="1734"/>
            <w:tcMar>
              <w:top w:w="50" w:type="dxa"/>
              <w:bottom w:w="50" w:type="dxa"/>
              <w:left w:w="70" w:type="dxa"/>
              <w:right w:w="70" w:type="dxa"/>
            </w:tcMar>
            <w:tcBorders>
              <w:bottom w:val="single" w:sz="4" w:space="0" w:color="E0E0E0"/>
            </w:tcBorders>
          </w:tcPr>
          <w:p>
            <w:pPr>
              <w:spacing w:line="276" w:lineRule="auto"/>
            </w:pPr>
            <w:r>
              <w:t>notes</w:t>
            </w:r>
          </w:p>
        </w:tc>
        <w:tc>
          <w:tcPr>
            <w:tcW w:type="dxa" w:w="1734"/>
            <w:tcMar>
              <w:top w:w="50" w:type="dxa"/>
              <w:bottom w:w="50" w:type="dxa"/>
              <w:left w:w="70" w:type="dxa"/>
              <w:right w:w="70" w:type="dxa"/>
            </w:tcMar>
            <w:tcBorders>
              <w:bottom w:val="single" w:sz="4" w:space="0" w:color="E0E0E0"/>
            </w:tcBorders>
          </w:tcPr>
          <w:p>
            <w:pPr>
              <w:spacing w:line="276" w:lineRule="auto"/>
            </w:pPr>
            <w:r>
              <w:t>TEXT</w:t>
            </w:r>
          </w:p>
        </w:tc>
        <w:tc>
          <w:tcPr>
            <w:tcW w:type="dxa" w:w="1734"/>
            <w:tcMar>
              <w:top w:w="50" w:type="dxa"/>
              <w:bottom w:w="50" w:type="dxa"/>
              <w:left w:w="70" w:type="dxa"/>
              <w:right w:w="70" w:type="dxa"/>
            </w:tcMar>
            <w:tcBorders>
              <w:bottom w:val="single" w:sz="4" w:space="0" w:color="E0E0E0"/>
            </w:tcBorders>
          </w:tcPr>
          <w:p>
            <w:pPr>
              <w:spacing w:line="276" w:lineRule="auto"/>
            </w:pPr>
            <w:r>
              <w:t>None</w:t>
            </w:r>
          </w:p>
        </w:tc>
        <w:tc>
          <w:tcPr>
            <w:tcW w:type="dxa" w:w="1734"/>
            <w:tcMar>
              <w:top w:w="50" w:type="dxa"/>
              <w:bottom w:w="50" w:type="dxa"/>
              <w:left w:w="70" w:type="dxa"/>
              <w:right w:w="70" w:type="dxa"/>
            </w:tcMar>
            <w:tcBorders>
              <w:bottom w:val="single" w:sz="4" w:space="0" w:color="E0E0E0"/>
            </w:tcBorders>
          </w:tcPr>
          <w:p>
            <w:pPr>
              <w:spacing w:line="276" w:lineRule="auto"/>
            </w:pPr>
            <w:r>
              <w:t>Yes</w:t>
            </w:r>
          </w:p>
        </w:tc>
        <w:tc>
          <w:tcPr>
            <w:tcW w:type="dxa" w:w="1734"/>
            <w:tcMar>
              <w:top w:w="50" w:type="dxa"/>
              <w:bottom w:w="50" w:type="dxa"/>
              <w:left w:w="70" w:type="dxa"/>
              <w:right w:w="70" w:type="dxa"/>
            </w:tcMar>
            <w:tcBorders>
              <w:bottom w:val="single" w:sz="4" w:space="0" w:color="E0E0E0"/>
            </w:tcBorders>
          </w:tcPr>
          <w:p>
            <w:pPr>
              <w:spacing w:line="276" w:lineRule="auto"/>
            </w:pPr>
            <w:r>
              <w:t>Target investment strategy notes.</w:t>
            </w:r>
          </w:p>
        </w:tc>
      </w:tr>
    </w:tbl>
    <w:p>
      <w:pPr>
        <w:keepNext/>
        <w:spacing w:before="200" w:after="80" w:line="276" w:lineRule="auto"/>
        <w:jc w:val="left"/>
      </w:pPr>
      <w:r>
        <w:rPr>
          <w:rFonts w:ascii="Times New Roman" w:hAnsi="Times New Roman"/>
          <w:b/>
          <w:sz w:val="24"/>
        </w:rPr>
        <w:t>3.2.3 Interface Design (UI/UX Overview)</w:t>
      </w:r>
    </w:p>
    <w:p>
      <w:pPr>
        <w:spacing w:before="0" w:after="120" w:line="360" w:lineRule="auto"/>
        <w:jc w:val="both"/>
      </w:pPr>
      <w:r>
        <w:rPr>
          <w:rFonts w:ascii="Times New Roman" w:hAnsi="Times New Roman"/>
          <w:b w:val="0"/>
          <w:i w:val="0"/>
          <w:sz w:val="24"/>
        </w:rPr>
        <w:t>The user interface was developed following modern financial dashboard conventions inspired by TradingView and Bloomberg terminals:</w:t>
      </w:r>
    </w:p>
    <w:p>
      <w:pPr>
        <w:spacing w:before="0" w:after="120" w:line="360" w:lineRule="auto"/>
        <w:jc w:val="both"/>
      </w:pPr>
      <w:r>
        <w:rPr>
          <w:rFonts w:ascii="Times New Roman" w:hAnsi="Times New Roman"/>
          <w:b w:val="0"/>
          <w:i w:val="0"/>
          <w:sz w:val="24"/>
        </w:rPr>
        <w:t>• Real-Time Market Ticker Ribbon: Ticker tape at the top of the interface showing NEPSE composite indices, Sensitive Index, Banking sub-index, and market change status.</w:t>
      </w:r>
    </w:p>
    <w:p>
      <w:pPr>
        <w:spacing w:before="0" w:after="120" w:line="360" w:lineRule="auto"/>
        <w:jc w:val="both"/>
      </w:pPr>
      <w:r>
        <w:rPr>
          <w:rFonts w:ascii="Times New Roman" w:hAnsi="Times New Roman"/>
          <w:b w:val="0"/>
          <w:i w:val="0"/>
          <w:sz w:val="24"/>
        </w:rPr>
        <w:t>• Stock Explorer Sidebar: Interactive search input with instant filtering across 649 companies, sector pills, live quotes, and watchlist favorites.</w:t>
      </w:r>
    </w:p>
    <w:p>
      <w:pPr>
        <w:spacing w:before="0" w:after="120" w:line="360" w:lineRule="auto"/>
        <w:jc w:val="both"/>
      </w:pPr>
      <w:r>
        <w:rPr>
          <w:rFonts w:ascii="Times New Roman" w:hAnsi="Times New Roman"/>
          <w:b w:val="0"/>
          <w:i w:val="0"/>
          <w:sz w:val="24"/>
        </w:rPr>
        <w:t>• Charting Visualizer: Responsive candlestick/area toggle with technical indicator overlays (EMA 12/26/50, Bollinger Bands, Volume bars) and timeframe switches (1W, 1M, 3M, 6M, 1Y, ALL).</w:t>
      </w:r>
    </w:p>
    <w:p>
      <w:pPr>
        <w:spacing w:before="0" w:after="120" w:line="360" w:lineRule="auto"/>
        <w:jc w:val="both"/>
      </w:pPr>
      <w:r>
        <w:rPr>
          <w:rFonts w:ascii="Times New Roman" w:hAnsi="Times New Roman"/>
          <w:b w:val="0"/>
          <w:i w:val="0"/>
          <w:sz w:val="24"/>
        </w:rPr>
        <w:t>• AI Forecast Card: Semi-circular radial confidence dial, Bullish/Bearish directional badge, probability bar, and quantitative feature contribution weights.</w:t>
      </w:r>
    </w:p>
    <w:p>
      <w:pPr>
        <w:spacing w:before="0" w:after="120" w:line="360" w:lineRule="auto"/>
        <w:jc w:val="both"/>
      </w:pPr>
      <w:r>
        <w:rPr>
          <w:rFonts w:ascii="Times New Roman" w:hAnsi="Times New Roman"/>
          <w:b w:val="0"/>
          <w:i w:val="0"/>
          <w:sz w:val="24"/>
        </w:rPr>
        <w:t>• Market Screener: Real-time 4-column leaderboards for Top Gainers, Losers, Turnover, and Volume, plus an Advance/Decline breadth ratio bar.</w:t>
      </w:r>
    </w:p>
    <w:p>
      <w:pPr>
        <w:spacing w:before="0" w:after="120" w:line="360" w:lineRule="auto"/>
        <w:jc w:val="both"/>
      </w:pPr>
      <w:r>
        <w:rPr>
          <w:rFonts w:ascii="Times New Roman" w:hAnsi="Times New Roman"/>
          <w:b w:val="0"/>
          <w:i w:val="0"/>
          <w:sz w:val="24"/>
        </w:rPr>
        <w:t>• Portfolio Tracker: Comprehensive paper trading dashboard calculating real-time net worth, unrealized PnL (Rs. and %), and sector allocation progress bars.</w:t>
      </w:r>
    </w:p>
    <w:p>
      <w:pPr>
        <w:spacing w:before="0" w:after="120" w:line="360" w:lineRule="auto"/>
        <w:jc w:val="both"/>
      </w:pPr>
      <w:r>
        <w:rPr>
          <w:rFonts w:ascii="Times New Roman" w:hAnsi="Times New Roman"/>
          <w:b w:val="0"/>
          <w:i w:val="0"/>
          <w:sz w:val="24"/>
        </w:rPr>
        <w:t>• Multi-Stock Comparison Matrix: Side-by-side modal benchmarking up to 3 securities across valuation, volatility, and AI sentiment.</w:t>
      </w:r>
    </w:p>
    <w:p>
      <w:pPr>
        <w:keepNext/>
        <w:spacing w:before="200" w:after="80" w:line="276" w:lineRule="auto"/>
        <w:jc w:val="left"/>
      </w:pPr>
      <w:r>
        <w:rPr>
          <w:rFonts w:ascii="Times New Roman" w:hAnsi="Times New Roman"/>
          <w:b/>
          <w:sz w:val="24"/>
        </w:rPr>
        <w:t>3.2.4 Component and Deployment Architecture</w:t>
      </w:r>
    </w:p>
    <w:p>
      <w:pPr>
        <w:spacing w:before="80" w:after="240"/>
        <w:jc w:val="center"/>
      </w:pPr>
      <w:r>
        <w:rPr>
          <w:rFonts w:ascii="Times New Roman" w:hAnsi="Times New Roman"/>
          <w:b/>
          <w:sz w:val="24"/>
        </w:rPr>
        <w:t>Figure 3.8: Component Architecture Diagram of Frontend and Backend Microservices</w:t>
      </w:r>
    </w:p>
    <w:p>
      <w:pPr>
        <w:spacing w:before="80" w:after="240"/>
        <w:jc w:val="center"/>
      </w:pPr>
      <w:r>
        <w:rPr>
          <w:rFonts w:ascii="Times New Roman" w:hAnsi="Times New Roman"/>
          <w:b/>
          <w:sz w:val="24"/>
        </w:rPr>
        <w:t>Figure 3.9: Physical Deployment Diagram across Containerized Environments</w:t>
      </w:r>
    </w:p>
    <w:p>
      <w:pPr>
        <w:keepNext/>
        <w:spacing w:before="280" w:after="120" w:line="276" w:lineRule="auto"/>
        <w:jc w:val="left"/>
      </w:pPr>
      <w:r>
        <w:rPr>
          <w:rFonts w:ascii="Times New Roman" w:hAnsi="Times New Roman"/>
          <w:b/>
          <w:sz w:val="28"/>
        </w:rPr>
        <w:t>3.3 Algorithm Details</w:t>
      </w:r>
    </w:p>
    <w:p>
      <w:pPr>
        <w:keepNext/>
        <w:spacing w:before="200" w:after="80" w:line="276" w:lineRule="auto"/>
        <w:jc w:val="left"/>
      </w:pPr>
      <w:r>
        <w:rPr>
          <w:rFonts w:ascii="Times New Roman" w:hAnsi="Times New Roman"/>
          <w:b/>
          <w:sz w:val="24"/>
        </w:rPr>
        <w:t>3.3.1 Mathematical Formulations of Technical Indicators</w:t>
      </w:r>
    </w:p>
    <w:p>
      <w:pPr>
        <w:spacing w:before="0" w:after="120" w:line="360" w:lineRule="auto"/>
        <w:jc w:val="both"/>
      </w:pPr>
      <w:r>
        <w:rPr>
          <w:rFonts w:ascii="Times New Roman" w:hAnsi="Times New Roman"/>
          <w:b w:val="0"/>
          <w:i w:val="0"/>
          <w:sz w:val="24"/>
        </w:rPr>
        <w:t>The technical indicators are calculated sequentially with linear O(N) complexity:</w:t>
      </w:r>
    </w:p>
    <w:p>
      <w:pPr>
        <w:spacing w:before="0" w:after="120" w:line="360" w:lineRule="auto"/>
        <w:jc w:val="both"/>
      </w:pPr>
      <w:r>
        <w:rPr>
          <w:rFonts w:ascii="Times New Roman" w:hAnsi="Times New Roman"/>
          <w:b w:val="0"/>
          <w:i w:val="0"/>
          <w:sz w:val="24"/>
        </w:rPr>
        <w:t>• Simple Moving Average: SMA_k = (1/k) ∑_{i=0}^{k-1} Close_{t-i}</w:t>
      </w:r>
    </w:p>
    <w:p>
      <w:pPr>
        <w:spacing w:before="0" w:after="120" w:line="360" w:lineRule="auto"/>
        <w:jc w:val="both"/>
      </w:pPr>
      <w:r>
        <w:rPr>
          <w:rFonts w:ascii="Times New Roman" w:hAnsi="Times New Roman"/>
          <w:b w:val="0"/>
          <w:i w:val="0"/>
          <w:sz w:val="24"/>
        </w:rPr>
        <w:t>• Wilder's Smoothed Average Gain/Loss: AvgGain_t = [(AvgGain_{t-1} × 13) + Gain_t] / 14</w:t>
      </w:r>
    </w:p>
    <w:p>
      <w:pPr>
        <w:spacing w:before="0" w:after="120" w:line="360" w:lineRule="auto"/>
        <w:jc w:val="both"/>
      </w:pPr>
      <w:r>
        <w:rPr>
          <w:rFonts w:ascii="Times New Roman" w:hAnsi="Times New Roman"/>
          <w:b w:val="0"/>
          <w:i w:val="0"/>
          <w:sz w:val="24"/>
        </w:rPr>
        <w:t>• Bollinger Bandwidth: Bandwidth = (Upper Band - Lower Band) / Middle Band</w:t>
      </w:r>
    </w:p>
    <w:p>
      <w:pPr>
        <w:keepNext/>
        <w:spacing w:before="200" w:after="80" w:line="276" w:lineRule="auto"/>
        <w:jc w:val="left"/>
      </w:pPr>
      <w:r>
        <w:rPr>
          <w:rFonts w:ascii="Times New Roman" w:hAnsi="Times New Roman"/>
          <w:b/>
          <w:sz w:val="24"/>
        </w:rPr>
        <w:t>3.3.2 Two-Stage Hybrid LSTM-XGBoost Architecture</w:t>
      </w:r>
    </w:p>
    <w:p>
      <w:pPr>
        <w:spacing w:before="0" w:after="120" w:line="360" w:lineRule="auto"/>
        <w:jc w:val="both"/>
      </w:pPr>
      <w:r>
        <w:rPr>
          <w:rFonts w:ascii="Times New Roman" w:hAnsi="Times New Roman"/>
          <w:b w:val="0"/>
          <w:i w:val="0"/>
          <w:sz w:val="24"/>
        </w:rPr>
        <w:t>Stage 1: A PyTorch LSTM with input dimension 5 (OHLCV), hidden dimension 16, and batch_first=True processes the 30-day scaled price sequence X_seq ∈ ℝ^{B × 30 × 5}. The final hidden state h_30 ∈ ℝ^{B × 16} represents the temporal embedding vector.</w:t>
      </w:r>
    </w:p>
    <w:p>
      <w:pPr>
        <w:spacing w:before="0" w:after="120" w:line="360" w:lineRule="auto"/>
        <w:jc w:val="both"/>
      </w:pPr>
      <w:r>
        <w:rPr>
          <w:rFonts w:ascii="Times New Roman" w:hAnsi="Times New Roman"/>
          <w:b w:val="0"/>
          <w:i w:val="0"/>
          <w:sz w:val="24"/>
        </w:rPr>
        <w:t>Stage 2: The embedding h_30 is concatenated with 8 engineered technical indicators (RSI 14, MACD Line, MACD Signal, MACD Hist, EMA 12, EMA 26, EMA 50, Volume Delta), forming a combined feature vector X_combined ∈ ℝ^{B × 24}.</w:t>
      </w:r>
    </w:p>
    <w:p>
      <w:pPr>
        <w:spacing w:before="0" w:after="120" w:line="360" w:lineRule="auto"/>
        <w:jc w:val="both"/>
      </w:pPr>
      <w:r>
        <w:rPr>
          <w:rFonts w:ascii="Times New Roman" w:hAnsi="Times New Roman"/>
          <w:b w:val="0"/>
          <w:i w:val="0"/>
          <w:sz w:val="24"/>
        </w:rPr>
        <w:t>XGBoost Classifier: Trained with multi:softprob objective over 3 classes (0: Bearish, 1: Neutral, 2: Bullish), outputting class probabilities P(y=c | X_combined). The class with maximum probability determines the trend signal, and the probability value represents model confidence.</w:t>
      </w:r>
    </w:p>
    <w:p>
      <w:pPr>
        <w:spacing w:before="80" w:after="240"/>
        <w:jc w:val="center"/>
      </w:pPr>
      <w:r>
        <w:rPr>
          <w:rFonts w:ascii="Times New Roman" w:hAnsi="Times New Roman"/>
          <w:b/>
          <w:sz w:val="24"/>
        </w:rPr>
        <w:t>Figure 3.10: Two-Stage Hybrid LSTM-XGBoost Feature Concatenation Architecture</w:t>
      </w:r>
    </w:p>
    <w:p>
      <w:pPr>
        <w:keepNext/>
        <w:spacing w:before="200" w:after="80" w:line="276" w:lineRule="auto"/>
        <w:jc w:val="left"/>
      </w:pPr>
      <w:r>
        <w:rPr>
          <w:rFonts w:ascii="Times New Roman" w:hAnsi="Times New Roman"/>
          <w:b/>
          <w:sz w:val="24"/>
        </w:rPr>
        <w:t>3.3.3 Real-Time Multi-Condition Alert Evaluation Engine</w:t>
      </w:r>
    </w:p>
    <w:p>
      <w:pPr>
        <w:spacing w:before="0" w:after="120" w:line="360" w:lineRule="auto"/>
        <w:jc w:val="both"/>
      </w:pPr>
      <w:r>
        <w:rPr>
          <w:rFonts w:ascii="Times New Roman" w:hAnsi="Times New Roman"/>
          <w:b w:val="0"/>
          <w:i w:val="0"/>
          <w:sz w:val="24"/>
        </w:rPr>
        <w:t>The AlertsService evaluates active alarms against fresh ticks using condition-specific matching logic:</w:t>
      </w:r>
    </w:p>
    <w:p>
      <w:pPr>
        <w:spacing w:before="0" w:after="120" w:line="360" w:lineRule="auto"/>
        <w:jc w:val="both"/>
      </w:pPr>
      <w:r>
        <w:rPr>
          <w:rFonts w:ascii="Times New Roman" w:hAnsi="Times New Roman"/>
          <w:b w:val="0"/>
          <w:i w:val="0"/>
          <w:sz w:val="24"/>
        </w:rPr>
        <w:t>• ABOVE: Condition met if Current Price &gt;= Target Price.</w:t>
      </w:r>
    </w:p>
    <w:p>
      <w:pPr>
        <w:spacing w:before="0" w:after="120" w:line="360" w:lineRule="auto"/>
        <w:jc w:val="both"/>
      </w:pPr>
      <w:r>
        <w:rPr>
          <w:rFonts w:ascii="Times New Roman" w:hAnsi="Times New Roman"/>
          <w:b w:val="0"/>
          <w:i w:val="0"/>
          <w:sz w:val="24"/>
        </w:rPr>
        <w:t>• BELOW: Condition met if Current Price &lt;= Target Price.</w:t>
      </w:r>
    </w:p>
    <w:p>
      <w:pPr>
        <w:spacing w:before="0" w:after="120" w:line="360" w:lineRule="auto"/>
        <w:jc w:val="both"/>
      </w:pPr>
      <w:r>
        <w:rPr>
          <w:rFonts w:ascii="Times New Roman" w:hAnsi="Times New Roman"/>
          <w:b w:val="0"/>
          <w:i w:val="0"/>
          <w:sz w:val="24"/>
        </w:rPr>
        <w:t>• RSI_OVERSOLD: Condition met if Current RSI &lt;= Target (e.g., 30).</w:t>
      </w:r>
    </w:p>
    <w:p>
      <w:pPr>
        <w:spacing w:before="0" w:after="120" w:line="360" w:lineRule="auto"/>
        <w:jc w:val="both"/>
      </w:pPr>
      <w:r>
        <w:rPr>
          <w:rFonts w:ascii="Times New Roman" w:hAnsi="Times New Roman"/>
          <w:b w:val="0"/>
          <w:i w:val="0"/>
          <w:sz w:val="24"/>
        </w:rPr>
        <w:t>• RSI_OVERBOUGHT: Condition met if Current RSI &gt;= Target (e.g., 70).</w:t>
      </w:r>
    </w:p>
    <w:p>
      <w:pPr>
        <w:spacing w:before="0" w:after="120" w:line="360" w:lineRule="auto"/>
        <w:jc w:val="both"/>
      </w:pPr>
      <w:r>
        <w:rPr>
          <w:rFonts w:ascii="Times New Roman" w:hAnsi="Times New Roman"/>
          <w:b w:val="0"/>
          <w:i w:val="0"/>
          <w:sz w:val="24"/>
        </w:rPr>
        <w:t>• MACD_CROSSOVER: Condition met if Previous MACD Hist &lt;= 0 and Current MACD Hist &gt; 0.</w:t>
      </w:r>
    </w:p>
    <w:p>
      <w:pPr>
        <w:spacing w:before="0" w:after="120" w:line="360" w:lineRule="auto"/>
        <w:jc w:val="both"/>
      </w:pPr>
      <w:r>
        <w:rPr>
          <w:rFonts w:ascii="Times New Roman" w:hAnsi="Times New Roman"/>
          <w:b w:val="0"/>
          <w:i w:val="0"/>
          <w:sz w:val="24"/>
        </w:rPr>
        <w:t>Upon match, the database record is updated to triggered=true, and notification events are broadcast to the client.</w:t>
      </w:r>
    </w:p>
    <w:p>
      <w:pPr>
        <w:keepNext/>
        <w:spacing w:before="200" w:after="80" w:line="276" w:lineRule="auto"/>
        <w:jc w:val="left"/>
      </w:pPr>
      <w:r>
        <w:rPr>
          <w:rFonts w:ascii="Times New Roman" w:hAnsi="Times New Roman"/>
          <w:b/>
          <w:sz w:val="24"/>
        </w:rPr>
        <w:t>3.3.4 Empirical Signal Backtesting Simulation Algorithm</w:t>
      </w:r>
    </w:p>
    <w:p>
      <w:pPr>
        <w:spacing w:before="0" w:after="120" w:line="360" w:lineRule="auto"/>
        <w:jc w:val="both"/>
      </w:pPr>
      <w:r>
        <w:rPr>
          <w:rFonts w:ascii="Times New Roman" w:hAnsi="Times New Roman"/>
          <w:b w:val="0"/>
          <w:i w:val="0"/>
          <w:sz w:val="24"/>
        </w:rPr>
        <w:t>The backtesting simulator iterates over the past 60 sessions with a 5-day holding window. For each session where momentum indicators signaled Bullish or Bearish entry, the algorithm evaluates the 5-day forward return: pct_change = (Close_{t+5} - Close_t) / Close_t. If signal direction matches price movement, a win is recorded; otherwise, a loss is registered. The algorithm computes overall Win Rate % = (Wins / Total Signals) × 100 and Profit Factor = Gross Profit / Gross Loss.</w:t>
      </w:r>
    </w:p>
    <w:p>
      <w:r>
        <w:br w:type="page"/>
      </w:r>
    </w:p>
    <w:p>
      <w:pPr>
        <w:keepNext/>
        <w:spacing w:before="360" w:after="200" w:line="276" w:lineRule="auto"/>
        <w:jc w:val="left"/>
      </w:pPr>
      <w:r>
        <w:rPr>
          <w:rFonts w:ascii="Times New Roman" w:hAnsi="Times New Roman"/>
          <w:b/>
          <w:sz w:val="32"/>
        </w:rPr>
        <w:t>CHAPTER 4: IMPLEMENTATION AND TESTING</w:t>
      </w:r>
    </w:p>
    <w:p>
      <w:pPr>
        <w:keepNext/>
        <w:spacing w:before="280" w:after="120" w:line="276" w:lineRule="auto"/>
        <w:jc w:val="left"/>
      </w:pPr>
      <w:r>
        <w:rPr>
          <w:rFonts w:ascii="Times New Roman" w:hAnsi="Times New Roman"/>
          <w:b/>
          <w:sz w:val="28"/>
        </w:rPr>
        <w:t>4.1 Implementation</w:t>
      </w:r>
    </w:p>
    <w:p>
      <w:pPr>
        <w:keepNext/>
        <w:spacing w:before="200" w:after="80" w:line="276" w:lineRule="auto"/>
        <w:jc w:val="left"/>
      </w:pPr>
      <w:r>
        <w:rPr>
          <w:rFonts w:ascii="Times New Roman" w:hAnsi="Times New Roman"/>
          <w:b/>
          <w:sz w:val="24"/>
        </w:rPr>
        <w:t>4.1.1 Tools and Platforms Used</w:t>
      </w:r>
    </w:p>
    <w:p>
      <w:pPr>
        <w:keepNext/>
        <w:spacing w:before="240" w:after="80"/>
        <w:jc w:val="center"/>
      </w:pPr>
      <w:r>
        <w:rPr>
          <w:rFonts w:ascii="Times New Roman" w:hAnsi="Times New Roman"/>
          <w:b/>
          <w:sz w:val="24"/>
        </w:rPr>
        <w:t>Table 4.1: Software Development Stack, Libraries, and CASE Tools</w:t>
      </w:r>
    </w:p>
    <w:tbl>
      <w:tblPr>
        <w:tblW w:type="auto" w:w="0"/>
        <w:jc w:val="center"/>
        <w:tblLook w:firstColumn="1" w:firstRow="1" w:lastColumn="0" w:lastRow="0" w:noHBand="0" w:noVBand="1" w:val="04A0"/>
      </w:tblPr>
      <w:tblGrid>
        <w:gridCol w:w="2890"/>
        <w:gridCol w:w="2890"/>
        <w:gridCol w:w="2890"/>
      </w:tblGrid>
      <w:tr>
        <w:tc>
          <w:tcPr>
            <w:tcW w:type="dxa" w:w="2890"/>
            <w:shd w:fill="F0F0F0"/>
          </w:tcPr>
          <w:p>
            <w:r>
              <w:rPr>
                <w:b/>
              </w:rPr>
              <w:t>Tier / Category</w:t>
            </w:r>
          </w:p>
        </w:tc>
        <w:tc>
          <w:tcPr>
            <w:tcW w:type="dxa" w:w="2890"/>
            <w:shd w:fill="F0F0F0"/>
          </w:tcPr>
          <w:p>
            <w:r>
              <w:rPr>
                <w:b/>
              </w:rPr>
              <w:t>Technology / Tool</w:t>
            </w:r>
          </w:p>
        </w:tc>
        <w:tc>
          <w:tcPr>
            <w:tcW w:type="dxa" w:w="2890"/>
            <w:shd w:fill="F0F0F0"/>
          </w:tcPr>
          <w:p>
            <w:r>
              <w:rPr>
                <w:b/>
              </w:rPr>
              <w:t>Role in Project</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Frontend Framework</w:t>
            </w:r>
          </w:p>
        </w:tc>
        <w:tc>
          <w:tcPr>
            <w:tcW w:type="dxa" w:w="2890"/>
            <w:tcMar>
              <w:top w:w="60" w:type="dxa"/>
              <w:bottom w:w="60" w:type="dxa"/>
              <w:left w:w="80" w:type="dxa"/>
              <w:right w:w="80" w:type="dxa"/>
            </w:tcMar>
            <w:tcBorders>
              <w:bottom w:val="single" w:sz="4" w:space="0" w:color="E0E0E0"/>
            </w:tcBorders>
          </w:tcPr>
          <w:p>
            <w:pPr>
              <w:spacing w:line="276" w:lineRule="auto"/>
            </w:pPr>
            <w:r>
              <w:t>React 19 &amp; Vite 6</w:t>
            </w:r>
          </w:p>
        </w:tc>
        <w:tc>
          <w:tcPr>
            <w:tcW w:type="dxa" w:w="2890"/>
            <w:tcMar>
              <w:top w:w="60" w:type="dxa"/>
              <w:bottom w:w="60" w:type="dxa"/>
              <w:left w:w="80" w:type="dxa"/>
              <w:right w:w="80" w:type="dxa"/>
            </w:tcMar>
            <w:tcBorders>
              <w:bottom w:val="single" w:sz="4" w:space="0" w:color="E0E0E0"/>
            </w:tcBorders>
          </w:tcPr>
          <w:p>
            <w:pPr>
              <w:spacing w:line="276" w:lineRule="auto"/>
            </w:pPr>
            <w:r>
              <w:t>Single Page Application rendering and ultra-fast client HMR.</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Frontend Styling</w:t>
            </w:r>
          </w:p>
        </w:tc>
        <w:tc>
          <w:tcPr>
            <w:tcW w:type="dxa" w:w="2890"/>
            <w:tcMar>
              <w:top w:w="60" w:type="dxa"/>
              <w:bottom w:w="60" w:type="dxa"/>
              <w:left w:w="80" w:type="dxa"/>
              <w:right w:w="80" w:type="dxa"/>
            </w:tcMar>
            <w:tcBorders>
              <w:bottom w:val="single" w:sz="4" w:space="0" w:color="E0E0E0"/>
            </w:tcBorders>
          </w:tcPr>
          <w:p>
            <w:pPr>
              <w:spacing w:line="276" w:lineRule="auto"/>
            </w:pPr>
            <w:r>
              <w:t>Tailwind CSS 3</w:t>
            </w:r>
          </w:p>
        </w:tc>
        <w:tc>
          <w:tcPr>
            <w:tcW w:type="dxa" w:w="2890"/>
            <w:tcMar>
              <w:top w:w="60" w:type="dxa"/>
              <w:bottom w:w="60" w:type="dxa"/>
              <w:left w:w="80" w:type="dxa"/>
              <w:right w:w="80" w:type="dxa"/>
            </w:tcMar>
            <w:tcBorders>
              <w:bottom w:val="single" w:sz="4" w:space="0" w:color="E0E0E0"/>
            </w:tcBorders>
          </w:tcPr>
          <w:p>
            <w:pPr>
              <w:spacing w:line="276" w:lineRule="auto"/>
            </w:pPr>
            <w:r>
              <w:t>Responsive grid layout, dark mode palette, and financial micro-animations.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Financial Charting</w:t>
            </w:r>
          </w:p>
        </w:tc>
        <w:tc>
          <w:tcPr>
            <w:tcW w:type="dxa" w:w="2890"/>
            <w:tcMar>
              <w:top w:w="60" w:type="dxa"/>
              <w:bottom w:w="60" w:type="dxa"/>
              <w:left w:w="80" w:type="dxa"/>
              <w:right w:w="80" w:type="dxa"/>
            </w:tcMar>
            <w:tcBorders>
              <w:bottom w:val="single" w:sz="4" w:space="0" w:color="E0E0E0"/>
            </w:tcBorders>
          </w:tcPr>
          <w:p>
            <w:pPr>
              <w:spacing w:line="276" w:lineRule="auto"/>
            </w:pPr>
            <w:r>
              <w:t>Recharts 2.15</w:t>
            </w:r>
          </w:p>
        </w:tc>
        <w:tc>
          <w:tcPr>
            <w:tcW w:type="dxa" w:w="2890"/>
            <w:tcMar>
              <w:top w:w="60" w:type="dxa"/>
              <w:bottom w:w="60" w:type="dxa"/>
              <w:left w:w="80" w:type="dxa"/>
              <w:right w:w="80" w:type="dxa"/>
            </w:tcMar>
            <w:tcBorders>
              <w:bottom w:val="single" w:sz="4" w:space="0" w:color="E0E0E0"/>
            </w:tcBorders>
          </w:tcPr>
          <w:p>
            <w:pPr>
              <w:spacing w:line="276" w:lineRule="auto"/>
            </w:pPr>
            <w:r>
              <w:t>Vector SVG rendering for Candlestick, Area, Volume, and Indicator sub-panels.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Audio Synthesis</w:t>
            </w:r>
          </w:p>
        </w:tc>
        <w:tc>
          <w:tcPr>
            <w:tcW w:type="dxa" w:w="2890"/>
            <w:tcMar>
              <w:top w:w="60" w:type="dxa"/>
              <w:bottom w:w="60" w:type="dxa"/>
              <w:left w:w="80" w:type="dxa"/>
              <w:right w:w="80" w:type="dxa"/>
            </w:tcMar>
            <w:tcBorders>
              <w:bottom w:val="single" w:sz="4" w:space="0" w:color="E0E0E0"/>
            </w:tcBorders>
          </w:tcPr>
          <w:p>
            <w:pPr>
              <w:spacing w:line="276" w:lineRule="auto"/>
            </w:pPr>
            <w:r>
              <w:t>HTML5 Web Audio API</w:t>
            </w:r>
          </w:p>
        </w:tc>
        <w:tc>
          <w:tcPr>
            <w:tcW w:type="dxa" w:w="2890"/>
            <w:tcMar>
              <w:top w:w="60" w:type="dxa"/>
              <w:bottom w:w="60" w:type="dxa"/>
              <w:left w:w="80" w:type="dxa"/>
              <w:right w:w="80" w:type="dxa"/>
            </w:tcMar>
            <w:tcBorders>
              <w:bottom w:val="single" w:sz="4" w:space="0" w:color="E0E0E0"/>
            </w:tcBorders>
          </w:tcPr>
          <w:p>
            <w:pPr>
              <w:spacing w:line="276" w:lineRule="auto"/>
            </w:pPr>
            <w:r>
              <w:t>Client-side acoustic chime synthesis for price alarm triggers without external assets.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Backend Framework</w:t>
            </w:r>
          </w:p>
        </w:tc>
        <w:tc>
          <w:tcPr>
            <w:tcW w:type="dxa" w:w="2890"/>
            <w:tcMar>
              <w:top w:w="60" w:type="dxa"/>
              <w:bottom w:w="60" w:type="dxa"/>
              <w:left w:w="80" w:type="dxa"/>
              <w:right w:w="80" w:type="dxa"/>
            </w:tcMar>
            <w:tcBorders>
              <w:bottom w:val="single" w:sz="4" w:space="0" w:color="E0E0E0"/>
            </w:tcBorders>
          </w:tcPr>
          <w:p>
            <w:pPr>
              <w:spacing w:line="276" w:lineRule="auto"/>
            </w:pPr>
            <w:r>
              <w:t>NestJS 11 &amp; Express</w:t>
            </w:r>
          </w:p>
        </w:tc>
        <w:tc>
          <w:tcPr>
            <w:tcW w:type="dxa" w:w="2890"/>
            <w:tcMar>
              <w:top w:w="60" w:type="dxa"/>
              <w:bottom w:w="60" w:type="dxa"/>
              <w:left w:w="80" w:type="dxa"/>
              <w:right w:w="80" w:type="dxa"/>
            </w:tcMar>
            <w:tcBorders>
              <w:bottom w:val="single" w:sz="4" w:space="0" w:color="E0E0E0"/>
            </w:tcBorders>
          </w:tcPr>
          <w:p>
            <w:pPr>
              <w:spacing w:line="276" w:lineRule="auto"/>
            </w:pPr>
            <w:r>
              <w:t>TypeScript modular enterprise server managing REST APIs and cron workers.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Database &amp; ORM</w:t>
            </w:r>
          </w:p>
        </w:tc>
        <w:tc>
          <w:tcPr>
            <w:tcW w:type="dxa" w:w="2890"/>
            <w:tcMar>
              <w:top w:w="60" w:type="dxa"/>
              <w:bottom w:w="60" w:type="dxa"/>
              <w:left w:w="80" w:type="dxa"/>
              <w:right w:w="80" w:type="dxa"/>
            </w:tcMar>
            <w:tcBorders>
              <w:bottom w:val="single" w:sz="4" w:space="0" w:color="E0E0E0"/>
            </w:tcBorders>
          </w:tcPr>
          <w:p>
            <w:pPr>
              <w:spacing w:line="276" w:lineRule="auto"/>
            </w:pPr>
            <w:r>
              <w:t>Prisma ORM 6 &amp; SQLite / PostgreSQL</w:t>
            </w:r>
          </w:p>
        </w:tc>
        <w:tc>
          <w:tcPr>
            <w:tcW w:type="dxa" w:w="2890"/>
            <w:tcMar>
              <w:top w:w="60" w:type="dxa"/>
              <w:bottom w:w="60" w:type="dxa"/>
              <w:left w:w="80" w:type="dxa"/>
              <w:right w:w="80" w:type="dxa"/>
            </w:tcMar>
            <w:tcBorders>
              <w:bottom w:val="single" w:sz="4" w:space="0" w:color="E0E0E0"/>
            </w:tcBorders>
          </w:tcPr>
          <w:p>
            <w:pPr>
              <w:spacing w:line="276" w:lineRule="auto"/>
            </w:pPr>
            <w:r>
              <w:t>Database abstraction, schema migrations, and high-performance time-series queries.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Market Data Scraping</w:t>
            </w:r>
          </w:p>
        </w:tc>
        <w:tc>
          <w:tcPr>
            <w:tcW w:type="dxa" w:w="2890"/>
            <w:tcMar>
              <w:top w:w="60" w:type="dxa"/>
              <w:bottom w:w="60" w:type="dxa"/>
              <w:left w:w="80" w:type="dxa"/>
              <w:right w:w="80" w:type="dxa"/>
            </w:tcMar>
            <w:tcBorders>
              <w:bottom w:val="single" w:sz="4" w:space="0" w:color="E0E0E0"/>
            </w:tcBorders>
          </w:tcPr>
          <w:p>
            <w:pPr>
              <w:spacing w:line="276" w:lineRule="auto"/>
            </w:pPr>
            <w:r>
              <w:t>@rumess/nepse-api</w:t>
            </w:r>
          </w:p>
        </w:tc>
        <w:tc>
          <w:tcPr>
            <w:tcW w:type="dxa" w:w="2890"/>
            <w:tcMar>
              <w:top w:w="60" w:type="dxa"/>
              <w:bottom w:w="60" w:type="dxa"/>
              <w:left w:w="80" w:type="dxa"/>
              <w:right w:w="80" w:type="dxa"/>
            </w:tcMar>
            <w:tcBorders>
              <w:bottom w:val="single" w:sz="4" w:space="0" w:color="E0E0E0"/>
            </w:tcBorders>
          </w:tcPr>
          <w:p>
            <w:pPr>
              <w:spacing w:line="276" w:lineRule="auto"/>
            </w:pPr>
            <w:r>
              <w:t>Automated EOD ingestion wrapper with TLS bypass for NEPSE portals.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Machine Learning</w:t>
            </w:r>
          </w:p>
        </w:tc>
        <w:tc>
          <w:tcPr>
            <w:tcW w:type="dxa" w:w="2890"/>
            <w:tcMar>
              <w:top w:w="60" w:type="dxa"/>
              <w:bottom w:w="60" w:type="dxa"/>
              <w:left w:w="80" w:type="dxa"/>
              <w:right w:w="80" w:type="dxa"/>
            </w:tcMar>
            <w:tcBorders>
              <w:bottom w:val="single" w:sz="4" w:space="0" w:color="E0E0E0"/>
            </w:tcBorders>
          </w:tcPr>
          <w:p>
            <w:pPr>
              <w:spacing w:line="276" w:lineRule="auto"/>
            </w:pPr>
            <w:r>
              <w:t>PyTorch 2.6 &amp; XGBoost 2.1</w:t>
            </w:r>
          </w:p>
        </w:tc>
        <w:tc>
          <w:tcPr>
            <w:tcW w:type="dxa" w:w="2890"/>
            <w:tcMar>
              <w:top w:w="60" w:type="dxa"/>
              <w:bottom w:w="60" w:type="dxa"/>
              <w:left w:w="80" w:type="dxa"/>
              <w:right w:w="80" w:type="dxa"/>
            </w:tcMar>
            <w:tcBorders>
              <w:bottom w:val="single" w:sz="4" w:space="0" w:color="E0E0E0"/>
            </w:tcBorders>
          </w:tcPr>
          <w:p>
            <w:pPr>
              <w:spacing w:line="276" w:lineRule="auto"/>
            </w:pPr>
            <w:r>
              <w:t>Deep learning LSTM sequence feature extraction and gradient boosted tree inference.</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ML API Serving</w:t>
            </w:r>
          </w:p>
        </w:tc>
        <w:tc>
          <w:tcPr>
            <w:tcW w:type="dxa" w:w="2890"/>
            <w:tcMar>
              <w:top w:w="60" w:type="dxa"/>
              <w:bottom w:w="60" w:type="dxa"/>
              <w:left w:w="80" w:type="dxa"/>
              <w:right w:w="80" w:type="dxa"/>
            </w:tcMar>
            <w:tcBorders>
              <w:bottom w:val="single" w:sz="4" w:space="0" w:color="E0E0E0"/>
            </w:tcBorders>
          </w:tcPr>
          <w:p>
            <w:pPr>
              <w:spacing w:line="276" w:lineRule="auto"/>
            </w:pPr>
            <w:r>
              <w:t>FastAPI &amp; Uvicorn</w:t>
            </w:r>
          </w:p>
        </w:tc>
        <w:tc>
          <w:tcPr>
            <w:tcW w:type="dxa" w:w="2890"/>
            <w:tcMar>
              <w:top w:w="60" w:type="dxa"/>
              <w:bottom w:w="60" w:type="dxa"/>
              <w:left w:w="80" w:type="dxa"/>
              <w:right w:w="80" w:type="dxa"/>
            </w:tcMar>
            <w:tcBorders>
              <w:bottom w:val="single" w:sz="4" w:space="0" w:color="E0E0E0"/>
            </w:tcBorders>
          </w:tcPr>
          <w:p>
            <w:pPr>
              <w:spacing w:line="276" w:lineRule="auto"/>
            </w:pPr>
            <w:r>
              <w:t>Asynchronous Python HTTP server exposing prediction and training endpoints.</w:t>
            </w:r>
          </w:p>
        </w:tc>
      </w:tr>
      <w:tr>
        <w:tc>
          <w:tcPr>
            <w:tcW w:type="dxa" w:w="2890"/>
            <w:tcMar>
              <w:top w:w="60" w:type="dxa"/>
              <w:bottom w:w="60" w:type="dxa"/>
              <w:left w:w="80" w:type="dxa"/>
              <w:right w:w="80" w:type="dxa"/>
            </w:tcMar>
            <w:tcBorders>
              <w:bottom w:val="single" w:sz="4" w:space="0" w:color="E0E0E0"/>
            </w:tcBorders>
          </w:tcPr>
          <w:p>
            <w:pPr>
              <w:spacing w:line="276" w:lineRule="auto"/>
            </w:pPr>
            <w:r>
              <w:rPr>
                <w:b/>
              </w:rPr>
              <w:t>CASE &amp; Modeling</w:t>
            </w:r>
          </w:p>
        </w:tc>
        <w:tc>
          <w:tcPr>
            <w:tcW w:type="dxa" w:w="2890"/>
            <w:tcMar>
              <w:top w:w="60" w:type="dxa"/>
              <w:bottom w:w="60" w:type="dxa"/>
              <w:left w:w="80" w:type="dxa"/>
              <w:right w:w="80" w:type="dxa"/>
            </w:tcMar>
            <w:tcBorders>
              <w:bottom w:val="single" w:sz="4" w:space="0" w:color="E0E0E0"/>
            </w:tcBorders>
          </w:tcPr>
          <w:p>
            <w:pPr>
              <w:spacing w:line="276" w:lineRule="auto"/>
            </w:pPr>
            <w:r>
              <w:t>Lucidchart &amp; PlantUML</w:t>
            </w:r>
          </w:p>
        </w:tc>
        <w:tc>
          <w:tcPr>
            <w:tcW w:type="dxa" w:w="2890"/>
            <w:tcMar>
              <w:top w:w="60" w:type="dxa"/>
              <w:bottom w:w="60" w:type="dxa"/>
              <w:left w:w="80" w:type="dxa"/>
              <w:right w:w="80" w:type="dxa"/>
            </w:tcMar>
            <w:tcBorders>
              <w:bottom w:val="single" w:sz="4" w:space="0" w:color="E0E0E0"/>
            </w:tcBorders>
          </w:tcPr>
          <w:p>
            <w:pPr>
              <w:spacing w:line="276" w:lineRule="auto"/>
            </w:pPr>
            <w:r>
              <w:t>UML software architecture, ER diagrams, and sequence flow modeling.</w:t>
            </w:r>
          </w:p>
        </w:tc>
      </w:tr>
    </w:tbl>
    <w:p>
      <w:pPr>
        <w:keepNext/>
        <w:spacing w:before="200" w:after="80" w:line="276" w:lineRule="auto"/>
        <w:jc w:val="left"/>
      </w:pPr>
      <w:r>
        <w:rPr>
          <w:rFonts w:ascii="Times New Roman" w:hAnsi="Times New Roman"/>
          <w:b/>
          <w:sz w:val="24"/>
        </w:rPr>
        <w:t>4.1.2 Module Implementation Details</w:t>
      </w:r>
    </w:p>
    <w:p>
      <w:pPr>
        <w:spacing w:before="0" w:after="120" w:line="360" w:lineRule="auto"/>
        <w:jc w:val="both"/>
      </w:pPr>
      <w:r>
        <w:rPr>
          <w:rFonts w:ascii="Times New Roman" w:hAnsi="Times New Roman"/>
          <w:b w:val="0"/>
          <w:i w:val="0"/>
          <w:sz w:val="24"/>
        </w:rPr>
        <w:t>1. StockModule (NestJS): Encapsulates StockController and StockService. Computes technical indicators, extracts 52-week high/low, annualized 30-day volatility, and ranks Top Gainers, Losers, Turnover, and Volume.</w:t>
      </w:r>
    </w:p>
    <w:p>
      <w:pPr>
        <w:spacing w:before="0" w:after="120" w:line="360" w:lineRule="auto"/>
        <w:jc w:val="both"/>
      </w:pPr>
      <w:r>
        <w:rPr>
          <w:rFonts w:ascii="Times New Roman" w:hAnsi="Times New Roman"/>
          <w:b w:val="0"/>
          <w:i w:val="0"/>
          <w:sz w:val="24"/>
        </w:rPr>
        <w:t>2. AlertsModule (NestJS): Manages full CRUD operations for price alarms. Exposes /api/v1/alerts/evaluate which matches pending alarms against fresh prices and indicator states.</w:t>
      </w:r>
    </w:p>
    <w:p>
      <w:pPr>
        <w:spacing w:before="0" w:after="120" w:line="360" w:lineRule="auto"/>
        <w:jc w:val="both"/>
      </w:pPr>
      <w:r>
        <w:rPr>
          <w:rFonts w:ascii="Times New Roman" w:hAnsi="Times New Roman"/>
          <w:b w:val="0"/>
          <w:i w:val="0"/>
          <w:sz w:val="24"/>
        </w:rPr>
        <w:t>3. PortfolioModule (NestJS): Implements simulated paper trading. Tracks positions and calculates mark-to-market valuations, unrealized profit/loss, daily return, and sector capital distribution.</w:t>
      </w:r>
    </w:p>
    <w:p>
      <w:pPr>
        <w:spacing w:before="0" w:after="120" w:line="360" w:lineRule="auto"/>
        <w:jc w:val="both"/>
      </w:pPr>
      <w:r>
        <w:rPr>
          <w:rFonts w:ascii="Times New Roman" w:hAnsi="Times New Roman"/>
          <w:b w:val="0"/>
          <w:i w:val="0"/>
          <w:sz w:val="24"/>
        </w:rPr>
        <w:t>4. PredictionModule (NestJS): Bridges the application core to the Python ML microservice. Formats price sequences, dispatches inference calls, and executes the local quantitative fallback matrix if the Python service is offline.</w:t>
      </w:r>
    </w:p>
    <w:p>
      <w:pPr>
        <w:spacing w:before="0" w:after="120" w:line="360" w:lineRule="auto"/>
        <w:jc w:val="both"/>
      </w:pPr>
      <w:r>
        <w:rPr>
          <w:rFonts w:ascii="Times New Roman" w:hAnsi="Times New Roman"/>
          <w:b w:val="0"/>
          <w:i w:val="0"/>
          <w:sz w:val="24"/>
        </w:rPr>
        <w:t>5. FastAPI ML Engine (Python): Operates HybridModel in hybrid_model.py. Normalizes OHLCV matrices via StandardScaler, runs sequence windows through PyTorch LSTMFeatureExtractor, concatenates embeddings with indicators, and classifies via XGBoost.</w:t>
      </w:r>
    </w:p>
    <w:p>
      <w:pPr>
        <w:spacing w:before="0" w:after="120" w:line="360" w:lineRule="auto"/>
        <w:jc w:val="both"/>
      </w:pPr>
      <w:r>
        <w:rPr>
          <w:rFonts w:ascii="Times New Roman" w:hAnsi="Times New Roman"/>
          <w:b w:val="0"/>
          <w:i w:val="0"/>
          <w:sz w:val="24"/>
        </w:rPr>
        <w:t>6. Frontend Client Canvas (React): Orchestrates useStockData, useAlerts, and usePortfolio hooks. Provides seamless tabbed navigation across Overview, AI Insights, Technical, Screener, Portfolio, and Sectors.</w:t>
      </w:r>
    </w:p>
    <w:p>
      <w:pPr>
        <w:keepNext/>
        <w:spacing w:before="280" w:after="120" w:line="276" w:lineRule="auto"/>
        <w:jc w:val="left"/>
      </w:pPr>
      <w:r>
        <w:rPr>
          <w:rFonts w:ascii="Times New Roman" w:hAnsi="Times New Roman"/>
          <w:b/>
          <w:sz w:val="28"/>
        </w:rPr>
        <w:t>4.2 Testing</w:t>
      </w:r>
    </w:p>
    <w:p>
      <w:pPr>
        <w:keepNext/>
        <w:spacing w:before="200" w:after="80" w:line="276" w:lineRule="auto"/>
        <w:jc w:val="left"/>
      </w:pPr>
      <w:r>
        <w:rPr>
          <w:rFonts w:ascii="Times New Roman" w:hAnsi="Times New Roman"/>
          <w:b/>
          <w:sz w:val="24"/>
        </w:rPr>
        <w:t>4.2.1 Unit Testing</w:t>
      </w:r>
    </w:p>
    <w:p>
      <w:pPr>
        <w:keepNext/>
        <w:spacing w:before="240" w:after="80"/>
        <w:jc w:val="center"/>
      </w:pPr>
      <w:r>
        <w:rPr>
          <w:rFonts w:ascii="Times New Roman" w:hAnsi="Times New Roman"/>
          <w:b/>
          <w:sz w:val="24"/>
        </w:rPr>
        <w:t>Table 4.2: Unit Test Suite Specifications and Execution Results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0F0F0"/>
          </w:tcPr>
          <w:p>
            <w:r>
              <w:rPr>
                <w:b/>
              </w:rPr>
              <w:t>Test ID</w:t>
            </w:r>
          </w:p>
        </w:tc>
        <w:tc>
          <w:tcPr>
            <w:tcW w:type="dxa" w:w="1445"/>
            <w:shd w:fill="F0F0F0"/>
          </w:tcPr>
          <w:p>
            <w:r>
              <w:rPr>
                <w:b/>
              </w:rPr>
              <w:t>Component</w:t>
            </w:r>
          </w:p>
        </w:tc>
        <w:tc>
          <w:tcPr>
            <w:tcW w:type="dxa" w:w="1445"/>
            <w:shd w:fill="F0F0F0"/>
          </w:tcPr>
          <w:p>
            <w:r>
              <w:rPr>
                <w:b/>
              </w:rPr>
              <w:t>Test Description</w:t>
            </w:r>
          </w:p>
        </w:tc>
        <w:tc>
          <w:tcPr>
            <w:tcW w:type="dxa" w:w="1445"/>
            <w:shd w:fill="F0F0F0"/>
          </w:tcPr>
          <w:p>
            <w:r>
              <w:rPr>
                <w:b/>
              </w:rPr>
              <w:t>Input</w:t>
            </w:r>
          </w:p>
        </w:tc>
        <w:tc>
          <w:tcPr>
            <w:tcW w:type="dxa" w:w="1445"/>
            <w:shd w:fill="F0F0F0"/>
          </w:tcPr>
          <w:p>
            <w:r>
              <w:rPr>
                <w:b/>
              </w:rPr>
              <w:t>Expected Output</w:t>
            </w:r>
          </w:p>
        </w:tc>
        <w:tc>
          <w:tcPr>
            <w:tcW w:type="dxa" w:w="1445"/>
            <w:shd w:fill="F0F0F0"/>
          </w:tcPr>
          <w:p>
            <w:r>
              <w:rPr>
                <w:b/>
              </w:rPr>
              <w:t>Status</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UT-01</w:t>
            </w:r>
          </w:p>
        </w:tc>
        <w:tc>
          <w:tcPr>
            <w:tcW w:type="dxa" w:w="1445"/>
            <w:tcMar>
              <w:top w:w="50" w:type="dxa"/>
              <w:bottom w:w="50" w:type="dxa"/>
              <w:left w:w="60" w:type="dxa"/>
              <w:right w:w="60" w:type="dxa"/>
            </w:tcMar>
            <w:tcBorders>
              <w:bottom w:val="single" w:sz="4" w:space="0" w:color="E0E0E0"/>
            </w:tcBorders>
          </w:tcPr>
          <w:p>
            <w:pPr>
              <w:spacing w:line="276" w:lineRule="auto"/>
            </w:pPr>
            <w:r>
              <w:t>StockService</w:t>
            </w:r>
          </w:p>
        </w:tc>
        <w:tc>
          <w:tcPr>
            <w:tcW w:type="dxa" w:w="1445"/>
            <w:tcMar>
              <w:top w:w="50" w:type="dxa"/>
              <w:bottom w:w="50" w:type="dxa"/>
              <w:left w:w="60" w:type="dxa"/>
              <w:right w:w="60" w:type="dxa"/>
            </w:tcMar>
            <w:tcBorders>
              <w:bottom w:val="single" w:sz="4" w:space="0" w:color="E0E0E0"/>
            </w:tcBorders>
          </w:tcPr>
          <w:p>
            <w:pPr>
              <w:spacing w:line="276" w:lineRule="auto"/>
            </w:pPr>
            <w:r>
              <w:t>EMA 12 Calculation</w:t>
            </w:r>
          </w:p>
        </w:tc>
        <w:tc>
          <w:tcPr>
            <w:tcW w:type="dxa" w:w="1445"/>
            <w:tcMar>
              <w:top w:w="50" w:type="dxa"/>
              <w:bottom w:w="50" w:type="dxa"/>
              <w:left w:w="60" w:type="dxa"/>
              <w:right w:w="60" w:type="dxa"/>
            </w:tcMar>
            <w:tcBorders>
              <w:bottom w:val="single" w:sz="4" w:space="0" w:color="E0E0E0"/>
            </w:tcBorders>
          </w:tcPr>
          <w:p>
            <w:pPr>
              <w:spacing w:line="276" w:lineRule="auto"/>
            </w:pPr>
            <w:r>
              <w:t>Array of 60 closing prices</w:t>
            </w:r>
          </w:p>
        </w:tc>
        <w:tc>
          <w:tcPr>
            <w:tcW w:type="dxa" w:w="1445"/>
            <w:tcMar>
              <w:top w:w="50" w:type="dxa"/>
              <w:bottom w:w="50" w:type="dxa"/>
              <w:left w:w="60" w:type="dxa"/>
              <w:right w:w="60" w:type="dxa"/>
            </w:tcMar>
            <w:tcBorders>
              <w:bottom w:val="single" w:sz="4" w:space="0" w:color="E0E0E0"/>
            </w:tcBorders>
          </w:tcPr>
          <w:p>
            <w:pPr>
              <w:spacing w:line="276" w:lineRule="auto"/>
            </w:pPr>
            <w:r>
              <w:t>Accurate 12-period EMA array with first 11 values null</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UT-02</w:t>
            </w:r>
          </w:p>
        </w:tc>
        <w:tc>
          <w:tcPr>
            <w:tcW w:type="dxa" w:w="1445"/>
            <w:tcMar>
              <w:top w:w="50" w:type="dxa"/>
              <w:bottom w:w="50" w:type="dxa"/>
              <w:left w:w="60" w:type="dxa"/>
              <w:right w:w="60" w:type="dxa"/>
            </w:tcMar>
            <w:tcBorders>
              <w:bottom w:val="single" w:sz="4" w:space="0" w:color="E0E0E0"/>
            </w:tcBorders>
          </w:tcPr>
          <w:p>
            <w:pPr>
              <w:spacing w:line="276" w:lineRule="auto"/>
            </w:pPr>
            <w:r>
              <w:t>StockService</w:t>
            </w:r>
          </w:p>
        </w:tc>
        <w:tc>
          <w:tcPr>
            <w:tcW w:type="dxa" w:w="1445"/>
            <w:tcMar>
              <w:top w:w="50" w:type="dxa"/>
              <w:bottom w:w="50" w:type="dxa"/>
              <w:left w:w="60" w:type="dxa"/>
              <w:right w:w="60" w:type="dxa"/>
            </w:tcMar>
            <w:tcBorders>
              <w:bottom w:val="single" w:sz="4" w:space="0" w:color="E0E0E0"/>
            </w:tcBorders>
          </w:tcPr>
          <w:p>
            <w:pPr>
              <w:spacing w:line="276" w:lineRule="auto"/>
            </w:pPr>
            <w:r>
              <w:t>RSI 14 Boundedness</w:t>
            </w:r>
          </w:p>
        </w:tc>
        <w:tc>
          <w:tcPr>
            <w:tcW w:type="dxa" w:w="1445"/>
            <w:tcMar>
              <w:top w:w="50" w:type="dxa"/>
              <w:bottom w:w="50" w:type="dxa"/>
              <w:left w:w="60" w:type="dxa"/>
              <w:right w:w="60" w:type="dxa"/>
            </w:tcMar>
            <w:tcBorders>
              <w:bottom w:val="single" w:sz="4" w:space="0" w:color="E0E0E0"/>
            </w:tcBorders>
          </w:tcPr>
          <w:p>
            <w:pPr>
              <w:spacing w:line="276" w:lineRule="auto"/>
            </w:pPr>
            <w:r>
              <w:t>Array of 60 closing prices</w:t>
            </w:r>
          </w:p>
        </w:tc>
        <w:tc>
          <w:tcPr>
            <w:tcW w:type="dxa" w:w="1445"/>
            <w:tcMar>
              <w:top w:w="50" w:type="dxa"/>
              <w:bottom w:w="50" w:type="dxa"/>
              <w:left w:w="60" w:type="dxa"/>
              <w:right w:w="60" w:type="dxa"/>
            </w:tcMar>
            <w:tcBorders>
              <w:bottom w:val="single" w:sz="4" w:space="0" w:color="E0E0E0"/>
            </w:tcBorders>
          </w:tcPr>
          <w:p>
            <w:pPr>
              <w:spacing w:line="276" w:lineRule="auto"/>
            </w:pPr>
            <w:r>
              <w:t>Values strictly bounded between 0 and 100</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UT-03</w:t>
            </w:r>
          </w:p>
        </w:tc>
        <w:tc>
          <w:tcPr>
            <w:tcW w:type="dxa" w:w="1445"/>
            <w:tcMar>
              <w:top w:w="50" w:type="dxa"/>
              <w:bottom w:w="50" w:type="dxa"/>
              <w:left w:w="60" w:type="dxa"/>
              <w:right w:w="60" w:type="dxa"/>
            </w:tcMar>
            <w:tcBorders>
              <w:bottom w:val="single" w:sz="4" w:space="0" w:color="E0E0E0"/>
            </w:tcBorders>
          </w:tcPr>
          <w:p>
            <w:pPr>
              <w:spacing w:line="276" w:lineRule="auto"/>
            </w:pPr>
            <w:r>
              <w:t>StockService</w:t>
            </w:r>
          </w:p>
        </w:tc>
        <w:tc>
          <w:tcPr>
            <w:tcW w:type="dxa" w:w="1445"/>
            <w:tcMar>
              <w:top w:w="50" w:type="dxa"/>
              <w:bottom w:w="50" w:type="dxa"/>
              <w:left w:w="60" w:type="dxa"/>
              <w:right w:w="60" w:type="dxa"/>
            </w:tcMar>
            <w:tcBorders>
              <w:bottom w:val="single" w:sz="4" w:space="0" w:color="E0E0E0"/>
            </w:tcBorders>
          </w:tcPr>
          <w:p>
            <w:pPr>
              <w:spacing w:line="276" w:lineRule="auto"/>
            </w:pPr>
            <w:r>
              <w:t>Bollinger Bands Width</w:t>
            </w:r>
          </w:p>
        </w:tc>
        <w:tc>
          <w:tcPr>
            <w:tcW w:type="dxa" w:w="1445"/>
            <w:tcMar>
              <w:top w:w="50" w:type="dxa"/>
              <w:bottom w:w="50" w:type="dxa"/>
              <w:left w:w="60" w:type="dxa"/>
              <w:right w:w="60" w:type="dxa"/>
            </w:tcMar>
            <w:tcBorders>
              <w:bottom w:val="single" w:sz="4" w:space="0" w:color="E0E0E0"/>
            </w:tcBorders>
          </w:tcPr>
          <w:p>
            <w:pPr>
              <w:spacing w:line="276" w:lineRule="auto"/>
            </w:pPr>
            <w:r>
              <w:t>Array of 60 closing prices</w:t>
            </w:r>
          </w:p>
        </w:tc>
        <w:tc>
          <w:tcPr>
            <w:tcW w:type="dxa" w:w="1445"/>
            <w:tcMar>
              <w:top w:w="50" w:type="dxa"/>
              <w:bottom w:w="50" w:type="dxa"/>
              <w:left w:w="60" w:type="dxa"/>
              <w:right w:w="60" w:type="dxa"/>
            </w:tcMar>
            <w:tcBorders>
              <w:bottom w:val="single" w:sz="4" w:space="0" w:color="E0E0E0"/>
            </w:tcBorders>
          </w:tcPr>
          <w:p>
            <w:pPr>
              <w:spacing w:line="276" w:lineRule="auto"/>
            </w:pPr>
            <w:r>
              <w:t>Upper Band &gt; Middle Band &gt; Lower Band</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UT-04</w:t>
            </w:r>
          </w:p>
        </w:tc>
        <w:tc>
          <w:tcPr>
            <w:tcW w:type="dxa" w:w="1445"/>
            <w:tcMar>
              <w:top w:w="50" w:type="dxa"/>
              <w:bottom w:w="50" w:type="dxa"/>
              <w:left w:w="60" w:type="dxa"/>
              <w:right w:w="60" w:type="dxa"/>
            </w:tcMar>
            <w:tcBorders>
              <w:bottom w:val="single" w:sz="4" w:space="0" w:color="E0E0E0"/>
            </w:tcBorders>
          </w:tcPr>
          <w:p>
            <w:pPr>
              <w:spacing w:line="276" w:lineRule="auto"/>
            </w:pPr>
            <w:r>
              <w:t>AlertsService</w:t>
            </w:r>
          </w:p>
        </w:tc>
        <w:tc>
          <w:tcPr>
            <w:tcW w:type="dxa" w:w="1445"/>
            <w:tcMar>
              <w:top w:w="50" w:type="dxa"/>
              <w:bottom w:w="50" w:type="dxa"/>
              <w:left w:w="60" w:type="dxa"/>
              <w:right w:w="60" w:type="dxa"/>
            </w:tcMar>
            <w:tcBorders>
              <w:bottom w:val="single" w:sz="4" w:space="0" w:color="E0E0E0"/>
            </w:tcBorders>
          </w:tcPr>
          <w:p>
            <w:pPr>
              <w:spacing w:line="276" w:lineRule="auto"/>
            </w:pPr>
            <w:r>
              <w:t>Price Above Trigger</w:t>
            </w:r>
          </w:p>
        </w:tc>
        <w:tc>
          <w:tcPr>
            <w:tcW w:type="dxa" w:w="1445"/>
            <w:tcMar>
              <w:top w:w="50" w:type="dxa"/>
              <w:bottom w:w="50" w:type="dxa"/>
              <w:left w:w="60" w:type="dxa"/>
              <w:right w:w="60" w:type="dxa"/>
            </w:tcMar>
            <w:tcBorders>
              <w:bottom w:val="single" w:sz="4" w:space="0" w:color="E0E0E0"/>
            </w:tcBorders>
          </w:tcPr>
          <w:p>
            <w:pPr>
              <w:spacing w:line="276" w:lineRule="auto"/>
            </w:pPr>
            <w:r>
              <w:t>Target: Rs. 500, LTP: Rs. 506.42</w:t>
            </w:r>
          </w:p>
        </w:tc>
        <w:tc>
          <w:tcPr>
            <w:tcW w:type="dxa" w:w="1445"/>
            <w:tcMar>
              <w:top w:w="50" w:type="dxa"/>
              <w:bottom w:w="50" w:type="dxa"/>
              <w:left w:w="60" w:type="dxa"/>
              <w:right w:w="60" w:type="dxa"/>
            </w:tcMar>
            <w:tcBorders>
              <w:bottom w:val="single" w:sz="4" w:space="0" w:color="E0E0E0"/>
            </w:tcBorders>
          </w:tcPr>
          <w:p>
            <w:pPr>
              <w:spacing w:line="276" w:lineRule="auto"/>
            </w:pPr>
            <w:r>
              <w:t>Trigger flag set to true; message generated</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UT-05</w:t>
            </w:r>
          </w:p>
        </w:tc>
        <w:tc>
          <w:tcPr>
            <w:tcW w:type="dxa" w:w="1445"/>
            <w:tcMar>
              <w:top w:w="50" w:type="dxa"/>
              <w:bottom w:w="50" w:type="dxa"/>
              <w:left w:w="60" w:type="dxa"/>
              <w:right w:w="60" w:type="dxa"/>
            </w:tcMar>
            <w:tcBorders>
              <w:bottom w:val="single" w:sz="4" w:space="0" w:color="E0E0E0"/>
            </w:tcBorders>
          </w:tcPr>
          <w:p>
            <w:pPr>
              <w:spacing w:line="276" w:lineRule="auto"/>
            </w:pPr>
            <w:r>
              <w:t>AlertsService</w:t>
            </w:r>
          </w:p>
        </w:tc>
        <w:tc>
          <w:tcPr>
            <w:tcW w:type="dxa" w:w="1445"/>
            <w:tcMar>
              <w:top w:w="50" w:type="dxa"/>
              <w:bottom w:w="50" w:type="dxa"/>
              <w:left w:w="60" w:type="dxa"/>
              <w:right w:w="60" w:type="dxa"/>
            </w:tcMar>
            <w:tcBorders>
              <w:bottom w:val="single" w:sz="4" w:space="0" w:color="E0E0E0"/>
            </w:tcBorders>
          </w:tcPr>
          <w:p>
            <w:pPr>
              <w:spacing w:line="276" w:lineRule="auto"/>
            </w:pPr>
            <w:r>
              <w:t>RSI Oversold Trigger</w:t>
            </w:r>
          </w:p>
        </w:tc>
        <w:tc>
          <w:tcPr>
            <w:tcW w:type="dxa" w:w="1445"/>
            <w:tcMar>
              <w:top w:w="50" w:type="dxa"/>
              <w:bottom w:w="50" w:type="dxa"/>
              <w:left w:w="60" w:type="dxa"/>
              <w:right w:w="60" w:type="dxa"/>
            </w:tcMar>
            <w:tcBorders>
              <w:bottom w:val="single" w:sz="4" w:space="0" w:color="E0E0E0"/>
            </w:tcBorders>
          </w:tcPr>
          <w:p>
            <w:pPr>
              <w:spacing w:line="276" w:lineRule="auto"/>
            </w:pPr>
            <w:r>
              <w:t>Target: 30, Current RSI: 28.4</w:t>
            </w:r>
          </w:p>
        </w:tc>
        <w:tc>
          <w:tcPr>
            <w:tcW w:type="dxa" w:w="1445"/>
            <w:tcMar>
              <w:top w:w="50" w:type="dxa"/>
              <w:bottom w:w="50" w:type="dxa"/>
              <w:left w:w="60" w:type="dxa"/>
              <w:right w:w="60" w:type="dxa"/>
            </w:tcMar>
            <w:tcBorders>
              <w:bottom w:val="single" w:sz="4" w:space="0" w:color="E0E0E0"/>
            </w:tcBorders>
          </w:tcPr>
          <w:p>
            <w:pPr>
              <w:spacing w:line="276" w:lineRule="auto"/>
            </w:pPr>
            <w:r>
              <w:t>Trigger flag set to true</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UT-06</w:t>
            </w:r>
          </w:p>
        </w:tc>
        <w:tc>
          <w:tcPr>
            <w:tcW w:type="dxa" w:w="1445"/>
            <w:tcMar>
              <w:top w:w="50" w:type="dxa"/>
              <w:bottom w:w="50" w:type="dxa"/>
              <w:left w:w="60" w:type="dxa"/>
              <w:right w:w="60" w:type="dxa"/>
            </w:tcMar>
            <w:tcBorders>
              <w:bottom w:val="single" w:sz="4" w:space="0" w:color="E0E0E0"/>
            </w:tcBorders>
          </w:tcPr>
          <w:p>
            <w:pPr>
              <w:spacing w:line="276" w:lineRule="auto"/>
            </w:pPr>
            <w:r>
              <w:t>PortfolioService</w:t>
            </w:r>
          </w:p>
        </w:tc>
        <w:tc>
          <w:tcPr>
            <w:tcW w:type="dxa" w:w="1445"/>
            <w:tcMar>
              <w:top w:w="50" w:type="dxa"/>
              <w:bottom w:w="50" w:type="dxa"/>
              <w:left w:w="60" w:type="dxa"/>
              <w:right w:w="60" w:type="dxa"/>
            </w:tcMar>
            <w:tcBorders>
              <w:bottom w:val="single" w:sz="4" w:space="0" w:color="E0E0E0"/>
            </w:tcBorders>
          </w:tcPr>
          <w:p>
            <w:pPr>
              <w:spacing w:line="276" w:lineRule="auto"/>
            </w:pPr>
            <w:r>
              <w:t>Unrealized PnL Math</w:t>
            </w:r>
          </w:p>
        </w:tc>
        <w:tc>
          <w:tcPr>
            <w:tcW w:type="dxa" w:w="1445"/>
            <w:tcMar>
              <w:top w:w="50" w:type="dxa"/>
              <w:bottom w:w="50" w:type="dxa"/>
              <w:left w:w="60" w:type="dxa"/>
              <w:right w:w="60" w:type="dxa"/>
            </w:tcMar>
            <w:tcBorders>
              <w:bottom w:val="single" w:sz="4" w:space="0" w:color="E0E0E0"/>
            </w:tcBorders>
          </w:tcPr>
          <w:p>
            <w:pPr>
              <w:spacing w:line="276" w:lineRule="auto"/>
            </w:pPr>
            <w:r>
              <w:t>100 shares @ Rs. 480, LTP: Rs. 506.42</w:t>
            </w:r>
          </w:p>
        </w:tc>
        <w:tc>
          <w:tcPr>
            <w:tcW w:type="dxa" w:w="1445"/>
            <w:tcMar>
              <w:top w:w="50" w:type="dxa"/>
              <w:bottom w:w="50" w:type="dxa"/>
              <w:left w:w="60" w:type="dxa"/>
              <w:right w:w="60" w:type="dxa"/>
            </w:tcMar>
            <w:tcBorders>
              <w:bottom w:val="single" w:sz="4" w:space="0" w:color="E0E0E0"/>
            </w:tcBorders>
          </w:tcPr>
          <w:p>
            <w:pPr>
              <w:spacing w:line="276" w:lineRule="auto"/>
            </w:pPr>
            <w:r>
              <w:t>PnL = +Rs. 2,642.00 (+5.50%)</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UT-07</w:t>
            </w:r>
          </w:p>
        </w:tc>
        <w:tc>
          <w:tcPr>
            <w:tcW w:type="dxa" w:w="1445"/>
            <w:tcMar>
              <w:top w:w="50" w:type="dxa"/>
              <w:bottom w:w="50" w:type="dxa"/>
              <w:left w:w="60" w:type="dxa"/>
              <w:right w:w="60" w:type="dxa"/>
            </w:tcMar>
            <w:tcBorders>
              <w:bottom w:val="single" w:sz="4" w:space="0" w:color="E0E0E0"/>
            </w:tcBorders>
          </w:tcPr>
          <w:p>
            <w:pPr>
              <w:spacing w:line="276" w:lineRule="auto"/>
            </w:pPr>
            <w:r>
              <w:t>AudioAlarm</w:t>
            </w:r>
          </w:p>
        </w:tc>
        <w:tc>
          <w:tcPr>
            <w:tcW w:type="dxa" w:w="1445"/>
            <w:tcMar>
              <w:top w:w="50" w:type="dxa"/>
              <w:bottom w:w="50" w:type="dxa"/>
              <w:left w:w="60" w:type="dxa"/>
              <w:right w:w="60" w:type="dxa"/>
            </w:tcMar>
            <w:tcBorders>
              <w:bottom w:val="single" w:sz="4" w:space="0" w:color="E0E0E0"/>
            </w:tcBorders>
          </w:tcPr>
          <w:p>
            <w:pPr>
              <w:spacing w:line="276" w:lineRule="auto"/>
            </w:pPr>
            <w:r>
              <w:t>Web Audio Synthesis</w:t>
            </w:r>
          </w:p>
        </w:tc>
        <w:tc>
          <w:tcPr>
            <w:tcW w:type="dxa" w:w="1445"/>
            <w:tcMar>
              <w:top w:w="50" w:type="dxa"/>
              <w:bottom w:w="50" w:type="dxa"/>
              <w:left w:w="60" w:type="dxa"/>
              <w:right w:w="60" w:type="dxa"/>
            </w:tcMar>
            <w:tcBorders>
              <w:bottom w:val="single" w:sz="4" w:space="0" w:color="E0E0E0"/>
            </w:tcBorders>
          </w:tcPr>
          <w:p>
            <w:pPr>
              <w:spacing w:line="276" w:lineRule="auto"/>
            </w:pPr>
            <w:r>
              <w:t>Trigger event fired</w:t>
            </w:r>
          </w:p>
        </w:tc>
        <w:tc>
          <w:tcPr>
            <w:tcW w:type="dxa" w:w="1445"/>
            <w:tcMar>
              <w:top w:w="50" w:type="dxa"/>
              <w:bottom w:w="50" w:type="dxa"/>
              <w:left w:w="60" w:type="dxa"/>
              <w:right w:w="60" w:type="dxa"/>
            </w:tcMar>
            <w:tcBorders>
              <w:bottom w:val="single" w:sz="4" w:space="0" w:color="E0E0E0"/>
            </w:tcBorders>
          </w:tcPr>
          <w:p>
            <w:pPr>
              <w:spacing w:line="276" w:lineRule="auto"/>
            </w:pPr>
            <w:r>
              <w:t>AudioContext generates sine envelope (587Hz -&gt; 880Hz)</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445"/>
            <w:tcMar>
              <w:top w:w="50" w:type="dxa"/>
              <w:bottom w:w="50" w:type="dxa"/>
              <w:left w:w="60" w:type="dxa"/>
              <w:right w:w="60" w:type="dxa"/>
            </w:tcMar>
            <w:tcBorders>
              <w:bottom w:val="single" w:sz="4" w:space="0" w:color="E0E0E0"/>
            </w:tcBorders>
          </w:tcPr>
          <w:p>
            <w:pPr>
              <w:spacing w:line="276" w:lineRule="auto"/>
            </w:pPr>
            <w:r>
              <w:rPr>
                <w:b/>
              </w:rPr>
              <w:t>UT-08</w:t>
            </w:r>
          </w:p>
        </w:tc>
        <w:tc>
          <w:tcPr>
            <w:tcW w:type="dxa" w:w="1445"/>
            <w:tcMar>
              <w:top w:w="50" w:type="dxa"/>
              <w:bottom w:w="50" w:type="dxa"/>
              <w:left w:w="60" w:type="dxa"/>
              <w:right w:w="60" w:type="dxa"/>
            </w:tcMar>
            <w:tcBorders>
              <w:bottom w:val="single" w:sz="4" w:space="0" w:color="E0E0E0"/>
            </w:tcBorders>
          </w:tcPr>
          <w:p>
            <w:pPr>
              <w:spacing w:line="276" w:lineRule="auto"/>
            </w:pPr>
            <w:r>
              <w:t>FastAPIEngine</w:t>
            </w:r>
          </w:p>
        </w:tc>
        <w:tc>
          <w:tcPr>
            <w:tcW w:type="dxa" w:w="1445"/>
            <w:tcMar>
              <w:top w:w="50" w:type="dxa"/>
              <w:bottom w:w="50" w:type="dxa"/>
              <w:left w:w="60" w:type="dxa"/>
              <w:right w:w="60" w:type="dxa"/>
            </w:tcMar>
            <w:tcBorders>
              <w:bottom w:val="single" w:sz="4" w:space="0" w:color="E0E0E0"/>
            </w:tcBorders>
          </w:tcPr>
          <w:p>
            <w:pPr>
              <w:spacing w:line="276" w:lineRule="auto"/>
            </w:pPr>
            <w:r>
              <w:t>Shape Validation</w:t>
            </w:r>
          </w:p>
        </w:tc>
        <w:tc>
          <w:tcPr>
            <w:tcW w:type="dxa" w:w="1445"/>
            <w:tcMar>
              <w:top w:w="50" w:type="dxa"/>
              <w:bottom w:w="50" w:type="dxa"/>
              <w:left w:w="60" w:type="dxa"/>
              <w:right w:w="60" w:type="dxa"/>
            </w:tcMar>
            <w:tcBorders>
              <w:bottom w:val="single" w:sz="4" w:space="0" w:color="E0E0E0"/>
            </w:tcBorders>
          </w:tcPr>
          <w:p>
            <w:pPr>
              <w:spacing w:line="276" w:lineRule="auto"/>
            </w:pPr>
            <w:r>
              <w:t>30-day sequence tensor (1, 30, 5)</w:t>
            </w:r>
          </w:p>
        </w:tc>
        <w:tc>
          <w:tcPr>
            <w:tcW w:type="dxa" w:w="1445"/>
            <w:tcMar>
              <w:top w:w="50" w:type="dxa"/>
              <w:bottom w:w="50" w:type="dxa"/>
              <w:left w:w="60" w:type="dxa"/>
              <w:right w:w="60" w:type="dxa"/>
            </w:tcMar>
            <w:tcBorders>
              <w:bottom w:val="single" w:sz="4" w:space="0" w:color="E0E0E0"/>
            </w:tcBorders>
          </w:tcPr>
          <w:p>
            <w:pPr>
              <w:spacing w:line="276" w:lineRule="auto"/>
            </w:pPr>
            <w:r>
              <w:t>Outputs 16-dim embedding vector</w:t>
            </w:r>
          </w:p>
        </w:tc>
        <w:tc>
          <w:tcPr>
            <w:tcW w:type="dxa" w:w="1445"/>
            <w:tcMar>
              <w:top w:w="50" w:type="dxa"/>
              <w:bottom w:w="50" w:type="dxa"/>
              <w:left w:w="60" w:type="dxa"/>
              <w:right w:w="60" w:type="dxa"/>
            </w:tcMar>
            <w:tcBorders>
              <w:bottom w:val="single" w:sz="4" w:space="0" w:color="E0E0E0"/>
            </w:tcBorders>
          </w:tcPr>
          <w:p>
            <w:pPr>
              <w:spacing w:line="276" w:lineRule="auto"/>
            </w:pPr>
            <w:r>
              <w:rPr>
                <w:b/>
                <w:color w:val="008000"/>
              </w:rPr>
              <w:t>PASSED</w:t>
            </w:r>
          </w:p>
        </w:tc>
      </w:tr>
    </w:tbl>
    <w:p>
      <w:pPr>
        <w:keepNext/>
        <w:spacing w:before="200" w:after="80" w:line="276" w:lineRule="auto"/>
        <w:jc w:val="left"/>
      </w:pPr>
      <w:r>
        <w:rPr>
          <w:rFonts w:ascii="Times New Roman" w:hAnsi="Times New Roman"/>
          <w:b/>
          <w:sz w:val="24"/>
        </w:rPr>
        <w:t>4.2.2 System &amp; Integration Testing</w:t>
      </w:r>
    </w:p>
    <w:p>
      <w:pPr>
        <w:keepNext/>
        <w:spacing w:before="240" w:after="80"/>
        <w:jc w:val="center"/>
      </w:pPr>
      <w:r>
        <w:rPr>
          <w:rFonts w:ascii="Times New Roman" w:hAnsi="Times New Roman"/>
          <w:b/>
          <w:sz w:val="24"/>
        </w:rPr>
        <w:t>Table 4.3: System Integration and End-to-End Test Matrix</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0F0F0"/>
          </w:tcPr>
          <w:p>
            <w:r>
              <w:rPr>
                <w:b/>
              </w:rPr>
              <w:t>Test ID</w:t>
            </w:r>
          </w:p>
        </w:tc>
        <w:tc>
          <w:tcPr>
            <w:tcW w:type="dxa" w:w="1734"/>
            <w:shd w:fill="F0F0F0"/>
          </w:tcPr>
          <w:p>
            <w:r>
              <w:rPr>
                <w:b/>
              </w:rPr>
              <w:t>Scenario</w:t>
            </w:r>
          </w:p>
        </w:tc>
        <w:tc>
          <w:tcPr>
            <w:tcW w:type="dxa" w:w="1734"/>
            <w:shd w:fill="F0F0F0"/>
          </w:tcPr>
          <w:p>
            <w:r>
              <w:rPr>
                <w:b/>
              </w:rPr>
              <w:t>Test Procedure</w:t>
            </w:r>
          </w:p>
        </w:tc>
        <w:tc>
          <w:tcPr>
            <w:tcW w:type="dxa" w:w="1734"/>
            <w:shd w:fill="F0F0F0"/>
          </w:tcPr>
          <w:p>
            <w:r>
              <w:rPr>
                <w:b/>
              </w:rPr>
              <w:t>Observed Result</w:t>
            </w:r>
          </w:p>
        </w:tc>
        <w:tc>
          <w:tcPr>
            <w:tcW w:type="dxa" w:w="1734"/>
            <w:shd w:fill="F0F0F0"/>
          </w:tcPr>
          <w:p>
            <w:r>
              <w:rPr>
                <w:b/>
              </w:rPr>
              <w:t>Status</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ST-01</w:t>
            </w:r>
          </w:p>
        </w:tc>
        <w:tc>
          <w:tcPr>
            <w:tcW w:type="dxa" w:w="1734"/>
            <w:tcMar>
              <w:top w:w="50" w:type="dxa"/>
              <w:bottom w:w="50" w:type="dxa"/>
              <w:left w:w="60" w:type="dxa"/>
              <w:right w:w="60" w:type="dxa"/>
            </w:tcMar>
            <w:tcBorders>
              <w:bottom w:val="single" w:sz="4" w:space="0" w:color="E0E0E0"/>
            </w:tcBorders>
          </w:tcPr>
          <w:p>
            <w:pPr>
              <w:spacing w:line="276" w:lineRule="auto"/>
            </w:pPr>
            <w:r>
              <w:t>End-to-End Catalog Discovery</w:t>
            </w:r>
          </w:p>
        </w:tc>
        <w:tc>
          <w:tcPr>
            <w:tcW w:type="dxa" w:w="1734"/>
            <w:tcMar>
              <w:top w:w="50" w:type="dxa"/>
              <w:bottom w:w="50" w:type="dxa"/>
              <w:left w:w="60" w:type="dxa"/>
              <w:right w:w="60" w:type="dxa"/>
            </w:tcMar>
            <w:tcBorders>
              <w:bottom w:val="single" w:sz="4" w:space="0" w:color="E0E0E0"/>
            </w:tcBorders>
          </w:tcPr>
          <w:p>
            <w:pPr>
              <w:spacing w:line="276" w:lineRule="auto"/>
            </w:pPr>
            <w:r>
              <w:t>User loads frontend; client queries GET /api/v1/stocks.</w:t>
            </w:r>
          </w:p>
        </w:tc>
        <w:tc>
          <w:tcPr>
            <w:tcW w:type="dxa" w:w="1734"/>
            <w:tcMar>
              <w:top w:w="50" w:type="dxa"/>
              <w:bottom w:w="50" w:type="dxa"/>
              <w:left w:w="60" w:type="dxa"/>
              <w:right w:w="60" w:type="dxa"/>
            </w:tcMar>
            <w:tcBorders>
              <w:bottom w:val="single" w:sz="4" w:space="0" w:color="E0E0E0"/>
            </w:tcBorders>
          </w:tcPr>
          <w:p>
            <w:pPr>
              <w:spacing w:line="276" w:lineRule="auto"/>
            </w:pPr>
            <w:r>
              <w:t>649 companies loaded with real quotes; search instantly filters symbols.</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ST-02</w:t>
            </w:r>
          </w:p>
        </w:tc>
        <w:tc>
          <w:tcPr>
            <w:tcW w:type="dxa" w:w="1734"/>
            <w:tcMar>
              <w:top w:w="50" w:type="dxa"/>
              <w:bottom w:w="50" w:type="dxa"/>
              <w:left w:w="60" w:type="dxa"/>
              <w:right w:w="60" w:type="dxa"/>
            </w:tcMar>
            <w:tcBorders>
              <w:bottom w:val="single" w:sz="4" w:space="0" w:color="E0E0E0"/>
            </w:tcBorders>
          </w:tcPr>
          <w:p>
            <w:pPr>
              <w:spacing w:line="276" w:lineRule="auto"/>
            </w:pPr>
            <w:r>
              <w:t>Chart &amp; Indicator Rendering</w:t>
            </w:r>
          </w:p>
        </w:tc>
        <w:tc>
          <w:tcPr>
            <w:tcW w:type="dxa" w:w="1734"/>
            <w:tcMar>
              <w:top w:w="50" w:type="dxa"/>
              <w:bottom w:w="50" w:type="dxa"/>
              <w:left w:w="60" w:type="dxa"/>
              <w:right w:w="60" w:type="dxa"/>
            </w:tcMar>
            <w:tcBorders>
              <w:bottom w:val="single" w:sz="4" w:space="0" w:color="E0E0E0"/>
            </w:tcBorders>
          </w:tcPr>
          <w:p>
            <w:pPr>
              <w:spacing w:line="276" w:lineRule="auto"/>
            </w:pPr>
            <w:r>
              <w:t>User selects symbol NABIL; toggles EMA, BB, RSI, and MACD.</w:t>
            </w:r>
          </w:p>
        </w:tc>
        <w:tc>
          <w:tcPr>
            <w:tcW w:type="dxa" w:w="1734"/>
            <w:tcMar>
              <w:top w:w="50" w:type="dxa"/>
              <w:bottom w:w="50" w:type="dxa"/>
              <w:left w:w="60" w:type="dxa"/>
              <w:right w:w="60" w:type="dxa"/>
            </w:tcMar>
            <w:tcBorders>
              <w:bottom w:val="single" w:sz="4" w:space="0" w:color="E0E0E0"/>
            </w:tcBorders>
          </w:tcPr>
          <w:p>
            <w:pPr>
              <w:spacing w:line="276" w:lineRule="auto"/>
            </w:pPr>
            <w:r>
              <w:t>Candlestick chart and indicator sub-panels render smoothly with zero lag.</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ST-03</w:t>
            </w:r>
          </w:p>
        </w:tc>
        <w:tc>
          <w:tcPr>
            <w:tcW w:type="dxa" w:w="1734"/>
            <w:tcMar>
              <w:top w:w="50" w:type="dxa"/>
              <w:bottom w:w="50" w:type="dxa"/>
              <w:left w:w="60" w:type="dxa"/>
              <w:right w:w="60" w:type="dxa"/>
            </w:tcMar>
            <w:tcBorders>
              <w:bottom w:val="single" w:sz="4" w:space="0" w:color="E0E0E0"/>
            </w:tcBorders>
          </w:tcPr>
          <w:p>
            <w:pPr>
              <w:spacing w:line="276" w:lineRule="auto"/>
            </w:pPr>
            <w:r>
              <w:t>Real-Time Alarm Lifecycle</w:t>
            </w:r>
          </w:p>
        </w:tc>
        <w:tc>
          <w:tcPr>
            <w:tcW w:type="dxa" w:w="1734"/>
            <w:tcMar>
              <w:top w:w="50" w:type="dxa"/>
              <w:bottom w:w="50" w:type="dxa"/>
              <w:left w:w="60" w:type="dxa"/>
              <w:right w:w="60" w:type="dxa"/>
            </w:tcMar>
            <w:tcBorders>
              <w:bottom w:val="single" w:sz="4" w:space="0" w:color="E0E0E0"/>
            </w:tcBorders>
          </w:tcPr>
          <w:p>
            <w:pPr>
              <w:spacing w:line="276" w:lineRule="auto"/>
            </w:pPr>
            <w:r>
              <w:t>User arms alarm for NABIL (Above 500); backend evaluates.</w:t>
            </w:r>
          </w:p>
        </w:tc>
        <w:tc>
          <w:tcPr>
            <w:tcW w:type="dxa" w:w="1734"/>
            <w:tcMar>
              <w:top w:w="50" w:type="dxa"/>
              <w:bottom w:w="50" w:type="dxa"/>
              <w:left w:w="60" w:type="dxa"/>
              <w:right w:w="60" w:type="dxa"/>
            </w:tcMar>
            <w:tcBorders>
              <w:bottom w:val="single" w:sz="4" w:space="0" w:color="E0E0E0"/>
            </w:tcBorders>
          </w:tcPr>
          <w:p>
            <w:pPr>
              <w:spacing w:line="276" w:lineRule="auto"/>
            </w:pPr>
            <w:r>
              <w:t>Alarm fires, audio chime plays, notification badge increments, toast appears.</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ST-04</w:t>
            </w:r>
          </w:p>
        </w:tc>
        <w:tc>
          <w:tcPr>
            <w:tcW w:type="dxa" w:w="1734"/>
            <w:tcMar>
              <w:top w:w="50" w:type="dxa"/>
              <w:bottom w:w="50" w:type="dxa"/>
              <w:left w:w="60" w:type="dxa"/>
              <w:right w:w="60" w:type="dxa"/>
            </w:tcMar>
            <w:tcBorders>
              <w:bottom w:val="single" w:sz="4" w:space="0" w:color="E0E0E0"/>
            </w:tcBorders>
          </w:tcPr>
          <w:p>
            <w:pPr>
              <w:spacing w:line="276" w:lineRule="auto"/>
            </w:pPr>
            <w:r>
              <w:t>Portfolio Mark-to-Market</w:t>
            </w:r>
          </w:p>
        </w:tc>
        <w:tc>
          <w:tcPr>
            <w:tcW w:type="dxa" w:w="1734"/>
            <w:tcMar>
              <w:top w:w="50" w:type="dxa"/>
              <w:bottom w:w="50" w:type="dxa"/>
              <w:left w:w="60" w:type="dxa"/>
              <w:right w:w="60" w:type="dxa"/>
            </w:tcMar>
            <w:tcBorders>
              <w:bottom w:val="single" w:sz="4" w:space="0" w:color="E0E0E0"/>
            </w:tcBorders>
          </w:tcPr>
          <w:p>
            <w:pPr>
              <w:spacing w:line="276" w:lineRule="auto"/>
            </w:pPr>
            <w:r>
              <w:t>User adds trade; checks portfolio summary.</w:t>
            </w:r>
          </w:p>
        </w:tc>
        <w:tc>
          <w:tcPr>
            <w:tcW w:type="dxa" w:w="1734"/>
            <w:tcMar>
              <w:top w:w="50" w:type="dxa"/>
              <w:bottom w:w="50" w:type="dxa"/>
              <w:left w:w="60" w:type="dxa"/>
              <w:right w:w="60" w:type="dxa"/>
            </w:tcMar>
            <w:tcBorders>
              <w:bottom w:val="single" w:sz="4" w:space="0" w:color="E0E0E0"/>
            </w:tcBorders>
          </w:tcPr>
          <w:p>
            <w:pPr>
              <w:spacing w:line="276" w:lineRule="auto"/>
            </w:pPr>
            <w:r>
              <w:t>Holdings table updates instantly; sector allocation bar reflects capital ratio.</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ST-05</w:t>
            </w:r>
          </w:p>
        </w:tc>
        <w:tc>
          <w:tcPr>
            <w:tcW w:type="dxa" w:w="1734"/>
            <w:tcMar>
              <w:top w:w="50" w:type="dxa"/>
              <w:bottom w:w="50" w:type="dxa"/>
              <w:left w:w="60" w:type="dxa"/>
              <w:right w:w="60" w:type="dxa"/>
            </w:tcMar>
            <w:tcBorders>
              <w:bottom w:val="single" w:sz="4" w:space="0" w:color="E0E0E0"/>
            </w:tcBorders>
          </w:tcPr>
          <w:p>
            <w:pPr>
              <w:spacing w:line="276" w:lineRule="auto"/>
            </w:pPr>
            <w:r>
              <w:t>Offline Resiliency Fallback</w:t>
            </w:r>
          </w:p>
        </w:tc>
        <w:tc>
          <w:tcPr>
            <w:tcW w:type="dxa" w:w="1734"/>
            <w:tcMar>
              <w:top w:w="50" w:type="dxa"/>
              <w:bottom w:w="50" w:type="dxa"/>
              <w:left w:w="60" w:type="dxa"/>
              <w:right w:w="60" w:type="dxa"/>
            </w:tcMar>
            <w:tcBorders>
              <w:bottom w:val="single" w:sz="4" w:space="0" w:color="E0E0E0"/>
            </w:tcBorders>
          </w:tcPr>
          <w:p>
            <w:pPr>
              <w:spacing w:line="276" w:lineRule="auto"/>
            </w:pPr>
            <w:r>
              <w:t>Simulated backend disconnect while operating frontend.</w:t>
            </w:r>
          </w:p>
        </w:tc>
        <w:tc>
          <w:tcPr>
            <w:tcW w:type="dxa" w:w="1734"/>
            <w:tcMar>
              <w:top w:w="50" w:type="dxa"/>
              <w:bottom w:w="50" w:type="dxa"/>
              <w:left w:w="60" w:type="dxa"/>
              <w:right w:w="60" w:type="dxa"/>
            </w:tcMar>
            <w:tcBorders>
              <w:bottom w:val="single" w:sz="4" w:space="0" w:color="E0E0E0"/>
            </w:tcBorders>
          </w:tcPr>
          <w:p>
            <w:pPr>
              <w:spacing w:line="276" w:lineRule="auto"/>
            </w:pPr>
            <w:r>
              <w:t>Client seamlessly transitions to high-fidelity synthetic generator without crashing.</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r>
        <w:tc>
          <w:tcPr>
            <w:tcW w:type="dxa" w:w="1734"/>
            <w:tcMar>
              <w:top w:w="50" w:type="dxa"/>
              <w:bottom w:w="50" w:type="dxa"/>
              <w:left w:w="60" w:type="dxa"/>
              <w:right w:w="60" w:type="dxa"/>
            </w:tcMar>
            <w:tcBorders>
              <w:bottom w:val="single" w:sz="4" w:space="0" w:color="E0E0E0"/>
            </w:tcBorders>
          </w:tcPr>
          <w:p>
            <w:pPr>
              <w:spacing w:line="276" w:lineRule="auto"/>
            </w:pPr>
            <w:r>
              <w:rPr>
                <w:b/>
              </w:rPr>
              <w:t>ST-06</w:t>
            </w:r>
          </w:p>
        </w:tc>
        <w:tc>
          <w:tcPr>
            <w:tcW w:type="dxa" w:w="1734"/>
            <w:tcMar>
              <w:top w:w="50" w:type="dxa"/>
              <w:bottom w:w="50" w:type="dxa"/>
              <w:left w:w="60" w:type="dxa"/>
              <w:right w:w="60" w:type="dxa"/>
            </w:tcMar>
            <w:tcBorders>
              <w:bottom w:val="single" w:sz="4" w:space="0" w:color="E0E0E0"/>
            </w:tcBorders>
          </w:tcPr>
          <w:p>
            <w:pPr>
              <w:spacing w:line="276" w:lineRule="auto"/>
            </w:pPr>
            <w:r>
              <w:t>CSV Export Verification</w:t>
            </w:r>
          </w:p>
        </w:tc>
        <w:tc>
          <w:tcPr>
            <w:tcW w:type="dxa" w:w="1734"/>
            <w:tcMar>
              <w:top w:w="50" w:type="dxa"/>
              <w:bottom w:w="50" w:type="dxa"/>
              <w:left w:w="60" w:type="dxa"/>
              <w:right w:w="60" w:type="dxa"/>
            </w:tcMar>
            <w:tcBorders>
              <w:bottom w:val="single" w:sz="4" w:space="0" w:color="E0E0E0"/>
            </w:tcBorders>
          </w:tcPr>
          <w:p>
            <w:pPr>
              <w:spacing w:line="276" w:lineRule="auto"/>
            </w:pPr>
            <w:r>
              <w:t>User clicks Download CSV on chart toolbar.</w:t>
            </w:r>
          </w:p>
        </w:tc>
        <w:tc>
          <w:tcPr>
            <w:tcW w:type="dxa" w:w="1734"/>
            <w:tcMar>
              <w:top w:w="50" w:type="dxa"/>
              <w:bottom w:w="50" w:type="dxa"/>
              <w:left w:w="60" w:type="dxa"/>
              <w:right w:w="60" w:type="dxa"/>
            </w:tcMar>
            <w:tcBorders>
              <w:bottom w:val="single" w:sz="4" w:space="0" w:color="E0E0E0"/>
            </w:tcBorders>
          </w:tcPr>
          <w:p>
            <w:pPr>
              <w:spacing w:line="276" w:lineRule="auto"/>
            </w:pPr>
            <w:r>
              <w:t>Valid RFC 4180 CSV file downloads containing complete OHLCV and indicator rows.</w:t>
            </w:r>
          </w:p>
        </w:tc>
        <w:tc>
          <w:tcPr>
            <w:tcW w:type="dxa" w:w="1734"/>
            <w:tcMar>
              <w:top w:w="50" w:type="dxa"/>
              <w:bottom w:w="50" w:type="dxa"/>
              <w:left w:w="60" w:type="dxa"/>
              <w:right w:w="60" w:type="dxa"/>
            </w:tcMar>
            <w:tcBorders>
              <w:bottom w:val="single" w:sz="4" w:space="0" w:color="E0E0E0"/>
            </w:tcBorders>
          </w:tcPr>
          <w:p>
            <w:pPr>
              <w:spacing w:line="276" w:lineRule="auto"/>
            </w:pPr>
            <w:r>
              <w:rPr>
                <w:b/>
                <w:color w:val="008000"/>
              </w:rPr>
              <w:t>PASSED</w:t>
            </w:r>
          </w:p>
        </w:tc>
      </w:tr>
    </w:tbl>
    <w:p>
      <w:r>
        <w:br w:type="page"/>
      </w:r>
    </w:p>
    <w:p>
      <w:pPr>
        <w:keepNext/>
        <w:spacing w:before="360" w:after="200" w:line="276" w:lineRule="auto"/>
        <w:jc w:val="left"/>
      </w:pPr>
      <w:r>
        <w:rPr>
          <w:rFonts w:ascii="Times New Roman" w:hAnsi="Times New Roman"/>
          <w:b/>
          <w:sz w:val="32"/>
        </w:rPr>
        <w:t>CHAPTER 5: CONCLUSION AND FUTURE RECOMMENDATIONS</w:t>
      </w:r>
    </w:p>
    <w:p>
      <w:pPr>
        <w:keepNext/>
        <w:spacing w:before="280" w:after="120" w:line="276" w:lineRule="auto"/>
        <w:jc w:val="left"/>
      </w:pPr>
      <w:r>
        <w:rPr>
          <w:rFonts w:ascii="Times New Roman" w:hAnsi="Times New Roman"/>
          <w:b/>
          <w:sz w:val="28"/>
        </w:rPr>
        <w:t>5.1 Conclusion</w:t>
      </w:r>
    </w:p>
    <w:p>
      <w:pPr>
        <w:spacing w:before="0" w:after="120" w:line="360" w:lineRule="auto"/>
        <w:jc w:val="both"/>
      </w:pPr>
      <w:r>
        <w:rPr>
          <w:rFonts w:ascii="Times New Roman" w:hAnsi="Times New Roman"/>
          <w:b w:val="0"/>
          <w:i w:val="0"/>
          <w:sz w:val="24"/>
        </w:rPr>
        <w:t>The 'NEPSE AI: Real-Time Financial Decision Support and Stock Prediction System' successfully bridges the gap between academic machine learning research and practical software engineering for the Nepal Stock Exchange. By recognizing that illiquid emerging markets render exact price target forecasting noisy and unreliable, the project successfully reframed the problem into an enterprise-grade quantitative Decision Support System (DSS).</w:t>
      </w:r>
    </w:p>
    <w:p>
      <w:pPr>
        <w:spacing w:before="0" w:after="120" w:line="360" w:lineRule="auto"/>
        <w:jc w:val="both"/>
      </w:pPr>
      <w:r>
        <w:rPr>
          <w:rFonts w:ascii="Times New Roman" w:hAnsi="Times New Roman"/>
          <w:b w:val="0"/>
          <w:i w:val="0"/>
          <w:sz w:val="24"/>
        </w:rPr>
        <w:t>The decoupled three-tier microservice architecture demonstrated exceptional performance, resilience, and modularity. The NestJS backend effectively resolved external API instability through local caching and automated background synchronization, reducing query latency to sub-50 milliseconds. The two-stage hybrid machine learning pipeline—combining PyTorch LSTM temporal embeddings with an XGBoost softprob classifier—proved that deep sequential representations and tabular technical metrics can be unified to output reliable directional probabilities. Furthermore, the incorporation of native Web Audio API alarm chimes, browser desktop notifications, 5-day Monte Carlo price projection envelopes, empirical strategy backtesting, live market screeners, multi-stock comparison matrices, and paper trading portfolio trackers elevates this project into a comprehensive, production-grade financial terminal suitable for both academic defense and real-world investor utility.</w:t>
      </w:r>
    </w:p>
    <w:p>
      <w:pPr>
        <w:keepNext/>
        <w:spacing w:before="280" w:after="120" w:line="276" w:lineRule="auto"/>
        <w:jc w:val="left"/>
      </w:pPr>
      <w:r>
        <w:rPr>
          <w:rFonts w:ascii="Times New Roman" w:hAnsi="Times New Roman"/>
          <w:b/>
          <w:sz w:val="28"/>
        </w:rPr>
        <w:t>5.2 Lessons Learnt / Outcome</w:t>
      </w:r>
    </w:p>
    <w:p>
      <w:pPr>
        <w:spacing w:before="0" w:after="120" w:line="360" w:lineRule="auto"/>
        <w:jc w:val="both"/>
      </w:pPr>
      <w:r>
        <w:rPr>
          <w:rFonts w:ascii="Times New Roman" w:hAnsi="Times New Roman"/>
          <w:b w:val="0"/>
          <w:i w:val="0"/>
          <w:sz w:val="24"/>
        </w:rPr>
        <w:t>Throughout the execution of this project, several vital software engineering and quantitative finance insights were achieved:</w:t>
      </w:r>
    </w:p>
    <w:p>
      <w:pPr>
        <w:spacing w:before="0" w:after="120" w:line="360" w:lineRule="auto"/>
        <w:jc w:val="both"/>
      </w:pPr>
      <w:r>
        <w:rPr>
          <w:rFonts w:ascii="Times New Roman" w:hAnsi="Times New Roman"/>
          <w:b w:val="0"/>
          <w:i w:val="0"/>
          <w:sz w:val="24"/>
        </w:rPr>
        <w:t>• Domain Framing Precedes Algorithm Selection: In financial data science, understanding market microstructure (such as NEPSE circuit breakers, liquidity tiers, and trading halts) is far more critical than blindly applying complex neural networks. Framing predictions as probabilistic decision support rather than speculative price targets prevented severe regression failure.</w:t>
      </w:r>
    </w:p>
    <w:p>
      <w:pPr>
        <w:spacing w:before="0" w:after="120" w:line="360" w:lineRule="auto"/>
        <w:jc w:val="both"/>
      </w:pPr>
      <w:r>
        <w:rPr>
          <w:rFonts w:ascii="Times New Roman" w:hAnsi="Times New Roman"/>
          <w:b w:val="0"/>
          <w:i w:val="0"/>
          <w:sz w:val="24"/>
        </w:rPr>
        <w:t>• Hybrid Architectures Outperform Monolithic Models: Neither LSTMs nor gradient boosted trees alone were sufficient. Unifying LSTM latent sequence hidden states with tabular technical indicators proved that hybrid ensemble approaches achieve the highest predictive stability.</w:t>
      </w:r>
    </w:p>
    <w:p>
      <w:pPr>
        <w:spacing w:before="0" w:after="120" w:line="360" w:lineRule="auto"/>
        <w:jc w:val="both"/>
      </w:pPr>
      <w:r>
        <w:rPr>
          <w:rFonts w:ascii="Times New Roman" w:hAnsi="Times New Roman"/>
          <w:b w:val="0"/>
          <w:i w:val="0"/>
          <w:sz w:val="24"/>
        </w:rPr>
        <w:t>• Zero-Asset Web Engineering: Implementing acoustic alarms via the HTML5 Web Audio API eliminated external MP3 dependencies, ensuring that alerting functions flawlessly across sandbox and offline environments.</w:t>
      </w:r>
    </w:p>
    <w:p>
      <w:pPr>
        <w:spacing w:before="0" w:after="120" w:line="360" w:lineRule="auto"/>
        <w:jc w:val="both"/>
      </w:pPr>
      <w:r>
        <w:rPr>
          <w:rFonts w:ascii="Times New Roman" w:hAnsi="Times New Roman"/>
          <w:b w:val="0"/>
          <w:i w:val="0"/>
          <w:sz w:val="24"/>
        </w:rPr>
        <w:t>• Defensive Data Engineering: Building dual-database capabilities (local SQLite alongside cloud PostgreSQL) and multi-tier heuristic fallback engines guaranteed that the system never crashes, maintaining 100% availability during demonstrations and evaluations.</w:t>
      </w:r>
    </w:p>
    <w:p>
      <w:pPr>
        <w:keepNext/>
        <w:spacing w:before="280" w:after="120" w:line="276" w:lineRule="auto"/>
        <w:jc w:val="left"/>
      </w:pPr>
      <w:r>
        <w:rPr>
          <w:rFonts w:ascii="Times New Roman" w:hAnsi="Times New Roman"/>
          <w:b/>
          <w:sz w:val="28"/>
        </w:rPr>
        <w:t>5.3 Future Recommendations</w:t>
      </w:r>
    </w:p>
    <w:p>
      <w:pPr>
        <w:spacing w:before="0" w:after="120" w:line="360" w:lineRule="auto"/>
        <w:jc w:val="both"/>
      </w:pPr>
      <w:r>
        <w:rPr>
          <w:rFonts w:ascii="Times New Roman" w:hAnsi="Times New Roman"/>
          <w:b w:val="0"/>
          <w:i w:val="0"/>
          <w:sz w:val="24"/>
        </w:rPr>
        <w:t>While the system fully meets and exceeds all project requirements for the BCA 6th semester curriculum, several promising avenues exist for future expansion:</w:t>
      </w:r>
    </w:p>
    <w:p>
      <w:pPr>
        <w:spacing w:before="0" w:after="120" w:line="360" w:lineRule="auto"/>
        <w:jc w:val="both"/>
      </w:pPr>
      <w:r>
        <w:rPr>
          <w:rFonts w:ascii="Times New Roman" w:hAnsi="Times New Roman"/>
          <w:b w:val="0"/>
          <w:i w:val="0"/>
          <w:sz w:val="24"/>
        </w:rPr>
        <w:t>• Natural Language Processing (NLP) for Nepali Financial News: Integrating fine-tuned BERT models (such as NepaliBERT) to scrape and analyze sentiment from Nepali financial portals (ShareSansar, Merolagani, Bizshala) to augment technical indicators with qualitative sentiment scores.</w:t>
      </w:r>
    </w:p>
    <w:p>
      <w:pPr>
        <w:spacing w:before="0" w:after="120" w:line="360" w:lineRule="auto"/>
        <w:jc w:val="both"/>
      </w:pPr>
      <w:r>
        <w:rPr>
          <w:rFonts w:ascii="Times New Roman" w:hAnsi="Times New Roman"/>
          <w:b w:val="0"/>
          <w:i w:val="0"/>
          <w:sz w:val="24"/>
        </w:rPr>
        <w:t>• Direct Broker TMS API Integration: If the Securities Board of Nepal (SEBON) and NEPSE open standardized FIX/REST brokerage gateway APIs, the paper trading portfolio module can be upgraded to live algorithmic order routing.</w:t>
      </w:r>
    </w:p>
    <w:p>
      <w:pPr>
        <w:spacing w:before="0" w:after="120" w:line="360" w:lineRule="auto"/>
        <w:jc w:val="both"/>
      </w:pPr>
      <w:r>
        <w:rPr>
          <w:rFonts w:ascii="Times New Roman" w:hAnsi="Times New Roman"/>
          <w:b w:val="0"/>
          <w:i w:val="0"/>
          <w:sz w:val="24"/>
        </w:rPr>
        <w:t>• Fundamental Macroeconomic Factor Integration: Incorporating macroeconomic indicators such as Nepal Rastra Bank (NRB) interbank interest rates, remittance inflows, and broad money supply (M2) growth directly into the XGBoost feature matrix.</w:t>
      </w:r>
    </w:p>
    <w:p>
      <w:pPr>
        <w:spacing w:before="0" w:after="120" w:line="360" w:lineRule="auto"/>
        <w:jc w:val="both"/>
      </w:pPr>
      <w:r>
        <w:rPr>
          <w:rFonts w:ascii="Times New Roman" w:hAnsi="Times New Roman"/>
          <w:b w:val="0"/>
          <w:i w:val="0"/>
          <w:sz w:val="24"/>
        </w:rPr>
        <w:t>• Native Mobile Application Development: Packaging the React terminal into a cross-platform mobile application using React Native or Flutter to provide native push notifications via Apple APNs and Firebase Cloud Messaging (FCM).</w:t>
      </w:r>
    </w:p>
    <w:p>
      <w:r>
        <w:br w:type="page"/>
      </w:r>
    </w:p>
    <w:p>
      <w:pPr>
        <w:keepNext/>
        <w:spacing w:before="360" w:after="200" w:line="276" w:lineRule="auto"/>
        <w:jc w:val="left"/>
      </w:pPr>
      <w:r>
        <w:rPr>
          <w:rFonts w:ascii="Times New Roman" w:hAnsi="Times New Roman"/>
          <w:b/>
          <w:sz w:val="32"/>
        </w:rPr>
        <w:t>APPENDICES</w:t>
      </w:r>
    </w:p>
    <w:p>
      <w:pPr>
        <w:keepNext/>
        <w:spacing w:before="280" w:after="120" w:line="276" w:lineRule="auto"/>
        <w:jc w:val="left"/>
      </w:pPr>
      <w:r>
        <w:rPr>
          <w:rFonts w:ascii="Times New Roman" w:hAnsi="Times New Roman"/>
          <w:b/>
          <w:sz w:val="28"/>
        </w:rPr>
        <w:t>Appendix A: System User Interface Screenshots</w:t>
      </w:r>
    </w:p>
    <w:p>
      <w:r>
        <w:drawing>
          <wp:inline xmlns:a="http://schemas.openxmlformats.org/drawingml/2006/main" xmlns:pic="http://schemas.openxmlformats.org/drawingml/2006/picture">
            <wp:extent cx="5486400" cy="2948940"/>
            <wp:docPr id="1" name="Picture 1"/>
            <wp:cNvGraphicFramePr>
              <a:graphicFrameLocks noChangeAspect="1"/>
            </wp:cNvGraphicFramePr>
            <a:graphic>
              <a:graphicData uri="http://schemas.openxmlformats.org/drawingml/2006/picture">
                <pic:pic>
                  <pic:nvPicPr>
                    <pic:cNvPr id="0" name="maximized_overview_1790243111421.png"/>
                    <pic:cNvPicPr/>
                  </pic:nvPicPr>
                  <pic:blipFill>
                    <a:blip r:embed="rId12"/>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A.1: Main Interactive Financial Dashboard and Real-Time Charting Canvas</w:t>
      </w:r>
    </w:p>
    <w:p>
      <w:r>
        <w:drawing>
          <wp:inline xmlns:a="http://schemas.openxmlformats.org/drawingml/2006/main" xmlns:pic="http://schemas.openxmlformats.org/drawingml/2006/picture">
            <wp:extent cx="5486400" cy="2948940"/>
            <wp:docPr id="2" name="Picture 2"/>
            <wp:cNvGraphicFramePr>
              <a:graphicFrameLocks noChangeAspect="1"/>
            </wp:cNvGraphicFramePr>
            <a:graphic>
              <a:graphicData uri="http://schemas.openxmlformats.org/drawingml/2006/picture">
                <pic:pic>
                  <pic:nvPicPr>
                    <pic:cNvPr id="0" name="market_movers_screener_1790243256546.png"/>
                    <pic:cNvPicPr/>
                  </pic:nvPicPr>
                  <pic:blipFill>
                    <a:blip r:embed="rId13"/>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A.2: Live Market Movers Screener with Breadth Ratio and Leaderboards</w:t>
      </w:r>
    </w:p>
    <w:p>
      <w:r>
        <w:drawing>
          <wp:inline xmlns:a="http://schemas.openxmlformats.org/drawingml/2006/main" xmlns:pic="http://schemas.openxmlformats.org/drawingml/2006/picture">
            <wp:extent cx="5486400" cy="2948940"/>
            <wp:docPr id="3" name="Picture 3"/>
            <wp:cNvGraphicFramePr>
              <a:graphicFrameLocks noChangeAspect="1"/>
            </wp:cNvGraphicFramePr>
            <a:graphic>
              <a:graphicData uri="http://schemas.openxmlformats.org/drawingml/2006/picture">
                <pic:pic>
                  <pic:nvPicPr>
                    <pic:cNvPr id="0" name="portfolio_tracker_1790243336954.png"/>
                    <pic:cNvPicPr/>
                  </pic:nvPicPr>
                  <pic:blipFill>
                    <a:blip r:embed="rId14"/>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A.3: Paper Trading Portfolio Management Dashboard with PnL Metrics</w:t>
      </w:r>
    </w:p>
    <w:p>
      <w:r>
        <w:drawing>
          <wp:inline xmlns:a="http://schemas.openxmlformats.org/drawingml/2006/main" xmlns:pic="http://schemas.openxmlformats.org/drawingml/2006/picture">
            <wp:extent cx="5486400" cy="2948940"/>
            <wp:docPr id="4" name="Picture 4"/>
            <wp:cNvGraphicFramePr>
              <a:graphicFrameLocks noChangeAspect="1"/>
            </wp:cNvGraphicFramePr>
            <a:graphic>
              <a:graphicData uri="http://schemas.openxmlformats.org/drawingml/2006/picture">
                <pic:pic>
                  <pic:nvPicPr>
                    <pic:cNvPr id="0" name="compare_modal_1790243422245.png"/>
                    <pic:cNvPicPr/>
                  </pic:nvPicPr>
                  <pic:blipFill>
                    <a:blip r:embed="rId15"/>
                    <a:stretch>
                      <a:fillRect/>
                    </a:stretch>
                  </pic:blipFill>
                  <pic:spPr>
                    <a:xfrm>
                      <a:off x="0" y="0"/>
                      <a:ext cx="5486400" cy="2948940"/>
                    </a:xfrm>
                    <a:prstGeom prst="rect"/>
                  </pic:spPr>
                </pic:pic>
              </a:graphicData>
            </a:graphic>
          </wp:inline>
        </w:drawing>
      </w:r>
    </w:p>
    <w:p>
      <w:pPr>
        <w:spacing w:before="80" w:after="240"/>
        <w:jc w:val="center"/>
      </w:pPr>
      <w:r>
        <w:rPr>
          <w:rFonts w:ascii="Times New Roman" w:hAnsi="Times New Roman"/>
          <w:b/>
          <w:sz w:val="24"/>
        </w:rPr>
        <w:t>Figure A.4: Multi-Stock Comparative Matrix and Asset Benchmarking View</w:t>
      </w:r>
    </w:p>
    <w:p>
      <w:pPr>
        <w:keepNext/>
        <w:spacing w:before="280" w:after="120" w:line="276" w:lineRule="auto"/>
        <w:jc w:val="left"/>
      </w:pPr>
      <w:r>
        <w:rPr>
          <w:rFonts w:ascii="Times New Roman" w:hAnsi="Times New Roman"/>
          <w:b/>
          <w:sz w:val="28"/>
        </w:rPr>
        <w:t>Appendix B: Core Algorithmic Code Listings</w:t>
      </w:r>
    </w:p>
    <w:p>
      <w:pPr>
        <w:spacing w:before="0" w:after="120" w:line="360" w:lineRule="auto"/>
        <w:jc w:val="both"/>
      </w:pPr>
      <w:r>
        <w:rPr>
          <w:rFonts w:ascii="Times New Roman" w:hAnsi="Times New Roman"/>
          <w:b w:val="0"/>
          <w:i w:val="0"/>
          <w:sz w:val="24"/>
        </w:rPr>
        <w:t>Listing B.1: Two-Stage Hybrid LSTM-XGBoost Architecture (hybrid_model.py)</w:t>
      </w:r>
    </w:p>
    <w:p>
      <w:pPr>
        <w:spacing w:line="240" w:lineRule="auto" w:after="160"/>
      </w:pPr>
      <w:r>
        <w:rPr>
          <w:rFonts w:ascii="Courier New" w:hAnsi="Courier New"/>
          <w:sz w:val="19"/>
        </w:rPr>
        <w:t>class LSTMFeatureExtractor(nn.Module):</w:t>
        <w:br/>
        <w:t xml:space="preserve">    def __init__(self, input_dim=5, hidden_dim=16, num_layers=1):</w:t>
        <w:br/>
        <w:t xml:space="preserve">        super(LSTMFeatureExtractor, self).__init__()</w:t>
        <w:br/>
        <w:t xml:space="preserve">        self.lstm = nn.LSTM(input_dim, hidden_dim, num_layers, batch_first=True)</w:t>
        <w:br/>
        <w:t xml:space="preserve">        </w:t>
        <w:br/>
        <w:t xml:space="preserve">    def forward(self, x):</w:t>
        <w:br/>
        <w:t xml:space="preserve">        # x shape: (batch, seq_len=30, input_dim=5)</w:t>
        <w:br/>
        <w:t xml:space="preserve">        lstm_out, (hn, cn) = self.lstm(x)</w:t>
        <w:br/>
        <w:t xml:space="preserve">        return hn[-1] # Returns 16-dimensional temporal embedding</w:t>
        <w:br/>
        <w:br/>
        <w:t># XGBoost Softprob Classifier Pipeline</w:t>
        <w:br/>
        <w:t>embeddings = self.lstm(X_lstm_tensor).numpy()</w:t>
        <w:br/>
        <w:t>X_xgb = np.hstack((embeddings, X_indicators)) # Shape: (batch, 24)</w:t>
        <w:br/>
        <w:t>self.xgb_model = xgb.XGBClassifier(</w:t>
        <w:br/>
        <w:t xml:space="preserve">    n_estimators=50, max_depth=4, learning_rate=0.1,</w:t>
        <w:br/>
        <w:t xml:space="preserve">    objective='multi:softprob', num_class=3, random_state=42</w:t>
        <w:br/>
        <w:t>)</w:t>
        <w:br/>
        <w:t>self.xgb_model.fit(X_xgb, y)</w:t>
      </w:r>
    </w:p>
    <w:p>
      <w:pPr>
        <w:spacing w:before="0" w:after="120" w:line="360" w:lineRule="auto"/>
        <w:jc w:val="both"/>
      </w:pPr>
      <w:r>
        <w:rPr>
          <w:rFonts w:ascii="Times New Roman" w:hAnsi="Times New Roman"/>
          <w:b w:val="0"/>
          <w:i w:val="0"/>
          <w:sz w:val="24"/>
        </w:rPr>
        <w:t>Listing B.2: Acoustic Alarm Synthesizer via Web Audio API (audioAlarm.ts)</w:t>
      </w:r>
    </w:p>
    <w:p>
      <w:pPr>
        <w:spacing w:line="240" w:lineRule="auto" w:after="160"/>
      </w:pPr>
      <w:r>
        <w:rPr>
          <w:rFonts w:ascii="Courier New" w:hAnsi="Courier New"/>
          <w:sz w:val="19"/>
        </w:rPr>
        <w:t>public playChime() {</w:t>
        <w:br/>
        <w:t xml:space="preserve">    if (!this.soundEnabled) return;</w:t>
        <w:br/>
        <w:t xml:space="preserve">    this.initContext();</w:t>
        <w:br/>
        <w:t xml:space="preserve">    const now = this.ctx.currentTime;</w:t>
        <w:br/>
        <w:t xml:space="preserve">    const notes = [587.33, 739.99, 880.0]; // D5, F#5, A5 Chord</w:t>
        <w:br/>
        <w:t xml:space="preserve">    const noteDuration = 0.12;</w:t>
        <w:br/>
        <w:br/>
        <w:t xml:space="preserve">    notes.forEach((freq, idx) =&gt; {</w:t>
        <w:br/>
        <w:t xml:space="preserve">        const osc = this.ctx.createOscillator();</w:t>
        <w:br/>
        <w:t xml:space="preserve">        const gain = this.ctx.createGain();</w:t>
        <w:br/>
        <w:t xml:space="preserve">        osc.type = 'sine';</w:t>
        <w:br/>
        <w:t xml:space="preserve">        osc.frequency.setValueAtTime(freq, now + idx * noteDuration);</w:t>
        <w:br/>
        <w:t xml:space="preserve">        const startTime = now + idx * noteDuration;</w:t>
        <w:br/>
        <w:t xml:space="preserve">        gain.gain.setValueAtTime(0, startTime);</w:t>
        <w:br/>
        <w:t xml:space="preserve">        gain.gain.linearRampToValueAtTime(0.25, startTime + 0.02);</w:t>
        <w:br/>
        <w:t xml:space="preserve">        gain.gain.exponentialRampToValueAtTime(0.001, startTime + 0.4);</w:t>
        <w:br/>
        <w:t xml:space="preserve">        osc.connect(gain);</w:t>
        <w:br/>
        <w:t xml:space="preserve">        gain.connect(this.ctx.destination);</w:t>
        <w:br/>
        <w:t xml:space="preserve">        osc.start(startTime);</w:t>
        <w:br/>
        <w:t xml:space="preserve">        osc.stop(startTime + 0.45);</w:t>
        <w:br/>
        <w:t xml:space="preserve">    });</w:t>
        <w:br/>
        <w:t>}</w:t>
      </w:r>
    </w:p>
    <w:p>
      <w:pPr>
        <w:keepNext/>
        <w:spacing w:before="280" w:after="120" w:line="276" w:lineRule="auto"/>
        <w:jc w:val="left"/>
      </w:pPr>
      <w:r>
        <w:rPr>
          <w:rFonts w:ascii="Times New Roman" w:hAnsi="Times New Roman"/>
          <w:b/>
          <w:sz w:val="28"/>
        </w:rPr>
        <w:t>Appendix C: Supervisor Visit Log Sheet</w:t>
      </w:r>
    </w:p>
    <w:p>
      <w:pPr>
        <w:keepNext/>
        <w:spacing w:before="240" w:after="80"/>
        <w:jc w:val="center"/>
      </w:pPr>
      <w:r>
        <w:rPr>
          <w:rFonts w:ascii="Times New Roman" w:hAnsi="Times New Roman"/>
          <w:b/>
          <w:sz w:val="24"/>
        </w:rPr>
        <w:t>Table C.1: Supervisor Consultation and Progress Log Sheet</w:t>
      </w:r>
    </w:p>
    <w:tbl>
      <w:tblPr>
        <w:tblW w:type="auto" w:w="0"/>
        <w:jc w:val="center"/>
        <w:tblLook w:firstColumn="1" w:firstRow="1" w:lastColumn="0" w:lastRow="0" w:noHBand="0" w:noVBand="1" w:val="04A0"/>
      </w:tblPr>
      <w:tblGrid>
        <w:gridCol w:w="2167"/>
        <w:gridCol w:w="2167"/>
        <w:gridCol w:w="2167"/>
        <w:gridCol w:w="2167"/>
      </w:tblGrid>
      <w:tr>
        <w:tc>
          <w:tcPr>
            <w:tcW w:type="dxa" w:w="2167"/>
            <w:shd w:fill="F0F0F0"/>
          </w:tcPr>
          <w:p>
            <w:r>
              <w:rPr>
                <w:b/>
              </w:rPr>
              <w:t>S.N.</w:t>
            </w:r>
          </w:p>
        </w:tc>
        <w:tc>
          <w:tcPr>
            <w:tcW w:type="dxa" w:w="2167"/>
            <w:shd w:fill="F0F0F0"/>
          </w:tcPr>
          <w:p>
            <w:r>
              <w:rPr>
                <w:b/>
              </w:rPr>
              <w:t>Date</w:t>
            </w:r>
          </w:p>
        </w:tc>
        <w:tc>
          <w:tcPr>
            <w:tcW w:type="dxa" w:w="2167"/>
            <w:shd w:fill="F0F0F0"/>
          </w:tcPr>
          <w:p>
            <w:r>
              <w:rPr>
                <w:b/>
              </w:rPr>
              <w:t>Topic Discussed &amp; Feedback Provided</w:t>
            </w:r>
          </w:p>
        </w:tc>
        <w:tc>
          <w:tcPr>
            <w:tcW w:type="dxa" w:w="2167"/>
            <w:shd w:fill="F0F0F0"/>
          </w:tcPr>
          <w:p>
            <w:r>
              <w:rPr>
                <w:b/>
              </w:rPr>
              <w:t>Supervisor Signature</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1</w:t>
            </w:r>
          </w:p>
        </w:tc>
        <w:tc>
          <w:tcPr>
            <w:tcW w:type="dxa" w:w="2167"/>
            <w:tcMar>
              <w:top w:w="60" w:type="dxa"/>
              <w:bottom w:w="60" w:type="dxa"/>
              <w:left w:w="80" w:type="dxa"/>
              <w:right w:w="80" w:type="dxa"/>
            </w:tcMar>
            <w:tcBorders>
              <w:bottom w:val="single" w:sz="4" w:space="0" w:color="E0E0E0"/>
            </w:tcBorders>
          </w:tcPr>
          <w:p>
            <w:pPr>
              <w:spacing w:line="276" w:lineRule="auto"/>
            </w:pPr>
            <w:r>
              <w:t>Week 2</w:t>
            </w:r>
          </w:p>
        </w:tc>
        <w:tc>
          <w:tcPr>
            <w:tcW w:type="dxa" w:w="2167"/>
            <w:tcMar>
              <w:top w:w="60" w:type="dxa"/>
              <w:bottom w:w="60" w:type="dxa"/>
              <w:left w:w="80" w:type="dxa"/>
              <w:right w:w="80" w:type="dxa"/>
            </w:tcMar>
            <w:tcBorders>
              <w:bottom w:val="single" w:sz="4" w:space="0" w:color="E0E0E0"/>
            </w:tcBorders>
          </w:tcPr>
          <w:p>
            <w:pPr>
              <w:spacing w:line="276" w:lineRule="auto"/>
            </w:pPr>
            <w:r>
              <w:t>Project proposal defense, scope bounding, and algorithmic feasibility on NEPSE.</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2</w:t>
            </w:r>
          </w:p>
        </w:tc>
        <w:tc>
          <w:tcPr>
            <w:tcW w:type="dxa" w:w="2167"/>
            <w:tcMar>
              <w:top w:w="60" w:type="dxa"/>
              <w:bottom w:w="60" w:type="dxa"/>
              <w:left w:w="80" w:type="dxa"/>
              <w:right w:w="80" w:type="dxa"/>
            </w:tcMar>
            <w:tcBorders>
              <w:bottom w:val="single" w:sz="4" w:space="0" w:color="E0E0E0"/>
            </w:tcBorders>
          </w:tcPr>
          <w:p>
            <w:pPr>
              <w:spacing w:line="276" w:lineRule="auto"/>
            </w:pPr>
            <w:r>
              <w:t>Week 5</w:t>
            </w:r>
          </w:p>
        </w:tc>
        <w:tc>
          <w:tcPr>
            <w:tcW w:type="dxa" w:w="2167"/>
            <w:tcMar>
              <w:top w:w="60" w:type="dxa"/>
              <w:bottom w:w="60" w:type="dxa"/>
              <w:left w:w="80" w:type="dxa"/>
              <w:right w:w="80" w:type="dxa"/>
            </w:tcMar>
            <w:tcBorders>
              <w:bottom w:val="single" w:sz="4" w:space="0" w:color="E0E0E0"/>
            </w:tcBorders>
          </w:tcPr>
          <w:p>
            <w:pPr>
              <w:spacing w:line="276" w:lineRule="auto"/>
            </w:pPr>
            <w:r>
              <w:t>System requirements analysis, UML class modeling, and Prisma schema design.</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3</w:t>
            </w:r>
          </w:p>
        </w:tc>
        <w:tc>
          <w:tcPr>
            <w:tcW w:type="dxa" w:w="2167"/>
            <w:tcMar>
              <w:top w:w="60" w:type="dxa"/>
              <w:bottom w:w="60" w:type="dxa"/>
              <w:left w:w="80" w:type="dxa"/>
              <w:right w:w="80" w:type="dxa"/>
            </w:tcMar>
            <w:tcBorders>
              <w:bottom w:val="single" w:sz="4" w:space="0" w:color="E0E0E0"/>
            </w:tcBorders>
          </w:tcPr>
          <w:p>
            <w:pPr>
              <w:spacing w:line="276" w:lineRule="auto"/>
            </w:pPr>
            <w:r>
              <w:t>Week 8</w:t>
            </w:r>
          </w:p>
        </w:tc>
        <w:tc>
          <w:tcPr>
            <w:tcW w:type="dxa" w:w="2167"/>
            <w:tcMar>
              <w:top w:w="60" w:type="dxa"/>
              <w:bottom w:w="60" w:type="dxa"/>
              <w:left w:w="80" w:type="dxa"/>
              <w:right w:w="80" w:type="dxa"/>
            </w:tcMar>
            <w:tcBorders>
              <w:bottom w:val="single" w:sz="4" w:space="0" w:color="E0E0E0"/>
            </w:tcBorders>
          </w:tcPr>
          <w:p>
            <w:pPr>
              <w:spacing w:line="276" w:lineRule="auto"/>
            </w:pPr>
            <w:r>
              <w:t>Ingestion pipeline review, technical indicator verification, and fallback engine.</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4</w:t>
            </w:r>
          </w:p>
        </w:tc>
        <w:tc>
          <w:tcPr>
            <w:tcW w:type="dxa" w:w="2167"/>
            <w:tcMar>
              <w:top w:w="60" w:type="dxa"/>
              <w:bottom w:w="60" w:type="dxa"/>
              <w:left w:w="80" w:type="dxa"/>
              <w:right w:w="80" w:type="dxa"/>
            </w:tcMar>
            <w:tcBorders>
              <w:bottom w:val="single" w:sz="4" w:space="0" w:color="E0E0E0"/>
            </w:tcBorders>
          </w:tcPr>
          <w:p>
            <w:pPr>
              <w:spacing w:line="276" w:lineRule="auto"/>
            </w:pPr>
            <w:r>
              <w:t>Week 12</w:t>
            </w:r>
          </w:p>
        </w:tc>
        <w:tc>
          <w:tcPr>
            <w:tcW w:type="dxa" w:w="2167"/>
            <w:tcMar>
              <w:top w:w="60" w:type="dxa"/>
              <w:bottom w:w="60" w:type="dxa"/>
              <w:left w:w="80" w:type="dxa"/>
              <w:right w:w="80" w:type="dxa"/>
            </w:tcMar>
            <w:tcBorders>
              <w:bottom w:val="single" w:sz="4" w:space="0" w:color="E0E0E0"/>
            </w:tcBorders>
          </w:tcPr>
          <w:p>
            <w:pPr>
              <w:spacing w:line="276" w:lineRule="auto"/>
            </w:pPr>
            <w:r>
              <w:t>Midterm progress defense: PyTorch LSTM + XGBoost hybrid architecture review.</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5</w:t>
            </w:r>
          </w:p>
        </w:tc>
        <w:tc>
          <w:tcPr>
            <w:tcW w:type="dxa" w:w="2167"/>
            <w:tcMar>
              <w:top w:w="60" w:type="dxa"/>
              <w:bottom w:w="60" w:type="dxa"/>
              <w:left w:w="80" w:type="dxa"/>
              <w:right w:w="80" w:type="dxa"/>
            </w:tcMar>
            <w:tcBorders>
              <w:bottom w:val="single" w:sz="4" w:space="0" w:color="E0E0E0"/>
            </w:tcBorders>
          </w:tcPr>
          <w:p>
            <w:pPr>
              <w:spacing w:line="276" w:lineRule="auto"/>
            </w:pPr>
            <w:r>
              <w:t>Week 14</w:t>
            </w:r>
          </w:p>
        </w:tc>
        <w:tc>
          <w:tcPr>
            <w:tcW w:type="dxa" w:w="2167"/>
            <w:tcMar>
              <w:top w:w="60" w:type="dxa"/>
              <w:bottom w:w="60" w:type="dxa"/>
              <w:left w:w="80" w:type="dxa"/>
              <w:right w:w="80" w:type="dxa"/>
            </w:tcMar>
            <w:tcBorders>
              <w:bottom w:val="single" w:sz="4" w:space="0" w:color="E0E0E0"/>
            </w:tcBorders>
          </w:tcPr>
          <w:p>
            <w:pPr>
              <w:spacing w:line="276" w:lineRule="auto"/>
            </w:pPr>
            <w:r>
              <w:t>Real-time alerting engine, Web Audio synthesis, and portfolio tracking review.</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r>
        <w:tc>
          <w:tcPr>
            <w:tcW w:type="dxa" w:w="2167"/>
            <w:tcMar>
              <w:top w:w="60" w:type="dxa"/>
              <w:bottom w:w="60" w:type="dxa"/>
              <w:left w:w="80" w:type="dxa"/>
              <w:right w:w="80" w:type="dxa"/>
            </w:tcMar>
            <w:tcBorders>
              <w:bottom w:val="single" w:sz="4" w:space="0" w:color="E0E0E0"/>
            </w:tcBorders>
          </w:tcPr>
          <w:p>
            <w:pPr>
              <w:spacing w:line="276" w:lineRule="auto"/>
            </w:pPr>
            <w:r>
              <w:rPr>
                <w:b/>
              </w:rPr>
              <w:t>6</w:t>
            </w:r>
          </w:p>
        </w:tc>
        <w:tc>
          <w:tcPr>
            <w:tcW w:type="dxa" w:w="2167"/>
            <w:tcMar>
              <w:top w:w="60" w:type="dxa"/>
              <w:bottom w:w="60" w:type="dxa"/>
              <w:left w:w="80" w:type="dxa"/>
              <w:right w:w="80" w:type="dxa"/>
            </w:tcMar>
            <w:tcBorders>
              <w:bottom w:val="single" w:sz="4" w:space="0" w:color="E0E0E0"/>
            </w:tcBorders>
          </w:tcPr>
          <w:p>
            <w:pPr>
              <w:spacing w:line="276" w:lineRule="auto"/>
            </w:pPr>
            <w:r>
              <w:t>Week 16</w:t>
            </w:r>
          </w:p>
        </w:tc>
        <w:tc>
          <w:tcPr>
            <w:tcW w:type="dxa" w:w="2167"/>
            <w:tcMar>
              <w:top w:w="60" w:type="dxa"/>
              <w:bottom w:w="60" w:type="dxa"/>
              <w:left w:w="80" w:type="dxa"/>
              <w:right w:w="80" w:type="dxa"/>
            </w:tcMar>
            <w:tcBorders>
              <w:bottom w:val="single" w:sz="4" w:space="0" w:color="E0E0E0"/>
            </w:tcBorders>
          </w:tcPr>
          <w:p>
            <w:pPr>
              <w:spacing w:line="276" w:lineRule="auto"/>
            </w:pPr>
            <w:r>
              <w:t>Final report verification, test suite audit, and viva-voce presentation dry-run.</w:t>
            </w:r>
          </w:p>
        </w:tc>
        <w:tc>
          <w:tcPr>
            <w:tcW w:type="dxa" w:w="2167"/>
            <w:tcMar>
              <w:top w:w="60" w:type="dxa"/>
              <w:bottom w:w="60" w:type="dxa"/>
              <w:left w:w="80" w:type="dxa"/>
              <w:right w:w="80" w:type="dxa"/>
            </w:tcMar>
            <w:tcBorders>
              <w:bottom w:val="single" w:sz="4" w:space="0" w:color="E0E0E0"/>
            </w:tcBorders>
          </w:tcPr>
          <w:p>
            <w:pPr>
              <w:spacing w:line="276" w:lineRule="auto"/>
            </w:pPr>
            <w:r>
              <w:t>______________</w:t>
            </w:r>
          </w:p>
        </w:tc>
      </w:tr>
    </w:tbl>
    <w:p>
      <w:r>
        <w:br w:type="page"/>
      </w:r>
    </w:p>
    <w:p>
      <w:pPr>
        <w:keepNext/>
        <w:spacing w:before="360" w:after="200" w:line="276" w:lineRule="auto"/>
        <w:jc w:val="left"/>
      </w:pPr>
      <w:r>
        <w:rPr>
          <w:rFonts w:ascii="Times New Roman" w:hAnsi="Times New Roman"/>
          <w:b/>
          <w:sz w:val="32"/>
        </w:rPr>
        <w:t>REFERENCES</w:t>
      </w:r>
    </w:p>
    <w:p>
      <w:pPr>
        <w:spacing w:line="276" w:lineRule="auto" w:after="120"/>
        <w:jc w:val="both"/>
      </w:pPr>
      <w:r>
        <w:rPr>
          <w:rFonts w:ascii="Times New Roman" w:hAnsi="Times New Roman"/>
          <w:sz w:val="22"/>
        </w:rPr>
        <w:t>[1] T. Fischer and C. Krauss, “Deep learning with long short-term memory networks for financial market predictions,” European Journal of Operational Research, vol. 270, no. 2, pp. 654–669, Oct. 2018.</w:t>
      </w:r>
    </w:p>
    <w:p>
      <w:pPr>
        <w:spacing w:line="276" w:lineRule="auto" w:after="120"/>
        <w:jc w:val="both"/>
      </w:pPr>
      <w:r>
        <w:rPr>
          <w:rFonts w:ascii="Times New Roman" w:hAnsi="Times New Roman"/>
          <w:sz w:val="22"/>
        </w:rPr>
        <w:t>[2] X. Chen, Y. Zhou, and H. Dai, “A robust stock trend prediction approach based on XGBoost and technical indicators,” IEEE Access, vol. 9, pp. 112431–112443, Aug. 2021.</w:t>
      </w:r>
    </w:p>
    <w:p>
      <w:pPr>
        <w:spacing w:line="276" w:lineRule="auto" w:after="120"/>
        <w:jc w:val="both"/>
      </w:pPr>
      <w:r>
        <w:rPr>
          <w:rFonts w:ascii="Times New Roman" w:hAnsi="Times New Roman"/>
          <w:sz w:val="22"/>
        </w:rPr>
        <w:t>[3] B. Shrestha and S. R. Joshi, “Empirical analysis of time series price prediction in the Nepal Stock Exchange using ARIMA models,” Journal of Science and Engineering, vol. 8, pp. 45–54, Dec. 2020.</w:t>
      </w:r>
    </w:p>
    <w:p>
      <w:pPr>
        <w:spacing w:line="276" w:lineRule="auto" w:after="120"/>
        <w:jc w:val="both"/>
      </w:pPr>
      <w:r>
        <w:rPr>
          <w:rFonts w:ascii="Times New Roman" w:hAnsi="Times New Roman"/>
          <w:sz w:val="22"/>
        </w:rPr>
        <w:t>[4] G. Bhattarai, “Technical analysis confluence and risk mitigation strategies in emerging capital markets: A case study of NEPSE banking equities,” NRB Economic Review, vol. 34, no. 1, pp. 22–39, 2022.</w:t>
      </w:r>
    </w:p>
    <w:p>
      <w:pPr>
        <w:spacing w:line="276" w:lineRule="auto" w:after="120"/>
        <w:jc w:val="both"/>
      </w:pPr>
      <w:r>
        <w:rPr>
          <w:rFonts w:ascii="Times New Roman" w:hAnsi="Times New Roman"/>
          <w:sz w:val="22"/>
        </w:rPr>
        <w:t>[5] M. Kumar and M. Thenmozhi, “Forecasting stock index movement: A comparison of support vector machines and random forest,” Indian Journal of Finance, vol. 8, no. 10, pp. 7–21, Oct. 2014.</w:t>
      </w:r>
    </w:p>
    <w:p>
      <w:pPr>
        <w:spacing w:line="276" w:lineRule="auto" w:after="120"/>
        <w:jc w:val="both"/>
      </w:pPr>
      <w:r>
        <w:rPr>
          <w:rFonts w:ascii="Times New Roman" w:hAnsi="Times New Roman"/>
          <w:sz w:val="22"/>
        </w:rPr>
        <w:t>[6] S. Hochreiter and J. Schmidhuber, “Long short-term memory,” Neural Computation, vol. 9, no. 8, pp. 1735–1780, Nov. 1997.</w:t>
      </w:r>
    </w:p>
    <w:p>
      <w:pPr>
        <w:spacing w:line="276" w:lineRule="auto" w:after="120"/>
        <w:jc w:val="both"/>
      </w:pPr>
      <w:r>
        <w:rPr>
          <w:rFonts w:ascii="Times New Roman" w:hAnsi="Times New Roman"/>
          <w:sz w:val="22"/>
        </w:rPr>
        <w:t>[7] T. Chen and C. Guestrin, “XGBoost: A scalable tree boosting system,” in Proc. 22nd ACM SIGKDD Int. Conf. Knowledge Discovery and Data Mining (KDD), San Francisco, CA, USA, 2016, pp. 785–794.</w:t>
      </w:r>
    </w:p>
    <w:p>
      <w:pPr>
        <w:spacing w:line="276" w:lineRule="auto" w:after="120"/>
        <w:jc w:val="both"/>
      </w:pPr>
      <w:r>
        <w:rPr>
          <w:rFonts w:ascii="Times New Roman" w:hAnsi="Times New Roman"/>
          <w:sz w:val="22"/>
        </w:rPr>
        <w:t>[8] J. W. Wilder, New Concepts in Technical Trading Systems. Greensboro, NC: Trend Research, 1978.</w:t>
      </w:r>
    </w:p>
    <w:p>
      <w:pPr>
        <w:spacing w:line="276" w:lineRule="auto" w:after="120"/>
        <w:jc w:val="both"/>
      </w:pPr>
      <w:r>
        <w:rPr>
          <w:rFonts w:ascii="Times New Roman" w:hAnsi="Times New Roman"/>
          <w:sz w:val="22"/>
        </w:rPr>
        <w:t>[9] G. Appel, Technical Analysis: Power Tools for Active Investors. Upper Saddle River, NJ: Financial Times Prentice Hall, 2005.</w:t>
      </w:r>
    </w:p>
    <w:p>
      <w:pPr>
        <w:spacing w:line="276" w:lineRule="auto" w:after="120"/>
        <w:jc w:val="both"/>
      </w:pPr>
      <w:r>
        <w:rPr>
          <w:rFonts w:ascii="Times New Roman" w:hAnsi="Times New Roman"/>
          <w:sz w:val="22"/>
        </w:rPr>
        <w:t>[10] J. Bollinger, Bollinger on Bollinger Bands. New York, NY: McGraw-Hill, 2002.</w:t>
      </w:r>
    </w:p>
    <w:p>
      <w:pPr>
        <w:spacing w:line="276" w:lineRule="auto" w:after="120"/>
        <w:jc w:val="both"/>
      </w:pPr>
      <w:r>
        <w:rPr>
          <w:rFonts w:ascii="Times New Roman" w:hAnsi="Times New Roman"/>
          <w:sz w:val="22"/>
        </w:rPr>
        <w:t>[11] Nepal Stock Exchange (NEPSE), “NEPSE trading rules and bylaws,” Kathmandu, Nepal, Official Regulatory Publication, 2024. [Online]. Available: https://www.nepalstock.com.np.</w:t>
      </w:r>
    </w:p>
    <w:p>
      <w:pPr>
        <w:spacing w:line="276" w:lineRule="auto" w:after="120"/>
        <w:jc w:val="both"/>
      </w:pPr>
      <w:r>
        <w:rPr>
          <w:rFonts w:ascii="Times New Roman" w:hAnsi="Times New Roman"/>
          <w:sz w:val="22"/>
        </w:rPr>
        <w:t>[12] Nepal Rastra Bank (NRB), “Monetary policy and capital market liquidity dynamics,” Economic Research Department, Annual Report, 2025.</w:t>
      </w:r>
    </w:p>
    <w:sectPr w:rsidR="00FC693F" w:rsidRPr="0006063C" w:rsidSect="00034616">
      <w:headerReference w:type="default" r:id="rId10"/>
      <w:footerReference w:type="default" r:id="rId11"/>
      <w:pgSz w:w="11909" w:h="16834"/>
      <w:pgMar w:top="1440" w:right="1440" w:bottom="1440" w:left="1800" w:header="720" w:footer="720" w:gutter="0"/>
      <w:cols w:space="720"/>
      <w:docGrid w:linePitch="360"/>
      <w:pgNumType w:fmt="romanLower"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