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51272228" w:rsidR="004F2A8B" w:rsidRPr="003879BB" w:rsidRDefault="003879BB" w:rsidP="3D28A338">
            <w:pPr>
              <w:jc w:val="both"/>
              <w:rPr>
                <w:rFonts w:ascii="Calibri" w:hAnsi="Calibri"/>
                <w:b/>
                <w:bCs/>
                <w:color w:val="1F4E79" w:themeColor="accent1" w:themeShade="80"/>
              </w:rPr>
            </w:pPr>
            <w:r w:rsidRPr="003879BB">
              <w:rPr>
                <w:rFonts w:ascii="Calibri" w:hAnsi="Calibri"/>
                <w:b/>
                <w:bCs/>
                <w:color w:val="1F4E79" w:themeColor="accent1" w:themeShade="80"/>
              </w:rPr>
              <w:t>En líneas generales, el ritmo de ejecución se ha mantenido bastante alineado con la planificación original de la Carta Gantt, permitiéndonos concretar los hitos principales en los plazos previstos. No obstante, el camino no ha estado exento de tropiezos: la sincronización y el flujo informativo entre nosotros se vieron rezagados en ciertos momentos clave, sobre todo al tener que rediseñar aspectos estructurales sobre la marcha. A pesar de estos roces de coordinación, la constancia del grupo y la rápida resolución de problemas técnicos nos han impulsado a mantenernos a flote y seguir sumando avances sólidos.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927F41C" w:rsidR="004F2A8B" w:rsidRDefault="003879BB" w:rsidP="3D28A338">
            <w:pPr>
              <w:jc w:val="both"/>
              <w:rPr>
                <w:rFonts w:ascii="Calibri" w:hAnsi="Calibri"/>
                <w:b/>
                <w:bCs/>
                <w:color w:val="1F4E79" w:themeColor="accent1" w:themeShade="80"/>
              </w:rPr>
            </w:pPr>
            <w:r w:rsidRPr="003879BB">
              <w:rPr>
                <w:rFonts w:ascii="Calibri" w:hAnsi="Calibri"/>
                <w:b/>
                <w:bCs/>
                <w:color w:val="1F4E79" w:themeColor="accent1" w:themeShade="80"/>
              </w:rPr>
              <w:t>Para contrarrestar los baches operativos, optamos por intensificar los espacios de diálogo mediante reuniones de sincronización donde fijamos directrices comunes y acuerdos formales de trabajo. De cara al tramo final, resulta imperativo pulir la fase de previsiones: notificar cualquier cambio técnico con la debida antelación y acotar estrictamente las funciones de cada uno. Con esto buscamos erradicar la duplicidad de esfuerzos y asegurar que la integración de los diferentes módulos del sistema fluya sin contratiempos.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961F4C7" w:rsidR="004F2A8B" w:rsidRDefault="003879BB" w:rsidP="3D28A338">
            <w:pPr>
              <w:jc w:val="both"/>
              <w:rPr>
                <w:rFonts w:ascii="Calibri" w:hAnsi="Calibri"/>
                <w:b/>
                <w:bCs/>
                <w:color w:val="1F4E79" w:themeColor="accent1" w:themeShade="80"/>
              </w:rPr>
            </w:pPr>
            <w:r w:rsidRPr="003879BB">
              <w:rPr>
                <w:rFonts w:ascii="Calibri" w:hAnsi="Calibri"/>
                <w:b/>
                <w:bCs/>
                <w:color w:val="1F4E79" w:themeColor="accent1" w:themeShade="80"/>
              </w:rPr>
              <w:t>Hago un balance muy favorable de mi aporte personal al proyecto, ya que he sabido responder ante las exigencias técnicas, adaptarme a los cambios imprevistos y respaldar activamente a mis compañeros cuando fue necesario. Como autocrítica y punto a corregir, reconozco que debo ser más proactivo al comunicar modificaciones que puedan repercutir en el trabajo ajeno. Fomentar esa transparencia interna nos garantizará un desarrollo más pulido y facilitará el cumplimiento estricto de las metas de entrega.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49EC0E32" w:rsidR="004F2A8B" w:rsidRDefault="003879BB" w:rsidP="3D28A338">
            <w:pPr>
              <w:jc w:val="both"/>
              <w:rPr>
                <w:rFonts w:ascii="Calibri" w:hAnsi="Calibri"/>
                <w:b/>
                <w:bCs/>
                <w:color w:val="1F4E79" w:themeColor="accent1" w:themeShade="80"/>
              </w:rPr>
            </w:pPr>
            <w:r w:rsidRPr="003879BB">
              <w:rPr>
                <w:rFonts w:ascii="Calibri" w:hAnsi="Calibri"/>
                <w:b/>
                <w:bCs/>
                <w:color w:val="1F4E79" w:themeColor="accent1" w:themeShade="80"/>
              </w:rPr>
              <w:t>La mayor incertidumbre que enfrentamos gira en torno al empaquetado y la estructura formal de la documentación solicitada para la presentación definitiva. Nos sería sumamente útil clarificar cuáles son los apartados obligatorios, la jerarquía de contenidos y la pauta de formato exacta que se evaluará. Tener esta directriz clara nos dará la tranquilidad de que el dossier final cumple rigurosamente con los estándares exigidos por la cátedra.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3D8BC1C5" w:rsidR="004F2A8B" w:rsidRPr="00874D16" w:rsidRDefault="003879BB" w:rsidP="003879BB">
            <w:pPr>
              <w:jc w:val="both"/>
              <w:rPr>
                <w:rFonts w:ascii="Calibri" w:hAnsi="Calibri"/>
                <w:b/>
                <w:bCs/>
                <w:color w:val="1F4E79" w:themeColor="accent1" w:themeShade="80"/>
              </w:rPr>
            </w:pPr>
            <w:r w:rsidRPr="003879BB">
              <w:rPr>
                <w:rFonts w:ascii="Calibri" w:hAnsi="Calibri"/>
                <w:b/>
                <w:bCs/>
                <w:color w:val="1F4E79" w:themeColor="accent1" w:themeShade="80"/>
              </w:rPr>
              <w:t>Sí, es imperativo realizar un reajuste en la asignación de tareas evaluando el volumen de trabajo actual y el estado de avance de cada integrante. Dicha reestructuración la formalizaremos en nuestra próxima sesión de equipo para delegar responsabilidades específicas, poniendo especial foco en las fases críticas que se nos vienen encima: las pruebas de integración de microservicios, el control de calidad del software y la redacción del informe definitivo.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D536654" w14:textId="77777777" w:rsidR="003879BB" w:rsidRPr="003879BB" w:rsidRDefault="003879BB" w:rsidP="003879BB">
            <w:pPr>
              <w:jc w:val="both"/>
              <w:rPr>
                <w:rFonts w:ascii="Calibri" w:hAnsi="Calibri"/>
                <w:b/>
                <w:bCs/>
                <w:color w:val="1F4E79" w:themeColor="accent1" w:themeShade="80"/>
              </w:rPr>
            </w:pPr>
            <w:r w:rsidRPr="003879BB">
              <w:rPr>
                <w:rFonts w:ascii="Calibri" w:hAnsi="Calibri"/>
                <w:b/>
                <w:bCs/>
                <w:color w:val="1F4E79" w:themeColor="accent1" w:themeShade="80"/>
              </w:rPr>
              <w:t>La experiencia colaborativa ha sido altamente positiva; el equipo ha demostrado una gran resiliencia técnica, capacidad de adaptación frente a los cambios y un fuerte compromiso con las metas trazadas, lo que se refleja en la velocidad con la que fuimos construyendo las distintas funcionalidades del sistema.</w:t>
            </w:r>
          </w:p>
          <w:p w14:paraId="739A6F94" w14:textId="7B5034AE" w:rsidR="004F2A8B" w:rsidRDefault="003879BB" w:rsidP="3D28A338">
            <w:pPr>
              <w:jc w:val="both"/>
              <w:rPr>
                <w:rFonts w:eastAsiaTheme="majorEastAsia"/>
                <w:color w:val="767171" w:themeColor="background2" w:themeShade="80"/>
                <w:sz w:val="24"/>
                <w:szCs w:val="24"/>
              </w:rPr>
            </w:pPr>
            <w:r w:rsidRPr="003879BB">
              <w:rPr>
                <w:rFonts w:ascii="Calibri" w:hAnsi="Calibri"/>
                <w:b/>
                <w:bCs/>
                <w:color w:val="1F4E79" w:themeColor="accent1" w:themeShade="80"/>
              </w:rPr>
              <w:t>Sin embargo, el flanco más débil ha sido la sincronización operativa y el canal de información interno. Para la etapa final, debemos priorizar un control de cambios más transparente y una planificación compartida más rigurosa. Esto evitará descoordinaciones y nos permitirá operar con un nivel de eficiencia mucho mayor.</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F215D" w14:textId="77777777" w:rsidR="0043652C" w:rsidRDefault="0043652C" w:rsidP="00DF38AE">
      <w:pPr>
        <w:spacing w:after="0" w:line="240" w:lineRule="auto"/>
      </w:pPr>
      <w:r>
        <w:separator/>
      </w:r>
    </w:p>
  </w:endnote>
  <w:endnote w:type="continuationSeparator" w:id="0">
    <w:p w14:paraId="13BA1707" w14:textId="77777777" w:rsidR="0043652C" w:rsidRDefault="0043652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588A" w14:textId="77777777" w:rsidR="0043652C" w:rsidRDefault="0043652C" w:rsidP="00DF38AE">
      <w:pPr>
        <w:spacing w:after="0" w:line="240" w:lineRule="auto"/>
      </w:pPr>
      <w:r>
        <w:separator/>
      </w:r>
    </w:p>
  </w:footnote>
  <w:footnote w:type="continuationSeparator" w:id="0">
    <w:p w14:paraId="03F92F4B" w14:textId="77777777" w:rsidR="0043652C" w:rsidRDefault="0043652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10412842">
    <w:abstractNumId w:val="3"/>
  </w:num>
  <w:num w:numId="2" w16cid:durableId="1956985192">
    <w:abstractNumId w:val="8"/>
  </w:num>
  <w:num w:numId="3" w16cid:durableId="1556503400">
    <w:abstractNumId w:val="12"/>
  </w:num>
  <w:num w:numId="4" w16cid:durableId="1618289489">
    <w:abstractNumId w:val="28"/>
  </w:num>
  <w:num w:numId="5" w16cid:durableId="99034172">
    <w:abstractNumId w:val="30"/>
  </w:num>
  <w:num w:numId="6" w16cid:durableId="831989625">
    <w:abstractNumId w:val="4"/>
  </w:num>
  <w:num w:numId="7" w16cid:durableId="140926124">
    <w:abstractNumId w:val="11"/>
  </w:num>
  <w:num w:numId="8" w16cid:durableId="1634869857">
    <w:abstractNumId w:val="19"/>
  </w:num>
  <w:num w:numId="9" w16cid:durableId="737291735">
    <w:abstractNumId w:val="15"/>
  </w:num>
  <w:num w:numId="10" w16cid:durableId="1857034825">
    <w:abstractNumId w:val="9"/>
  </w:num>
  <w:num w:numId="11" w16cid:durableId="1430273026">
    <w:abstractNumId w:val="24"/>
  </w:num>
  <w:num w:numId="12" w16cid:durableId="24717247">
    <w:abstractNumId w:val="35"/>
  </w:num>
  <w:num w:numId="13" w16cid:durableId="1571229218">
    <w:abstractNumId w:val="29"/>
  </w:num>
  <w:num w:numId="14" w16cid:durableId="1001741800">
    <w:abstractNumId w:val="1"/>
  </w:num>
  <w:num w:numId="15" w16cid:durableId="2099671008">
    <w:abstractNumId w:val="36"/>
  </w:num>
  <w:num w:numId="16" w16cid:durableId="1615333226">
    <w:abstractNumId w:val="21"/>
  </w:num>
  <w:num w:numId="17" w16cid:durableId="416682189">
    <w:abstractNumId w:val="17"/>
  </w:num>
  <w:num w:numId="18" w16cid:durableId="2109424458">
    <w:abstractNumId w:val="31"/>
  </w:num>
  <w:num w:numId="19" w16cid:durableId="356546897">
    <w:abstractNumId w:val="10"/>
  </w:num>
  <w:num w:numId="20" w16cid:durableId="1302538557">
    <w:abstractNumId w:val="39"/>
  </w:num>
  <w:num w:numId="21" w16cid:durableId="326592785">
    <w:abstractNumId w:val="34"/>
  </w:num>
  <w:num w:numId="22" w16cid:durableId="1118522184">
    <w:abstractNumId w:val="13"/>
  </w:num>
  <w:num w:numId="23" w16cid:durableId="1655986936">
    <w:abstractNumId w:val="14"/>
  </w:num>
  <w:num w:numId="24" w16cid:durableId="1418483523">
    <w:abstractNumId w:val="5"/>
  </w:num>
  <w:num w:numId="25" w16cid:durableId="1069426843">
    <w:abstractNumId w:val="16"/>
  </w:num>
  <w:num w:numId="26" w16cid:durableId="759332338">
    <w:abstractNumId w:val="20"/>
  </w:num>
  <w:num w:numId="27" w16cid:durableId="802120199">
    <w:abstractNumId w:val="23"/>
  </w:num>
  <w:num w:numId="28" w16cid:durableId="6642757">
    <w:abstractNumId w:val="0"/>
  </w:num>
  <w:num w:numId="29" w16cid:durableId="566306398">
    <w:abstractNumId w:val="18"/>
  </w:num>
  <w:num w:numId="30" w16cid:durableId="658116150">
    <w:abstractNumId w:val="22"/>
  </w:num>
  <w:num w:numId="31" w16cid:durableId="1019351427">
    <w:abstractNumId w:val="2"/>
  </w:num>
  <w:num w:numId="32" w16cid:durableId="852184819">
    <w:abstractNumId w:val="7"/>
  </w:num>
  <w:num w:numId="33" w16cid:durableId="493838116">
    <w:abstractNumId w:val="32"/>
  </w:num>
  <w:num w:numId="34" w16cid:durableId="209077213">
    <w:abstractNumId w:val="38"/>
  </w:num>
  <w:num w:numId="35" w16cid:durableId="248203015">
    <w:abstractNumId w:val="6"/>
  </w:num>
  <w:num w:numId="36" w16cid:durableId="1313486262">
    <w:abstractNumId w:val="25"/>
  </w:num>
  <w:num w:numId="37" w16cid:durableId="1945309269">
    <w:abstractNumId w:val="37"/>
  </w:num>
  <w:num w:numId="38" w16cid:durableId="947855536">
    <w:abstractNumId w:val="27"/>
  </w:num>
  <w:num w:numId="39" w16cid:durableId="404688336">
    <w:abstractNumId w:val="26"/>
  </w:num>
  <w:num w:numId="40" w16cid:durableId="9081538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4A8"/>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879BB"/>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652C"/>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00B6"/>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724</Words>
  <Characters>3985</Characters>
  <Application>Microsoft Office Word</Application>
  <DocSecurity>0</DocSecurity>
  <Lines>33</Lines>
  <Paragraphs>9</Paragraphs>
  <ScaleCrop>false</ScaleCrop>
  <Company>Wal-Mart Stores, Inc.</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JASON . VENEGAS MUNOZ</cp:lastModifiedBy>
  <cp:revision>44</cp:revision>
  <cp:lastPrinted>2019-12-16T20:10:00Z</cp:lastPrinted>
  <dcterms:created xsi:type="dcterms:W3CDTF">2021-12-31T12:50:00Z</dcterms:created>
  <dcterms:modified xsi:type="dcterms:W3CDTF">2026-10-17T19:59:00Z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