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Sample characteristics</w:t>
      </w:r>
    </w:p>
    <w:tbl>
      <w:tblPr>
        <w:tblStyle w:val="Table"/>
        <w:tblW w:type="pct" w:w="0.0"/>
        <w:tblLook w:firstRow="1"/>
        <w:tblCaption w:val="Sample characteristic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NTDB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SweTrau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TITCO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 (%)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647856 (96.1)</w:t>
            </w:r>
          </w:p>
        </w:tc>
        <w:tc>
          <w:p>
            <w:pPr>
              <w:pStyle w:val="Compact"/>
              <w:jc w:val="left"/>
            </w:pPr>
            <w:r>
              <w:t xml:space="preserve">18374 (2.7)</w:t>
            </w:r>
          </w:p>
        </w:tc>
        <w:tc>
          <w:p>
            <w:pPr>
              <w:pStyle w:val="Compact"/>
              <w:jc w:val="left"/>
            </w:pPr>
            <w:r>
              <w:t xml:space="preserve">7980 (1.2)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Age, years (median [IQR])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50.0 [30.0, 68.0]</w:t>
            </w:r>
          </w:p>
        </w:tc>
        <w:tc>
          <w:p>
            <w:pPr>
              <w:pStyle w:val="Compact"/>
              <w:jc w:val="left"/>
            </w:pPr>
            <w:r>
              <w:t xml:space="preserve">39.0 [23.0, 57.0]</w:t>
            </w:r>
          </w:p>
        </w:tc>
        <w:tc>
          <w:p>
            <w:pPr>
              <w:pStyle w:val="Compact"/>
              <w:jc w:val="left"/>
            </w:pPr>
            <w:r>
              <w:t xml:space="preserve">30.0 [20.0, 43.0]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 (%)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160 (0.0)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239163 (36.9)</w:t>
            </w:r>
          </w:p>
        </w:tc>
        <w:tc>
          <w:p>
            <w:pPr>
              <w:pStyle w:val="Compact"/>
              <w:jc w:val="left"/>
            </w:pPr>
            <w:r>
              <w:t xml:space="preserve">6227 (33.9)</w:t>
            </w:r>
          </w:p>
        </w:tc>
        <w:tc>
          <w:p>
            <w:pPr>
              <w:pStyle w:val="Compact"/>
              <w:jc w:val="left"/>
            </w:pPr>
            <w:r>
              <w:t xml:space="preserve">1524 (19.1)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408533 (63.1)</w:t>
            </w:r>
          </w:p>
        </w:tc>
        <w:tc>
          <w:p>
            <w:pPr>
              <w:pStyle w:val="Compact"/>
              <w:jc w:val="left"/>
            </w:pPr>
            <w:r>
              <w:t xml:space="preserve">12147 (66.1)</w:t>
            </w:r>
          </w:p>
        </w:tc>
        <w:tc>
          <w:p>
            <w:pPr>
              <w:pStyle w:val="Compact"/>
              <w:jc w:val="left"/>
            </w:pPr>
            <w:r>
              <w:t xml:space="preserve">6456 (80.9)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GCS (median [IQR])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15.0 [15.0, 15.0]</w:t>
            </w:r>
          </w:p>
        </w:tc>
        <w:tc>
          <w:p>
            <w:pPr>
              <w:pStyle w:val="Compact"/>
              <w:jc w:val="left"/>
            </w:pPr>
            <w:r>
              <w:t xml:space="preserve">15.0 [15.0, 15.0]</w:t>
            </w:r>
          </w:p>
        </w:tc>
        <w:tc>
          <w:p>
            <w:pPr>
              <w:pStyle w:val="Compact"/>
              <w:jc w:val="left"/>
            </w:pPr>
            <w:r>
              <w:t xml:space="preserve">15.0 [9.0, 15.0]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TRTS-GCS (%)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28789 (4.4)</w:t>
            </w:r>
          </w:p>
        </w:tc>
        <w:tc>
          <w:p>
            <w:pPr>
              <w:pStyle w:val="Compact"/>
              <w:jc w:val="left"/>
            </w:pPr>
            <w:r>
              <w:t xml:space="preserve">217 (1.2)</w:t>
            </w:r>
          </w:p>
        </w:tc>
        <w:tc>
          <w:p>
            <w:pPr>
              <w:pStyle w:val="Compact"/>
              <w:jc w:val="left"/>
            </w:pPr>
            <w:r>
              <w:t xml:space="preserve">393 (4.9)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4-5</w:t>
            </w:r>
          </w:p>
        </w:tc>
        <w:tc>
          <w:p>
            <w:pPr>
              <w:pStyle w:val="Compact"/>
              <w:jc w:val="left"/>
            </w:pPr>
            <w:r>
              <w:t xml:space="preserve">2555 (0.4)</w:t>
            </w:r>
          </w:p>
        </w:tc>
        <w:tc>
          <w:p>
            <w:pPr>
              <w:pStyle w:val="Compact"/>
              <w:jc w:val="left"/>
            </w:pPr>
            <w:r>
              <w:t xml:space="preserve">102 (0.6)</w:t>
            </w:r>
          </w:p>
        </w:tc>
        <w:tc>
          <w:p>
            <w:pPr>
              <w:pStyle w:val="Compact"/>
              <w:jc w:val="left"/>
            </w:pPr>
            <w:r>
              <w:t xml:space="preserve">496 (6.2)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6-8</w:t>
            </w:r>
          </w:p>
        </w:tc>
        <w:tc>
          <w:p>
            <w:pPr>
              <w:pStyle w:val="Compact"/>
              <w:jc w:val="left"/>
            </w:pPr>
            <w:r>
              <w:t xml:space="preserve">8533 (1.3)</w:t>
            </w:r>
          </w:p>
        </w:tc>
        <w:tc>
          <w:p>
            <w:pPr>
              <w:pStyle w:val="Compact"/>
              <w:jc w:val="left"/>
            </w:pPr>
            <w:r>
              <w:t xml:space="preserve">249 (1.4)</w:t>
            </w:r>
          </w:p>
        </w:tc>
        <w:tc>
          <w:p>
            <w:pPr>
              <w:pStyle w:val="Compact"/>
              <w:jc w:val="left"/>
            </w:pPr>
            <w:r>
              <w:t xml:space="preserve">990 (12.4)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9-12</w:t>
            </w:r>
          </w:p>
        </w:tc>
        <w:tc>
          <w:p>
            <w:pPr>
              <w:pStyle w:val="Compact"/>
              <w:jc w:val="left"/>
            </w:pPr>
            <w:r>
              <w:t xml:space="preserve">14641 (2.3)</w:t>
            </w:r>
          </w:p>
        </w:tc>
        <w:tc>
          <w:p>
            <w:pPr>
              <w:pStyle w:val="Compact"/>
              <w:jc w:val="left"/>
            </w:pPr>
            <w:r>
              <w:t xml:space="preserve">604 (3.3)</w:t>
            </w:r>
          </w:p>
        </w:tc>
        <w:tc>
          <w:p>
            <w:pPr>
              <w:pStyle w:val="Compact"/>
              <w:jc w:val="left"/>
            </w:pPr>
            <w:r>
              <w:t xml:space="preserve">1043 (13.1)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13-15</w:t>
            </w:r>
          </w:p>
        </w:tc>
        <w:tc>
          <w:p>
            <w:pPr>
              <w:pStyle w:val="Compact"/>
              <w:jc w:val="left"/>
            </w:pPr>
            <w:r>
              <w:t xml:space="preserve">593338 (91.6)</w:t>
            </w:r>
          </w:p>
        </w:tc>
        <w:tc>
          <w:p>
            <w:pPr>
              <w:pStyle w:val="Compact"/>
              <w:jc w:val="left"/>
            </w:pPr>
            <w:r>
              <w:t xml:space="preserve">17202 (93.6)</w:t>
            </w:r>
          </w:p>
        </w:tc>
        <w:tc>
          <w:p>
            <w:pPr>
              <w:pStyle w:val="Compact"/>
              <w:jc w:val="left"/>
            </w:pPr>
            <w:r>
              <w:t xml:space="preserve">5058 (63.4)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SBP (median [IQR])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138.0 [122.0, 154.0]</w:t>
            </w:r>
          </w:p>
        </w:tc>
        <w:tc>
          <w:p>
            <w:pPr>
              <w:pStyle w:val="Compact"/>
              <w:jc w:val="left"/>
            </w:pPr>
            <w:r>
              <w:t xml:space="preserve">136.0 [121.0, 152.0]</w:t>
            </w:r>
          </w:p>
        </w:tc>
        <w:tc>
          <w:p>
            <w:pPr>
              <w:pStyle w:val="Compact"/>
              <w:jc w:val="left"/>
            </w:pPr>
            <w:r>
              <w:t xml:space="preserve">116.0 [102.0, 128.0]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TRTS-SBP (%)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4846 (0.7)</w:t>
            </w:r>
          </w:p>
        </w:tc>
        <w:tc>
          <w:p>
            <w:pPr>
              <w:pStyle w:val="Compact"/>
              <w:jc w:val="left"/>
            </w:pPr>
            <w:r>
              <w:t xml:space="preserve">67 (0.4)</w:t>
            </w:r>
          </w:p>
        </w:tc>
        <w:tc>
          <w:p>
            <w:pPr>
              <w:pStyle w:val="Compact"/>
              <w:jc w:val="left"/>
            </w:pPr>
            <w:r>
              <w:t xml:space="preserve">99 (1.2)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1-49</w:t>
            </w:r>
          </w:p>
        </w:tc>
        <w:tc>
          <w:p>
            <w:pPr>
              <w:pStyle w:val="Compact"/>
              <w:jc w:val="left"/>
            </w:pPr>
            <w:r>
              <w:t xml:space="preserve">658 (0.1)</w:t>
            </w:r>
          </w:p>
        </w:tc>
        <w:tc>
          <w:p>
            <w:pPr>
              <w:pStyle w:val="Compact"/>
              <w:jc w:val="left"/>
            </w:pPr>
            <w:r>
              <w:t xml:space="preserve">28 (0.2)</w:t>
            </w:r>
          </w:p>
        </w:tc>
        <w:tc>
          <w:p>
            <w:pPr>
              <w:pStyle w:val="Compact"/>
              <w:jc w:val="left"/>
            </w:pPr>
            <w:r>
              <w:t xml:space="preserve">8 (0.1)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50-75</w:t>
            </w:r>
          </w:p>
        </w:tc>
        <w:tc>
          <w:p>
            <w:pPr>
              <w:pStyle w:val="Compact"/>
              <w:jc w:val="left"/>
            </w:pPr>
            <w:r>
              <w:t xml:space="preserve">4292 (0.7)</w:t>
            </w:r>
          </w:p>
        </w:tc>
        <w:tc>
          <w:p>
            <w:pPr>
              <w:pStyle w:val="Compact"/>
              <w:jc w:val="left"/>
            </w:pPr>
            <w:r>
              <w:t xml:space="preserve">108 (0.6)</w:t>
            </w:r>
          </w:p>
        </w:tc>
        <w:tc>
          <w:p>
            <w:pPr>
              <w:pStyle w:val="Compact"/>
              <w:jc w:val="left"/>
            </w:pPr>
            <w:r>
              <w:t xml:space="preserve">195 (2.4)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76-89</w:t>
            </w:r>
          </w:p>
        </w:tc>
        <w:tc>
          <w:p>
            <w:pPr>
              <w:pStyle w:val="Compact"/>
              <w:jc w:val="left"/>
            </w:pPr>
            <w:r>
              <w:t xml:space="preserve">8094 (1.2)</w:t>
            </w:r>
          </w:p>
        </w:tc>
        <w:tc>
          <w:p>
            <w:pPr>
              <w:pStyle w:val="Compact"/>
              <w:jc w:val="left"/>
            </w:pPr>
            <w:r>
              <w:t xml:space="preserve">205 (1.1)</w:t>
            </w:r>
          </w:p>
        </w:tc>
        <w:tc>
          <w:p>
            <w:pPr>
              <w:pStyle w:val="Compact"/>
              <w:jc w:val="left"/>
            </w:pPr>
            <w:r>
              <w:t xml:space="preserve">307 (3.8)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&gt;89</w:t>
            </w:r>
          </w:p>
        </w:tc>
        <w:tc>
          <w:p>
            <w:pPr>
              <w:pStyle w:val="Compact"/>
              <w:jc w:val="left"/>
            </w:pPr>
            <w:r>
              <w:t xml:space="preserve">629966 (97.2)</w:t>
            </w:r>
          </w:p>
        </w:tc>
        <w:tc>
          <w:p>
            <w:pPr>
              <w:pStyle w:val="Compact"/>
              <w:jc w:val="left"/>
            </w:pPr>
            <w:r>
              <w:t xml:space="preserve">17966 (97.8)</w:t>
            </w:r>
          </w:p>
        </w:tc>
        <w:tc>
          <w:p>
            <w:pPr>
              <w:pStyle w:val="Compact"/>
              <w:jc w:val="left"/>
            </w:pPr>
            <w:r>
              <w:t xml:space="preserve">7371 (92.4)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RR (median [IQR])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18.0 [16.0, 20.0]</w:t>
            </w:r>
          </w:p>
        </w:tc>
        <w:tc>
          <w:p>
            <w:pPr>
              <w:pStyle w:val="Compact"/>
              <w:jc w:val="left"/>
            </w:pPr>
            <w:r>
              <w:t xml:space="preserve">18.0 [16.0, 21.0]</w:t>
            </w:r>
          </w:p>
        </w:tc>
        <w:tc>
          <w:p>
            <w:pPr>
              <w:pStyle w:val="Compact"/>
              <w:jc w:val="left"/>
            </w:pPr>
            <w:r>
              <w:t xml:space="preserve">18.0 [16.0, 22.0]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TRTS-RR (%)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9704 (1.5)</w:t>
            </w:r>
          </w:p>
        </w:tc>
        <w:tc>
          <w:p>
            <w:pPr>
              <w:pStyle w:val="Compact"/>
              <w:jc w:val="left"/>
            </w:pPr>
            <w:r>
              <w:t xml:space="preserve">18 (0.1)</w:t>
            </w:r>
          </w:p>
        </w:tc>
        <w:tc>
          <w:p>
            <w:pPr>
              <w:pStyle w:val="Compact"/>
              <w:jc w:val="left"/>
            </w:pPr>
            <w:r>
              <w:t xml:space="preserve">143 (1.8)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1-5</w:t>
            </w:r>
          </w:p>
        </w:tc>
        <w:tc>
          <w:p>
            <w:pPr>
              <w:pStyle w:val="Compact"/>
              <w:jc w:val="left"/>
            </w:pPr>
            <w:r>
              <w:t xml:space="preserve">503 (0.1)</w:t>
            </w:r>
          </w:p>
        </w:tc>
        <w:tc>
          <w:p>
            <w:pPr>
              <w:pStyle w:val="Compact"/>
              <w:jc w:val="left"/>
            </w:pPr>
            <w:r>
              <w:t xml:space="preserve">12 (0.1)</w:t>
            </w:r>
          </w:p>
        </w:tc>
        <w:tc>
          <w:p>
            <w:pPr>
              <w:pStyle w:val="Compact"/>
              <w:jc w:val="left"/>
            </w:pPr>
            <w:r>
              <w:t xml:space="preserve">2 (0.0)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6-9</w:t>
            </w:r>
          </w:p>
        </w:tc>
        <w:tc>
          <w:p>
            <w:pPr>
              <w:pStyle w:val="Compact"/>
              <w:jc w:val="left"/>
            </w:pPr>
            <w:r>
              <w:t xml:space="preserve">2068 (0.3)</w:t>
            </w:r>
          </w:p>
        </w:tc>
        <w:tc>
          <w:p>
            <w:pPr>
              <w:pStyle w:val="Compact"/>
              <w:jc w:val="left"/>
            </w:pPr>
            <w:r>
              <w:t xml:space="preserve">158 (0.9)</w:t>
            </w:r>
          </w:p>
        </w:tc>
        <w:tc>
          <w:p>
            <w:pPr>
              <w:pStyle w:val="Compact"/>
              <w:jc w:val="left"/>
            </w:pPr>
            <w:r>
              <w:t xml:space="preserve">10 (0.1)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&gt;29</w:t>
            </w:r>
          </w:p>
        </w:tc>
        <w:tc>
          <w:p>
            <w:pPr>
              <w:pStyle w:val="Compact"/>
              <w:jc w:val="left"/>
            </w:pPr>
            <w:r>
              <w:t xml:space="preserve">11704 (1.8)</w:t>
            </w:r>
          </w:p>
        </w:tc>
        <w:tc>
          <w:p>
            <w:pPr>
              <w:pStyle w:val="Compact"/>
              <w:jc w:val="left"/>
            </w:pPr>
            <w:r>
              <w:t xml:space="preserve">1376 (7.5)</w:t>
            </w:r>
          </w:p>
        </w:tc>
        <w:tc>
          <w:p>
            <w:pPr>
              <w:pStyle w:val="Compact"/>
              <w:jc w:val="left"/>
            </w:pPr>
            <w:r>
              <w:t xml:space="preserve">135 (1.7)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10-29</w:t>
            </w:r>
          </w:p>
        </w:tc>
        <w:tc>
          <w:p>
            <w:pPr>
              <w:pStyle w:val="Compact"/>
              <w:jc w:val="left"/>
            </w:pPr>
            <w:r>
              <w:t xml:space="preserve">623877 (96.3)</w:t>
            </w:r>
          </w:p>
        </w:tc>
        <w:tc>
          <w:p>
            <w:pPr>
              <w:pStyle w:val="Compact"/>
              <w:jc w:val="left"/>
            </w:pPr>
            <w:r>
              <w:t xml:space="preserve">16810 (91.5)</w:t>
            </w:r>
          </w:p>
        </w:tc>
        <w:tc>
          <w:p>
            <w:pPr>
              <w:pStyle w:val="Compact"/>
              <w:jc w:val="left"/>
            </w:pPr>
            <w:r>
              <w:t xml:space="preserve">7690 (96.4)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ISS (median [IQR])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9.0 [4.0, 12.0]</w:t>
            </w:r>
          </w:p>
        </w:tc>
        <w:tc>
          <w:p>
            <w:pPr>
              <w:pStyle w:val="Compact"/>
              <w:jc w:val="left"/>
            </w:pPr>
            <w:r>
              <w:t xml:space="preserve">4.0 [1.0, 10.0]</w:t>
            </w:r>
          </w:p>
        </w:tc>
        <w:tc>
          <w:p>
            <w:pPr>
              <w:pStyle w:val="Compact"/>
              <w:jc w:val="left"/>
            </w:pPr>
            <w:r>
              <w:t xml:space="preserve">10.0 [9.0, 14.0]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Major trauma (%)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530681 (81.9)</w:t>
            </w:r>
          </w:p>
        </w:tc>
        <w:tc>
          <w:p>
            <w:pPr>
              <w:pStyle w:val="Compact"/>
              <w:jc w:val="left"/>
            </w:pPr>
            <w:r>
              <w:t xml:space="preserve">15481 (84.3)</w:t>
            </w:r>
          </w:p>
        </w:tc>
        <w:tc>
          <w:p>
            <w:pPr>
              <w:pStyle w:val="Compact"/>
              <w:jc w:val="left"/>
            </w:pPr>
            <w:r>
              <w:t xml:space="preserve">6134 (76.9)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117175 (18.1)</w:t>
            </w:r>
          </w:p>
        </w:tc>
        <w:tc>
          <w:p>
            <w:pPr>
              <w:pStyle w:val="Compact"/>
              <w:jc w:val="left"/>
            </w:pPr>
            <w:r>
              <w:t xml:space="preserve">2893 (15.7)</w:t>
            </w:r>
          </w:p>
        </w:tc>
        <w:tc>
          <w:p>
            <w:pPr>
              <w:pStyle w:val="Compact"/>
              <w:jc w:val="left"/>
            </w:pPr>
            <w:r>
              <w:t xml:space="preserve">1846 (23.1)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30-day survival (%)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95858 (14.8)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  <w:tc>
          <w:p>
            <w:pPr>
              <w:pStyle w:val="Compact"/>
              <w:jc w:val="left"/>
            </w:pPr>
            <w:r>
              <w:t xml:space="preserve">0 (0.0)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528798 (81.6)</w:t>
            </w:r>
          </w:p>
        </w:tc>
        <w:tc>
          <w:p>
            <w:pPr>
              <w:pStyle w:val="Compact"/>
              <w:jc w:val="left"/>
            </w:pPr>
            <w:r>
              <w:t xml:space="preserve">17725 (96.5)</w:t>
            </w:r>
          </w:p>
        </w:tc>
        <w:tc>
          <w:p>
            <w:pPr>
              <w:pStyle w:val="Compact"/>
              <w:jc w:val="left"/>
            </w:pPr>
            <w:r>
              <w:t xml:space="preserve">6478 (81.2)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23200 (3.6)</w:t>
            </w:r>
          </w:p>
        </w:tc>
        <w:tc>
          <w:p>
            <w:pPr>
              <w:pStyle w:val="Compact"/>
              <w:jc w:val="left"/>
            </w:pPr>
            <w:r>
              <w:t xml:space="preserve">649 (3.5)</w:t>
            </w:r>
          </w:p>
        </w:tc>
        <w:tc>
          <w:p>
            <w:pPr>
              <w:pStyle w:val="Compact"/>
              <w:jc w:val="left"/>
            </w:pPr>
            <w:r>
              <w:t xml:space="preserve">1502 (18.8)</w:t>
            </w:r>
          </w:p>
        </w:tc>
      </w:tr>
    </w:tbl>
    <w:p>
      <w:pPr>
        <w:pStyle w:val="BodyText"/>
      </w:pPr>
      <w:r>
        <w:t xml:space="preserve">Abbreviations and explanations: Age, years, Patient age, years; GCS, Glasgow coma scale; ISS, Injury severity score; RR, Respiratory rate; SBP, Systolic blood pressure; Sex, Patient sex; TRTS-GCS, Triage Revised Trauma Score - Glasgow coma scale; TRTS-RR, Triage Revised Trauma Score - Respiratory rate; TRTS-SBP, Triage Revised Trauma Score - Systolic blood pressure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2019-12-12T21:40:55Z</dcterms:created>
  <dcterms:modified xsi:type="dcterms:W3CDTF">2019-12-12T21:40:55Z</dcterms:modified>
</cp:coreProperties>
</file>