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Liste des abréviations et sigles</w:t>
      </w:r>
    </w:p>
    <w:p>
      <w:r>
        <w:rPr>
          <w:i/>
        </w:rPr>
        <w:t>Projet de fin de module — Deep Learning — EMSI 2025–2026</w:t>
      </w:r>
    </w:p>
    <w:p>
      <w:r>
        <w:t>Le tableau ci-dessous recense les abréviations, sigles et acronymes employés dans les notebooks et le rapport, avec leur terme complet et leur signification.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Abréviation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Terme complet / origine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Signification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Adam</w:t>
            </w:r>
          </w:p>
        </w:tc>
        <w:tc>
          <w:tcPr>
            <w:tcW w:type="dxa" w:w="2880"/>
          </w:tcPr>
          <w:p>
            <w:r>
              <w:t>Adaptive Moment Estimation</w:t>
            </w:r>
          </w:p>
        </w:tc>
        <w:tc>
          <w:tcPr>
            <w:tcW w:type="dxa" w:w="2880"/>
          </w:tcPr>
          <w:p>
            <w:r>
              <w:t>Optimiseur adaptatif utilisé pour l'entraînement.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API</w:t>
            </w:r>
          </w:p>
        </w:tc>
        <w:tc>
          <w:tcPr>
            <w:tcW w:type="dxa" w:w="2880"/>
          </w:tcPr>
          <w:p>
            <w:r>
              <w:t>Application Programming Interface</w:t>
            </w:r>
          </w:p>
        </w:tc>
        <w:tc>
          <w:tcPr>
            <w:tcW w:type="dxa" w:w="2880"/>
          </w:tcPr>
          <w:p>
            <w:r>
              <w:t>Interface de programmation (ex. API Kaggle).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BatchNorm / BN</w:t>
            </w:r>
          </w:p>
        </w:tc>
        <w:tc>
          <w:tcPr>
            <w:tcW w:type="dxa" w:w="2880"/>
          </w:tcPr>
          <w:p>
            <w:r>
              <w:t>Batch Normalization</w:t>
            </w:r>
          </w:p>
        </w:tc>
        <w:tc>
          <w:tcPr>
            <w:tcW w:type="dxa" w:w="2880"/>
          </w:tcPr>
          <w:p>
            <w:r>
              <w:t>Normalisation des activations qui stabilise et accélère l'entraînement.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BLEU</w:t>
            </w:r>
          </w:p>
        </w:tc>
        <w:tc>
          <w:tcPr>
            <w:tcW w:type="dxa" w:w="2880"/>
          </w:tcPr>
          <w:p>
            <w:r>
              <w:t>Bilingual Evaluation Understudy</w:t>
            </w:r>
          </w:p>
        </w:tc>
        <w:tc>
          <w:tcPr>
            <w:tcW w:type="dxa" w:w="2880"/>
          </w:tcPr>
          <w:p>
            <w:r>
              <w:t>Métrique de qualité d'une traduction (précision des n-grammes + pénalité de brièveté).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BOS</w:t>
            </w:r>
          </w:p>
        </w:tc>
        <w:tc>
          <w:tcPr>
            <w:tcW w:type="dxa" w:w="2880"/>
          </w:tcPr>
          <w:p>
            <w:r>
              <w:t>Begin Of Sequence</w:t>
            </w:r>
          </w:p>
        </w:tc>
        <w:tc>
          <w:tcPr>
            <w:tcW w:type="dxa" w:w="2880"/>
          </w:tcPr>
          <w:p>
            <w:r>
              <w:t>Token spécial marquant le début d'une séquence (&lt;bos&gt;).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BPTT</w:t>
            </w:r>
          </w:p>
        </w:tc>
        <w:tc>
          <w:tcPr>
            <w:tcW w:type="dxa" w:w="2880"/>
          </w:tcPr>
          <w:p>
            <w:r>
              <w:t>Backpropagation Through Time</w:t>
            </w:r>
          </w:p>
        </w:tc>
        <w:tc>
          <w:tcPr>
            <w:tcW w:type="dxa" w:w="2880"/>
          </w:tcPr>
          <w:p>
            <w:r>
              <w:t>Rétropropagation à travers le temps : entraînement des RNN sur la séquence dépliée.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CIFAR-10</w:t>
            </w:r>
          </w:p>
        </w:tc>
        <w:tc>
          <w:tcPr>
            <w:tcW w:type="dxa" w:w="2880"/>
          </w:tcPr>
          <w:p>
            <w:r>
              <w:t>Canadian Institute For Advanced Research (10 classes)</w:t>
            </w:r>
          </w:p>
        </w:tc>
        <w:tc>
          <w:tcPr>
            <w:tcW w:type="dxa" w:w="2880"/>
          </w:tcPr>
          <w:p>
            <w:r>
              <w:t>Jeu de 60 000 images couleur 32×32 réparties en 10 classes.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CNN</w:t>
            </w:r>
          </w:p>
        </w:tc>
        <w:tc>
          <w:tcPr>
            <w:tcW w:type="dxa" w:w="2880"/>
          </w:tcPr>
          <w:p>
            <w:r>
              <w:t>Convolutional Neural Network</w:t>
            </w:r>
          </w:p>
        </w:tc>
        <w:tc>
          <w:tcPr>
            <w:tcW w:type="dxa" w:w="2880"/>
          </w:tcPr>
          <w:p>
            <w:r>
              <w:t>Réseau de neurones convolutif, adapté aux images.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CPU</w:t>
            </w:r>
          </w:p>
        </w:tc>
        <w:tc>
          <w:tcPr>
            <w:tcW w:type="dxa" w:w="2880"/>
          </w:tcPr>
          <w:p>
            <w:r>
              <w:t>Central Processing Unit</w:t>
            </w:r>
          </w:p>
        </w:tc>
        <w:tc>
          <w:tcPr>
            <w:tcW w:type="dxa" w:w="2880"/>
          </w:tcPr>
          <w:p>
            <w:r>
              <w:t>Processeur central (ici, pas de GPU disponible).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CSV</w:t>
            </w:r>
          </w:p>
        </w:tc>
        <w:tc>
          <w:tcPr>
            <w:tcW w:type="dxa" w:w="2880"/>
          </w:tcPr>
          <w:p>
            <w:r>
              <w:t>Comma-Separated Values</w:t>
            </w:r>
          </w:p>
        </w:tc>
        <w:tc>
          <w:tcPr>
            <w:tcW w:type="dxa" w:w="2880"/>
          </w:tcPr>
          <w:p>
            <w:r>
              <w:t>Format de fichier texte tabulaire.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d2l</w:t>
            </w:r>
          </w:p>
        </w:tc>
        <w:tc>
          <w:tcPr>
            <w:tcW w:type="dxa" w:w="2880"/>
          </w:tcPr>
          <w:p>
            <w:r>
              <w:t>Dive into Deep Learning</w:t>
            </w:r>
          </w:p>
        </w:tc>
        <w:tc>
          <w:tcPr>
            <w:tcW w:type="dxa" w:w="2880"/>
          </w:tcPr>
          <w:p>
            <w:r>
              <w:t>Livre/ressource de référence ; mirror public utilisé pour le corpus fra-eng.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EDA</w:t>
            </w:r>
          </w:p>
        </w:tc>
        <w:tc>
          <w:tcPr>
            <w:tcW w:type="dxa" w:w="2880"/>
          </w:tcPr>
          <w:p>
            <w:r>
              <w:t>Exploratory Data Analysis</w:t>
            </w:r>
          </w:p>
        </w:tc>
        <w:tc>
          <w:tcPr>
            <w:tcW w:type="dxa" w:w="2880"/>
          </w:tcPr>
          <w:p>
            <w:r>
              <w:t>Analyse exploratoire des données.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EMSI</w:t>
            </w:r>
          </w:p>
        </w:tc>
        <w:tc>
          <w:tcPr>
            <w:tcW w:type="dxa" w:w="2880"/>
          </w:tcPr>
          <w:p>
            <w:r>
              <w:t>École Marocaine des Sciences de l'Ingénieur</w:t>
            </w:r>
          </w:p>
        </w:tc>
        <w:tc>
          <w:tcPr>
            <w:tcW w:type="dxa" w:w="2880"/>
          </w:tcPr>
          <w:p>
            <w:r>
              <w:t>Établissement d'enseignement.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EOS</w:t>
            </w:r>
          </w:p>
        </w:tc>
        <w:tc>
          <w:tcPr>
            <w:tcW w:type="dxa" w:w="2880"/>
          </w:tcPr>
          <w:p>
            <w:r>
              <w:t>End Of Sequence</w:t>
            </w:r>
          </w:p>
        </w:tc>
        <w:tc>
          <w:tcPr>
            <w:tcW w:type="dxa" w:w="2880"/>
          </w:tcPr>
          <w:p>
            <w:r>
              <w:t>Token spécial marquant la fin d'une séquence (&lt;eos&gt;).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F1 / F1-score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Moyenne harmonique de la précision et du rappel.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GPU</w:t>
            </w:r>
          </w:p>
        </w:tc>
        <w:tc>
          <w:tcPr>
            <w:tcW w:type="dxa" w:w="2880"/>
          </w:tcPr>
          <w:p>
            <w:r>
              <w:t>Graphics Processing Unit</w:t>
            </w:r>
          </w:p>
        </w:tc>
        <w:tc>
          <w:tcPr>
            <w:tcW w:type="dxa" w:w="2880"/>
          </w:tcPr>
          <w:p>
            <w:r>
              <w:t>Processeur graphique, accélère l'entraînement (non disponible ici).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GRU</w:t>
            </w:r>
          </w:p>
        </w:tc>
        <w:tc>
          <w:tcPr>
            <w:tcW w:type="dxa" w:w="2880"/>
          </w:tcPr>
          <w:p>
            <w:r>
              <w:t>Gated Recurrent Unit</w:t>
            </w:r>
          </w:p>
        </w:tc>
        <w:tc>
          <w:tcPr>
            <w:tcW w:type="dxa" w:w="2880"/>
          </w:tcPr>
          <w:p>
            <w:r>
              <w:t>Cellule récurrente à portes, plus légère que le LSTM.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LFS</w:t>
            </w:r>
          </w:p>
        </w:tc>
        <w:tc>
          <w:tcPr>
            <w:tcW w:type="dxa" w:w="2880"/>
          </w:tcPr>
          <w:p>
            <w:r>
              <w:t>Large File Storage</w:t>
            </w:r>
          </w:p>
        </w:tc>
        <w:tc>
          <w:tcPr>
            <w:tcW w:type="dxa" w:w="2880"/>
          </w:tcPr>
          <w:p>
            <w:r>
              <w:t>Extension Git pour gérer les fichiers volumineux.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LSTM</w:t>
            </w:r>
          </w:p>
        </w:tc>
        <w:tc>
          <w:tcPr>
            <w:tcW w:type="dxa" w:w="2880"/>
          </w:tcPr>
          <w:p>
            <w:r>
              <w:t>Long Short-Term Memory</w:t>
            </w:r>
          </w:p>
        </w:tc>
        <w:tc>
          <w:tcPr>
            <w:tcW w:type="dxa" w:w="2880"/>
          </w:tcPr>
          <w:p>
            <w:r>
              <w:t>Cellule récurrente à portes et état de cellule, mémorise les dépendances longues.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MLP</w:t>
            </w:r>
          </w:p>
        </w:tc>
        <w:tc>
          <w:tcPr>
            <w:tcW w:type="dxa" w:w="2880"/>
          </w:tcPr>
          <w:p>
            <w:r>
              <w:t>Multi-Layer Perceptron</w:t>
            </w:r>
          </w:p>
        </w:tc>
        <w:tc>
          <w:tcPr>
            <w:tcW w:type="dxa" w:w="2880"/>
          </w:tcPr>
          <w:p>
            <w:r>
              <w:t>Perceptron multicouche : réseau de couches denses, adapté au tabulaire.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n-gramme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Séquence de n tokens consécutifs (utilisée par BLEU).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nn</w:t>
            </w:r>
          </w:p>
        </w:tc>
        <w:tc>
          <w:tcPr>
            <w:tcW w:type="dxa" w:w="2880"/>
          </w:tcPr>
          <w:p>
            <w:r>
              <w:t>neural network (torch.nn)</w:t>
            </w:r>
          </w:p>
        </w:tc>
        <w:tc>
          <w:tcPr>
            <w:tcW w:type="dxa" w:w="2880"/>
          </w:tcPr>
          <w:p>
            <w:r>
              <w:t>Module PyTorch contenant les couches et l'abstraction nn.Module.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PAD</w:t>
            </w:r>
          </w:p>
        </w:tc>
        <w:tc>
          <w:tcPr>
            <w:tcW w:type="dxa" w:w="2880"/>
          </w:tcPr>
          <w:p>
            <w:r>
              <w:t>Padding</w:t>
            </w:r>
          </w:p>
        </w:tc>
        <w:tc>
          <w:tcPr>
            <w:tcW w:type="dxa" w:w="2880"/>
          </w:tcPr>
          <w:p>
            <w:r>
              <w:t>Token spécial de remplissage pour aligner les longueurs (&lt;pad&gt;).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PDF</w:t>
            </w:r>
          </w:p>
        </w:tc>
        <w:tc>
          <w:tcPr>
            <w:tcW w:type="dxa" w:w="2880"/>
          </w:tcPr>
          <w:p>
            <w:r>
              <w:t>Portable Document Format</w:t>
            </w:r>
          </w:p>
        </w:tc>
        <w:tc>
          <w:tcPr>
            <w:tcW w:type="dxa" w:w="2880"/>
          </w:tcPr>
          <w:p>
            <w:r>
              <w:t>Format de document pour le rapport.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PPL</w:t>
            </w:r>
          </w:p>
        </w:tc>
        <w:tc>
          <w:tcPr>
            <w:tcW w:type="dxa" w:w="2880"/>
          </w:tcPr>
          <w:p>
            <w:r>
              <w:t>Perplexity (Perplexité)</w:t>
            </w:r>
          </w:p>
        </w:tc>
        <w:tc>
          <w:tcPr>
            <w:tcW w:type="dxa" w:w="2880"/>
          </w:tcPr>
          <w:p>
            <w:r>
              <w:t>Mesure de la surprise d'un modèle de langage ; plus basse = meilleure.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ReLU</w:t>
            </w:r>
          </w:p>
        </w:tc>
        <w:tc>
          <w:tcPr>
            <w:tcW w:type="dxa" w:w="2880"/>
          </w:tcPr>
          <w:p>
            <w:r>
              <w:t>Rectified Linear Unit</w:t>
            </w:r>
          </w:p>
        </w:tc>
        <w:tc>
          <w:tcPr>
            <w:tcW w:type="dxa" w:w="2880"/>
          </w:tcPr>
          <w:p>
            <w:r>
              <w:t>Fonction d'activation : ReLU(z) = max(0, z).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RNN</w:t>
            </w:r>
          </w:p>
        </w:tc>
        <w:tc>
          <w:tcPr>
            <w:tcW w:type="dxa" w:w="2880"/>
          </w:tcPr>
          <w:p>
            <w:r>
              <w:t>Recurrent Neural Network</w:t>
            </w:r>
          </w:p>
        </w:tc>
        <w:tc>
          <w:tcPr>
            <w:tcW w:type="dxa" w:w="2880"/>
          </w:tcPr>
          <w:p>
            <w:r>
              <w:t>Réseau de neurones récurrent, adapté aux séquences.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Seq2Seq</w:t>
            </w:r>
          </w:p>
        </w:tc>
        <w:tc>
          <w:tcPr>
            <w:tcW w:type="dxa" w:w="2880"/>
          </w:tcPr>
          <w:p>
            <w:r>
              <w:t>Sequence to Sequence</w:t>
            </w:r>
          </w:p>
        </w:tc>
        <w:tc>
          <w:tcPr>
            <w:tcW w:type="dxa" w:w="2880"/>
          </w:tcPr>
          <w:p>
            <w:r>
              <w:t>Architecture encodeur–décodeur pour transformer une séquence en une autre (traduction).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SGD</w:t>
            </w:r>
          </w:p>
        </w:tc>
        <w:tc>
          <w:tcPr>
            <w:tcW w:type="dxa" w:w="2880"/>
          </w:tcPr>
          <w:p>
            <w:r>
              <w:t>Stochastic Gradient Descent</w:t>
            </w:r>
          </w:p>
        </w:tc>
        <w:tc>
          <w:tcPr>
            <w:tcW w:type="dxa" w:w="2880"/>
          </w:tcPr>
          <w:p>
            <w:r>
              <w:t>Descente de gradient stochastique (optimiseur).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UCI</w:t>
            </w:r>
          </w:p>
        </w:tc>
        <w:tc>
          <w:tcPr>
            <w:tcW w:type="dxa" w:w="2880"/>
          </w:tcPr>
          <w:p>
            <w:r>
              <w:t>University of California, Irvine</w:t>
            </w:r>
          </w:p>
        </w:tc>
        <w:tc>
          <w:tcPr>
            <w:tcW w:type="dxa" w:w="2880"/>
          </w:tcPr>
          <w:p>
            <w:r>
              <w:t>Dépôt public de jeux de données (source de Wine Quality).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UNK</w:t>
            </w:r>
          </w:p>
        </w:tc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Token spécial pour les mots hors vocabulaire (&lt;unk&gt;).</w:t>
            </w:r>
          </w:p>
        </w:tc>
      </w:tr>
    </w:tbl>
    <w:p>
      <w:pPr>
        <w:pStyle w:val="Heading1"/>
      </w:pPr>
      <w:r>
        <w:t>Symboles mathématiques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Symbole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Signification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θ (theta)</w:t>
            </w:r>
          </w:p>
        </w:tc>
        <w:tc>
          <w:tcPr>
            <w:tcW w:type="dxa" w:w="4320"/>
          </w:tcPr>
          <w:p>
            <w:r>
              <w:t>Ensemble des paramètres apprenables du modèle.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W, b</w:t>
            </w:r>
          </w:p>
        </w:tc>
        <w:tc>
          <w:tcPr>
            <w:tcW w:type="dxa" w:w="4320"/>
          </w:tcPr>
          <w:p>
            <w:r>
              <w:t>Poids (weights) et biais (bias) d'une couche.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k, p, s</w:t>
            </w:r>
          </w:p>
        </w:tc>
        <w:tc>
          <w:tcPr>
            <w:tcW w:type="dxa" w:w="4320"/>
          </w:tcPr>
          <w:p>
            <w:r>
              <w:t>Taille du noyau (kernel), padding et stride d'une convolution/pooling.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H_out</w:t>
            </w:r>
          </w:p>
        </w:tc>
        <w:tc>
          <w:tcPr>
            <w:tcW w:type="dxa" w:w="4320"/>
          </w:tcPr>
          <w:p>
            <w:r>
              <w:t>Hauteur (ou largeur) de sortie : ⌊(H + 2p − k)/s⌋ + 1.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h_t</w:t>
            </w:r>
          </w:p>
        </w:tc>
        <w:tc>
          <w:tcPr>
            <w:tcW w:type="dxa" w:w="4320"/>
          </w:tcPr>
          <w:p>
            <w:r>
              <w:t>État caché d'un RNN au pas de temps t (la « mémoire »).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P(·)</w:t>
            </w:r>
          </w:p>
        </w:tc>
        <w:tc>
          <w:tcPr>
            <w:tcW w:type="dxa" w:w="4320"/>
          </w:tcPr>
          <w:p>
            <w:r>
              <w:t>Probabilité (ex. probabilité du prochain token).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