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CONTRIBUTORS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Salah Salah (first author)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(order of others to be determined)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Sonya Hanson - kinase inhibitor cheminformatics and experiments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Bas Rustenburg - constant-pH 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Greg Ross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Julie Behr - kinase inhibitor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Andrea Rizzi - Epik calculation automations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Steven Albanese - retrieval 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John Chodera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Marilyn Gunner (corresponding author)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POTENTIAL TITLES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importance of protonation state effects in kinase inhibitor binding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How important are protonation state effects in kinase inhibitor binding?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Protonation state effects in kinase inhibitor binding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Protonation state changes in kinase inhibitor binding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POTENTIAL JOURNALS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PNAS? - worth a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 Med ChemJ Med Chem?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JCAMD - appeals to drug discovery modelers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Educate modelers about protonation state effects of small molecules (mixtures of populations, population shifts)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 the first large-scale assessment of the prevalence of protonation state effects in kinase inhibitor binding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Categorize the effects observed upon ligand binding into (1) protein protonation state changes, (2) ligand protonation state changes, (3) tautomer shifts, (4) mixtures of protomers/tautomers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Convey how easy it is for kinase inhibitors to assume different protonation states in solution:</w:t>
        <w:br w:type="textWrapping"/>
        <w:t xml:space="preserve">Half of all FDA-approved kinase inhibitors are predicted to have multiple protonation states within 6 kT;</w:t>
        <w:br w:type="textWrapping"/>
        <w:t xml:space="preserve">Many have multiple tautomers easily accessible (same ionization state, different proton location)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Quantify how large we expect the error to be if protonation state effects are neglected in modeling protein:ligand binding free energies (e.g. PBSA, alchemical free energy calculations, even docking)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Quantify how much work the protein can do on the ligand to shift populations of protonation states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Connect with experiment where possible; build on Abl:imatinib data from Seeliger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Extract simple rules of thumb that indicate whether ligand or kinase will have protonation state effects. </w:t>
        <w:br w:type="textWrapping"/>
        <w:t xml:space="preserve">Do some ligands always bind in a different protonation state? </w:t>
        <w:br w:type="textWrapping"/>
        <w:t xml:space="preserve">Are some kinases always likely to have protonation state effects? </w:t>
        <w:br w:type="textWrapping"/>
        <w:t xml:space="preserve">When are there surprises?</w:t>
        <w:br w:type="textWrapping"/>
        <w:t xml:space="preserve">Should binding be electroneutral?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ABSTRACT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While proteins and small molecules can populate a variety of protonation states and proton tautomers, detailed atomistic modeling (such as docking, molecular dynamics simulations, and free energy calculations) generally lack a dynamic treatment of protonation states.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By omitting these effects, some form of error in introduced in trying to model the energetics of association.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Recently, experimental and computational evidence has emerged that protonation state effects are important in the recognition of the selective kinase inhibitor imatinib by Abl kinase.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 nearly half of all kinase inhibitors have multiple protonation states predicted to be easily accessible, this phenomenon may be widespread in kinase inhibitor recognition.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 this paper, we estimate the prevalence of protonation state effects---and hence the expected frequency of errors---as well as their magnitude and provenance for 50 FDA-approved kinase:inhibitor complexes.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 find that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We provide guidelines (or rules of thumb) to help the modeler anticipate when protonation state effects may be relevant in kinase inhibitor binding.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Why do people care about selective kinase inibition?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50% of active drug discovery projects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Selectivity is difficult to achieve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Conformational dynamics / flexibility also challenging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Even imatinib required hundreds of compounds to be synthesized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Abl:imatinib finding that protonation state effects were important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Review experimental and computational evidence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Little attention is often paid to protonation state effects during design; single dominant protonation state assumed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Kinase inhibitors and protonation states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Imatinib experimental data (50% population of piperazine states at pH 7.4)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Epik predicted pKas for all FDA-approved inhibitors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Compare to available experimental pKa data (where possible)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Interpretation of populations for ligand in solution and how little it costs to shift protonation states upon binding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Kinase inhibitors can be up to picomolar potency (38 kT?), so cost to shift protonation states is little by comparison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Could matter for selectivity [look for specific cases]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Survey of protonation state effects in FDA-approved kinase:inhibitor complexs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Briefly describe methodology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Holo kinase structures with and without ligand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Also look at apo kinase structures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Selection of protein complexes (FDA-approved inhibitors and their targets of therapy from PDB)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 Table of summarized charge changes and tautomer populations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Prevalence: How frequently do we see any kind of protonation state effects?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Provenance: What classes of protonation state effects do we see?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Protein protonation state changes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Ligand protonation state changes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Both protein and ligand? Why not?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Proton tautomer shifts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Mixtures of protonation states?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Assessing the error in binding free energies when protonation state effects are neglected?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much work does the protein do on the ligand to shift populations?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Compute population shifts of ligand protonation states from solution to complex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 KL divergence (and enthalpy difference) to estimate work and free energy difference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much error is made in assuming binding free energy is computed for fixed protonation states?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Compute DeltaG for confining protonation states to “common” state via MCCE for ligand, protein, and complex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 a reference YANK calculation with two ligand protonation states as an illustration?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PBSA calculation?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Detailed examination of key kinase:inhibitor complexes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3D structure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Binding site 2D interactions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KLIFS fingerprint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Examination of implied protonation states from X-ray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Experiments?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Could potentially compute protonation state effects at two different pH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E.g. ponatinib : DDR1? Abl? (look into Salah’s table) at different 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much should I (a modeller) worry about protonation state effects?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Caveats: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Could be artifacts from rigid experimental structures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Promising route for identifying systems to follow up on experimentally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Lots of experiments one could do: NMR, ITC, pH-dependent affinity assays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we harness the power of protonation state effects by being clever?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pH-targeted inhibition/selectivity (tumor intracellular environment)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Diane Barber: Mutations (e.g. His to Arg) may change charge, could exploit this difference to achieve selectivity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Solubility control could be important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Detailed Methods: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Everything we need to do to replicate the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FIGURES/TABLES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Table: Summary of protonation state effects in ~50 FDA-approved kinase inhibitor complexes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Pie chart of fraction of different kinds of effects?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(Donut chart?)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Venn diagram of what kinds of effects we see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Figure: Kinase perspective: residue protonation state hotspots on consensus structure and sequence alignment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Sequence alignment highlighting residues that interact and have Delta pKa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Consensus structure showing residues that have significant Delta pKa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Sequence alignment highlighting residues that have significant Delta N_protons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Consensus structure showing residues that have significant Delta N_protons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Kinome tree illustrating which kinases are considered in this study and which ones have protein or ligand protonation state effects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Figure: Inhibitor perspective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inhibitor orinhibitor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binding titration curves for most populated and equilibrium species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point out where the ligand binds in different protonation states to different kinases; route to slectivity?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Figure: Binding curves for a few key kinase:inhibitor 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binding curves: Dominant protomer in solution; dominant inhibitor in complex; ensemble average population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illustrative energy diagram: energy levels in solution and in bound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Figures: Detailed binding interactions for some key kinase:inhibitor complexes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KLIFS + detailed 2D view of binding interactions for each complex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SUPPLEMENTARY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Table summarizing all 50 kinase:inhibitor MCCE2 calculation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Kd of each protomer/tautomer and for ensemble Kd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protein : PDB : apo protein total charge : Delta H+_protein : inhibitor apo total charge : Delta H+_ligand : key residues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Sorted by kinase or organized by inhibitor? Or both? Sort by class of effects?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Figures for all kinase:inhibitor 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Datasets for MCCE2 output for all kinase:inhibitor pairs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FOLLOW-ON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ACKNOWLEDGMENTS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(Be as generous as possible with acknowledgments. It’s best to thank everyone who contributed to the paper intellectually.  Even someone you’ve had an important discussion with should be thanked!)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