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5513"/>
        <w:gridCol w:w="5513"/>
      </w:tblGrid>
      <w:tr w:rsidR="000C751B" w:rsidTr="0075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shd w:val="clear" w:color="auto" w:fill="auto"/>
          </w:tcPr>
          <w:p w:rsidR="000C751B" w:rsidRPr="00BA58C9" w:rsidRDefault="000C751B" w:rsidP="001B3F88">
            <w:pPr>
              <w:rPr>
                <w:color w:val="000000" w:themeColor="text1"/>
              </w:rPr>
            </w:pPr>
            <w:r w:rsidRPr="00BA58C9">
              <w:rPr>
                <w:color w:val="000000" w:themeColor="text1"/>
              </w:rPr>
              <w:t>Name</w:t>
            </w:r>
            <w:r w:rsidR="005E3C85">
              <w:rPr>
                <w:color w:val="000000" w:themeColor="text1"/>
              </w:rPr>
              <w:tab/>
            </w:r>
            <w:r w:rsidRPr="00BA58C9">
              <w:rPr>
                <w:color w:val="000000" w:themeColor="text1"/>
              </w:rPr>
              <w:t xml:space="preserve">: </w:t>
            </w:r>
            <w:r w:rsidR="00567B43">
              <w:rPr>
                <w:color w:val="000000" w:themeColor="text1"/>
              </w:rPr>
              <w:t>&lt;Name</w:t>
            </w:r>
            <w:r w:rsidR="00A837AA">
              <w:rPr>
                <w:color w:val="000000" w:themeColor="text1"/>
              </w:rPr>
              <w:t>&gt;</w:t>
            </w:r>
          </w:p>
          <w:p w:rsidR="001B3F88" w:rsidRPr="001B3F88" w:rsidRDefault="005E3C85" w:rsidP="001B3F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</w:t>
            </w:r>
            <w:r w:rsidR="001B3F88">
              <w:rPr>
                <w:color w:val="000000" w:themeColor="text1"/>
              </w:rPr>
              <w:tab/>
            </w:r>
            <w:r w:rsidR="000C751B" w:rsidRPr="00BA58C9">
              <w:rPr>
                <w:color w:val="000000" w:themeColor="text1"/>
              </w:rPr>
              <w:t>:</w:t>
            </w:r>
            <w:r w:rsidR="001B3F88">
              <w:rPr>
                <w:color w:val="000000" w:themeColor="text1"/>
              </w:rPr>
              <w:t xml:space="preserve"> </w:t>
            </w:r>
            <w:r w:rsidR="00567B43">
              <w:rPr>
                <w:color w:val="000000" w:themeColor="text1"/>
              </w:rPr>
              <w:t>&lt;Age&gt;</w:t>
            </w:r>
            <w:r w:rsidR="000C751B" w:rsidRPr="00BA58C9">
              <w:rPr>
                <w:color w:val="000000" w:themeColor="text1"/>
              </w:rPr>
              <w:t>Yrs.</w:t>
            </w:r>
          </w:p>
        </w:tc>
        <w:tc>
          <w:tcPr>
            <w:tcW w:w="5513" w:type="dxa"/>
            <w:shd w:val="clear" w:color="auto" w:fill="auto"/>
          </w:tcPr>
          <w:p w:rsidR="000C751B" w:rsidRDefault="005E3C85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1B3F88">
              <w:rPr>
                <w:color w:val="000000" w:themeColor="text1"/>
              </w:rPr>
              <w:t>ate</w:t>
            </w:r>
            <w:r w:rsidR="001B3F88">
              <w:rPr>
                <w:color w:val="000000" w:themeColor="text1"/>
              </w:rPr>
              <w:tab/>
            </w:r>
            <w:r w:rsidR="000C751B" w:rsidRPr="00BA58C9">
              <w:rPr>
                <w:color w:val="000000" w:themeColor="text1"/>
              </w:rPr>
              <w:t xml:space="preserve">: </w:t>
            </w:r>
            <w:r w:rsidR="00567B43">
              <w:rPr>
                <w:color w:val="000000" w:themeColor="text1"/>
              </w:rPr>
              <w:t>&lt;Date&gt;</w:t>
            </w:r>
          </w:p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Ref.By</w:t>
            </w:r>
            <w:r w:rsidRPr="00BA58C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&lt;Ref&gt;</w:t>
            </w:r>
          </w:p>
        </w:tc>
      </w:tr>
      <w:tr w:rsidR="000C751B" w:rsidTr="001B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2"/>
          </w:tcPr>
          <w:p w:rsidR="000C751B" w:rsidRPr="00BA58C9" w:rsidRDefault="00202DAF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MRU</w:t>
            </w:r>
          </w:p>
        </w:tc>
      </w:tr>
    </w:tbl>
    <w:p w:rsidR="00EA5FA2" w:rsidRDefault="008A4B91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02DAF">
        <w:rPr>
          <w:rFonts w:ascii="Times New Roman" w:hAnsi="Times New Roman"/>
          <w:szCs w:val="28"/>
        </w:rPr>
        <w:t>Both kidneys are normal in size, shape, site &amp; parenchymal thickness</w:t>
      </w:r>
      <w:r w:rsidRPr="00202DAF">
        <w:rPr>
          <w:rFonts w:ascii="Times New Roman" w:hAnsi="Times New Roman"/>
          <w:szCs w:val="28"/>
          <w:rtl/>
        </w:rPr>
        <w:t>.</w:t>
      </w:r>
    </w:p>
    <w:p w:rsidR="00202DAF" w:rsidRPr="00202DAF" w:rsidRDefault="00202DAF" w:rsidP="00202D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02DAF">
        <w:rPr>
          <w:rFonts w:ascii="Times New Roman" w:hAnsi="Times New Roman"/>
          <w:szCs w:val="28"/>
        </w:rPr>
        <w:t xml:space="preserve">Both P/C systems appear </w:t>
      </w:r>
      <w:r w:rsidRPr="00202DAF">
        <w:rPr>
          <w:rFonts w:ascii="Times New Roman" w:hAnsi="Times New Roman"/>
          <w:szCs w:val="28"/>
        </w:rPr>
        <w:t>normal with</w:t>
      </w:r>
      <w:r w:rsidRPr="00202DAF">
        <w:rPr>
          <w:rFonts w:ascii="Times New Roman" w:hAnsi="Times New Roman"/>
          <w:szCs w:val="28"/>
        </w:rPr>
        <w:t xml:space="preserve"> no filling defect or signs</w:t>
      </w:r>
      <w:r w:rsidRPr="00202DAF">
        <w:rPr>
          <w:rFonts w:ascii="Times New Roman" w:hAnsi="Times New Roman"/>
          <w:szCs w:val="28"/>
          <w:rtl/>
        </w:rPr>
        <w:t xml:space="preserve">  </w:t>
      </w:r>
      <w:r w:rsidRPr="00202DAF">
        <w:rPr>
          <w:rFonts w:ascii="Times New Roman" w:hAnsi="Times New Roman"/>
          <w:szCs w:val="28"/>
        </w:rPr>
        <w:br/>
      </w:r>
      <w:r w:rsidRPr="00202DAF">
        <w:rPr>
          <w:rFonts w:ascii="Times New Roman" w:hAnsi="Times New Roman"/>
          <w:szCs w:val="28"/>
        </w:rPr>
        <w:t>of obstruction</w:t>
      </w:r>
      <w:r w:rsidRPr="00202DAF">
        <w:rPr>
          <w:rFonts w:ascii="Times New Roman" w:hAnsi="Times New Roman"/>
          <w:szCs w:val="28"/>
          <w:rtl/>
        </w:rPr>
        <w:t>.</w:t>
      </w:r>
    </w:p>
    <w:p w:rsidR="00202DAF" w:rsidRPr="00202DAF" w:rsidRDefault="00202DAF" w:rsidP="00202DAF">
      <w:pPr>
        <w:pStyle w:val="ListParagraph"/>
        <w:rPr>
          <w:rFonts w:ascii="Times New Roman" w:hAnsi="Times New Roman"/>
          <w:szCs w:val="28"/>
        </w:rPr>
      </w:pPr>
    </w:p>
    <w:p w:rsid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02DAF">
        <w:rPr>
          <w:rFonts w:ascii="Times New Roman" w:hAnsi="Times New Roman"/>
          <w:szCs w:val="28"/>
        </w:rPr>
        <w:t>No evidence of renal mass, stone or hydronephrosis</w:t>
      </w:r>
      <w:r w:rsidRPr="00202DAF">
        <w:rPr>
          <w:rFonts w:ascii="Times New Roman" w:hAnsi="Times New Roman"/>
          <w:szCs w:val="28"/>
          <w:rtl/>
        </w:rPr>
        <w:t>.</w:t>
      </w:r>
    </w:p>
    <w:p w:rsidR="00202DAF" w:rsidRPr="00202DAF" w:rsidRDefault="00202DAF" w:rsidP="00202DAF">
      <w:pPr>
        <w:pStyle w:val="ListParagraph"/>
        <w:rPr>
          <w:rFonts w:ascii="Times New Roman" w:hAnsi="Times New Roman"/>
          <w:szCs w:val="28"/>
        </w:rPr>
      </w:pPr>
    </w:p>
    <w:p w:rsidR="00202DAF" w:rsidRP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202DAF">
        <w:rPr>
          <w:rFonts w:ascii="Times New Roman" w:hAnsi="Times New Roman"/>
          <w:szCs w:val="28"/>
        </w:rPr>
        <w:t>(R) kidney measuring</w:t>
      </w:r>
      <w:r w:rsidRPr="00202DAF">
        <w:rPr>
          <w:rFonts w:ascii="Times New Roman" w:hAnsi="Times New Roman"/>
          <w:szCs w:val="28"/>
          <w:rtl/>
        </w:rPr>
        <w:t>:</w:t>
      </w:r>
    </w:p>
    <w:p w:rsidR="00202DAF" w:rsidRP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202DAF">
        <w:rPr>
          <w:rFonts w:ascii="Times New Roman" w:hAnsi="Times New Roman"/>
          <w:szCs w:val="28"/>
        </w:rPr>
        <w:t xml:space="preserve">(L) kidney </w:t>
      </w:r>
      <w:r w:rsidRPr="00202DAF">
        <w:rPr>
          <w:rFonts w:ascii="Times New Roman" w:hAnsi="Times New Roman"/>
          <w:szCs w:val="28"/>
        </w:rPr>
        <w:t>measuring</w:t>
      </w:r>
      <w:r w:rsidRPr="00202DAF">
        <w:rPr>
          <w:rFonts w:ascii="Times New Roman" w:hAnsi="Times New Roman" w:hint="cs"/>
          <w:szCs w:val="28"/>
          <w:rtl/>
        </w:rPr>
        <w:t>:</w:t>
      </w:r>
    </w:p>
    <w:p w:rsidR="00202DAF" w:rsidRPr="00202DAF" w:rsidRDefault="00202DAF" w:rsidP="00202D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02DAF">
        <w:rPr>
          <w:rFonts w:ascii="Times New Roman" w:hAnsi="Times New Roman"/>
          <w:szCs w:val="28"/>
        </w:rPr>
        <w:t>Both ureters presented normal course &amp; caliber</w:t>
      </w:r>
      <w:r w:rsidRPr="00202DAF">
        <w:rPr>
          <w:rFonts w:ascii="Times New Roman" w:hAnsi="Times New Roman"/>
          <w:szCs w:val="28"/>
          <w:rtl/>
        </w:rPr>
        <w:t>.</w:t>
      </w:r>
    </w:p>
    <w:p w:rsidR="00202DAF" w:rsidRPr="00202DAF" w:rsidRDefault="00202DAF" w:rsidP="00202DAF">
      <w:pPr>
        <w:pStyle w:val="ListParagraph"/>
        <w:rPr>
          <w:rFonts w:ascii="Times New Roman" w:hAnsi="Times New Roman"/>
          <w:szCs w:val="28"/>
        </w:rPr>
      </w:pPr>
    </w:p>
    <w:p w:rsid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02DAF">
        <w:rPr>
          <w:rFonts w:ascii="Times New Roman" w:hAnsi="Times New Roman"/>
          <w:szCs w:val="28"/>
        </w:rPr>
        <w:t>U. bladder appear normal with smooth outlines</w:t>
      </w:r>
      <w:r w:rsidRPr="00202DAF">
        <w:rPr>
          <w:rFonts w:ascii="Times New Roman" w:hAnsi="Times New Roman"/>
          <w:szCs w:val="28"/>
          <w:rtl/>
        </w:rPr>
        <w:t xml:space="preserve">. </w:t>
      </w:r>
    </w:p>
    <w:p w:rsidR="00202DAF" w:rsidRPr="00202DAF" w:rsidRDefault="00202DAF" w:rsidP="00202DAF">
      <w:pPr>
        <w:pStyle w:val="ListParagraph"/>
        <w:rPr>
          <w:rFonts w:ascii="Times New Roman" w:hAnsi="Times New Roman"/>
          <w:szCs w:val="28"/>
        </w:rPr>
      </w:pPr>
    </w:p>
    <w:p w:rsidR="00AB3959" w:rsidRPr="00202DAF" w:rsidRDefault="00202DAF" w:rsidP="00202D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  <w:r w:rsidRPr="00202DAF">
        <w:rPr>
          <w:rFonts w:ascii="Times New Roman" w:hAnsi="Times New Roman"/>
          <w:szCs w:val="28"/>
        </w:rPr>
        <w:t>No filling defect or diverticulum seen</w:t>
      </w:r>
      <w:r w:rsidRPr="00202DAF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202DAF">
        <w:rPr>
          <w:rFonts w:ascii="Times New Roman" w:hAnsi="Times New Roman"/>
          <w:szCs w:val="28"/>
        </w:rPr>
        <w:t xml:space="preserve">MRU </w:t>
      </w:r>
      <w:bookmarkStart w:id="0" w:name="_GoBack"/>
      <w:bookmarkEnd w:id="0"/>
      <w:r w:rsidRPr="00BA58C9">
        <w:rPr>
          <w:rFonts w:ascii="Times New Roman" w:hAnsi="Times New Roman"/>
          <w:szCs w:val="28"/>
        </w:rPr>
        <w:t>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B91" w:rsidRDefault="008A4B91" w:rsidP="000C751B">
      <w:pPr>
        <w:spacing w:after="0" w:line="240" w:lineRule="auto"/>
      </w:pPr>
      <w:r>
        <w:separator/>
      </w:r>
    </w:p>
  </w:endnote>
  <w:endnote w:type="continuationSeparator" w:id="0">
    <w:p w:rsidR="008A4B91" w:rsidRDefault="008A4B9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B91" w:rsidRDefault="008A4B91" w:rsidP="000C751B">
      <w:pPr>
        <w:spacing w:after="0" w:line="240" w:lineRule="auto"/>
      </w:pPr>
      <w:r>
        <w:separator/>
      </w:r>
    </w:p>
  </w:footnote>
  <w:footnote w:type="continuationSeparator" w:id="0">
    <w:p w:rsidR="008A4B91" w:rsidRDefault="008A4B9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6F0A"/>
    <w:multiLevelType w:val="hybridMultilevel"/>
    <w:tmpl w:val="78641BA4"/>
    <w:lvl w:ilvl="0" w:tplc="190C65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172E"/>
    <w:multiLevelType w:val="hybridMultilevel"/>
    <w:tmpl w:val="FDD8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2DAF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A4B91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C613F1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Emper0r</cp:lastModifiedBy>
  <cp:revision>26</cp:revision>
  <dcterms:created xsi:type="dcterms:W3CDTF">2017-12-20T02:52:00Z</dcterms:created>
  <dcterms:modified xsi:type="dcterms:W3CDTF">2018-01-09T02:48:00Z</dcterms:modified>
  <cp:contentStatus/>
</cp:coreProperties>
</file>