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Robust ECG SSL: Progress and Next Steps</w:t>
      </w:r>
    </w:p>
    <w:p>
      <w:pPr>
        <w:pBdr>
          <w:bottom w:val="single" w:color="1F3864" w:sz="6" w:space="6"/>
        </w:pBdr>
        <w:spacing w:after="240"/>
      </w:pPr>
      <w:r>
        <w:rPr>
          <w:color w:val="595959"/>
        </w:rPr>
        <w:t xml:space="preserve">E3 feasibility check, Gates 1–2  ·  Work session of 23 September 2026</w:t>
      </w:r>
    </w:p>
    <w:p>
      <w:pPr>
        <w:spacing w:after="140"/>
      </w:pPr>
      <w:r>
        <w:t xml:space="preserve">This summary is reconstructed from the files changed in the </w:t>
      </w:r>
      <w:r>
        <w:rPr>
          <w:rFonts w:ascii="Consolas" w:cs="Consolas" w:eastAsia="Consolas" w:hAnsi="Consolas"/>
          <w:sz w:val="20"/>
          <w:szCs w:val="20"/>
        </w:rPr>
        <w:t xml:space="preserve">EEG_SSL_Research</w:t>
      </w:r>
      <w:r>
        <w:t xml:space="preserve"> folder (23 September, about 7–8pm Lagos time) and the result logs.</w:t>
      </w:r>
    </w:p>
    <w:p>
      <w:pPr>
        <w:pStyle w:val="Heading1"/>
      </w:pPr>
      <w:r>
        <w:t xml:space="preserve">What was done</w:t>
      </w:r>
    </w:p>
    <w:p>
      <w:pPr>
        <w:spacing w:after="140"/>
      </w:pPr>
      <w:r>
        <w:t xml:space="preserve">The </w:t>
      </w:r>
      <w:r>
        <w:rPr>
          <w:b/>
          <w:bCs/>
        </w:rPr>
        <w:t xml:space="preserve">E3 feasibility check (Gates 1–2)</w:t>
      </w:r>
      <w:r>
        <w:t xml:space="preserve"> was run. The question: are there enough shared labels across PTB-XL (training) and SPH (external test with zero adaptation)?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Script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support_label.py</w:t>
      </w:r>
      <w:r>
        <w:t xml:space="preserve">: 17 shared labels, each tied to both datasets through PTB-XL's AHA code mapping. They are grouped as primary (AF, PR_PROL, the bundle branch blocks, LAFB, LVH, IMI, ASMI), exploratory (MI_ANY, TWAVE_ABN, NORM), secondary (heart-rate labels) and window-dependent (PVC, PAC).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budgets:</w:t>
      </w:r>
      <w:r>
        <w:t xml:space="preserve"> 1%, 5%, 10%, 25%, 50% and 100% of PTB-XL folds 1–8, split by patient and nested, with 3 seeds.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runs: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Keep every listed code: </w:t>
      </w:r>
      <w:r>
        <w:rPr>
          <w:rFonts w:ascii="Consolas" w:cs="Consolas" w:eastAsia="Consolas" w:hAnsi="Consolas"/>
          <w:sz w:val="20"/>
          <w:szCs w:val="20"/>
        </w:rPr>
        <w:t xml:space="preserve">e3_label_support_lik0.csv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Keep diagnostic codes only if likelihood ≥ 50: </w:t>
      </w:r>
      <w:r>
        <w:rPr>
          <w:rFonts w:ascii="Consolas" w:cs="Consolas" w:eastAsia="Consolas" w:hAnsi="Consolas"/>
          <w:sz w:val="20"/>
          <w:szCs w:val="20"/>
        </w:rPr>
        <w:t xml:space="preserve">e3_label_support_lik50diag.csv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 setup:</w:t>
      </w:r>
      <w:r>
        <w:t xml:space="preserve"> LICENSE, README,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, PTB-XL and SPH metadata.</w:t>
      </w:r>
    </w:p>
    <w:p>
      <w:pPr>
        <w:pStyle w:val="Heading1"/>
      </w:pPr>
      <w:r>
        <w:t xml:space="preserve">What the results say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1% budget does not work.</w:t>
      </w:r>
      <w:r>
        <w:t xml:space="preserve"> Several primary labels fall below 10 positives on some seed: CLBBB (1), CRBBB (2), AF (6), PR_PROL (7), ASMI (8 at ≥ 50). From 5% up, every primary label clears 19.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likelihood threshold only affects MI and LVH.</w:t>
      </w:r>
      <w:r>
        <w:t xml:space="preserve"> At 100% budget, IMI drops from 2143 to 1366, ASMI from 1887 to 1610 and LVH from 1708 to 1411. Rhythm and conduction labels do not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TWAVE_ABN looks mis-mapped.</w:t>
      </w:r>
      <w:r>
        <w:t xml:space="preserve"> It has 263 positives in PTB-XL but 2218 in SPH. The PTB-XL side (TAB_, INVT) probably leaves out codes like NT_ and LOWT.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 means different things in each dataset.</w:t>
      </w:r>
      <w:r>
        <w:t xml:space="preserve"> SPH has 13,905 NORM records, far more than PTB-XL's 7,596 in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Small SPH test sets:</w:t>
      </w:r>
      <w:r>
        <w:t xml:space="preserve"> CLBBB (84) and ASMI (91) will have wide confidence intervals.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 quality differs between splits.</w:t>
      </w:r>
      <w:r>
        <w:t xml:space="preserve"> Only about 67% of training records are human-validated, versus 100% in folds 9 and 10.</w:t>
      </w:r>
    </w:p>
    <w:p>
      <w:pPr>
        <w:pStyle w:val="Heading1"/>
      </w:pPr>
      <w:r>
        <w:t xml:space="preserve">What is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Make the Gate 1–2 decisions: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Drop the 1% budget, or keep it only as a flagged result.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Pick a main likelihood threshold and report the other as a sensitivity check.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Fix or drop TWAVE_ABN.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Leave NORM out of the headline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Clean up:</w:t>
      </w:r>
      <w:r>
        <w:t xml:space="preserve"> the docstring still says </w:t>
      </w:r>
      <w:r>
        <w:rPr>
          <w:rFonts w:ascii="Consolas" w:cs="Consolas" w:eastAsia="Consolas" w:hAnsi="Consolas"/>
          <w:sz w:val="20"/>
          <w:szCs w:val="20"/>
        </w:rPr>
        <w:t xml:space="preserve">e3_label_support.py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support-label.ipynb</w:t>
      </w:r>
      <w:r>
        <w:t xml:space="preserve"> is empty. Then commit and push to the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Gate 3, signal harmonization:</w:t>
      </w:r>
      <w:r>
        <w:t xml:space="preserve"> match SPH's recordings to PTB-XL's format (lead order, sampling rate, how to cut longer recordings to 10 s). The cropping rule decides whether PVC and PAC stay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Then a supervised baseline</w:t>
      </w:r>
      <w:r>
        <w:t xml:space="preserve"> across the label budgets, which the SSL pretraining will be compared against.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2026-10-05T17:16:12.505Z</dcterms:created>
  <dcterms:modified xsi:type="dcterms:W3CDTF">2026-10-05T17:16:12.506Z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