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0"/>
          <w:szCs w:val="20"/>
        </w:rPr>
        <w:t xml:space="preserve">REVISED DRAFT</w:t>
      </w:r>
    </w:p>
    <w:p>
      <w:pPr>
        <w:spacing w:after="60"/>
        <w:jc w:val="center"/>
      </w:pPr>
      <w:r>
        <w:rPr>
          <w:rFonts w:ascii="Arial" w:cs="Arial" w:eastAsia="Arial" w:hAnsi="Arial"/>
          <w:b/>
          <w:bCs/>
          <w:sz w:val="32"/>
          <w:szCs w:val="32"/>
        </w:rPr>
        <w:t xml:space="preserve">A Port-Hamiltonian Framework Reveals Dorsoventral Gradient Disruption</w:t>
      </w:r>
    </w:p>
    <w:p>
      <w:pPr>
        <w:spacing w:after="200"/>
        <w:jc w:val="center"/>
      </w:pPr>
      <w:r>
        <w:rPr>
          <w:rFonts w:ascii="Arial" w:cs="Arial" w:eastAsia="Arial" w:hAnsi="Arial"/>
          <w:b/>
          <w:bCs/>
          <w:sz w:val="32"/>
          <w:szCs w:val="32"/>
        </w:rPr>
        <w:t xml:space="preserve">as an Early Signature of Alzheimer’s Disease</w:t>
      </w:r>
    </w:p>
    <w:p>
      <w:pPr>
        <w:spacing w:after="60"/>
        <w:jc w:val="center"/>
      </w:pPr>
      <w:r>
        <w:rPr>
          <w:rFonts w:ascii="Arial" w:cs="Arial" w:eastAsia="Arial" w:hAnsi="Arial"/>
          <w:sz w:val="24"/>
          <w:szCs w:val="24"/>
        </w:rPr>
        <w:t xml:space="preserve">Arash Salardini</w:t>
      </w:r>
    </w:p>
    <w:p>
      <w:pPr>
        <w:spacing w:after="40"/>
        <w:jc w:val="center"/>
      </w:pPr>
      <w:r>
        <w:rPr>
          <w:rFonts w:ascii="Arial" w:cs="Arial" w:eastAsia="Arial" w:hAnsi="Arial"/>
          <w:sz w:val="22"/>
          <w:szCs w:val="22"/>
        </w:rPr>
        <w:t xml:space="preserve">Division of Cognitive and Behavioral Neurology</w:t>
      </w:r>
    </w:p>
    <w:p>
      <w:pPr>
        <w:spacing w:after="40"/>
        <w:jc w:val="center"/>
      </w:pPr>
      <w:r>
        <w:rPr>
          <w:rFonts w:ascii="Arial" w:cs="Arial" w:eastAsia="Arial" w:hAnsi="Arial"/>
          <w:sz w:val="22"/>
          <w:szCs w:val="22"/>
        </w:rPr>
        <w:t xml:space="preserve">Glenn Biggs Institute for Alzheimer’s &amp; Neurodegenerative Diseases</w:t>
      </w:r>
    </w:p>
    <w:p>
      <w:pPr>
        <w:spacing w:after="300"/>
        <w:jc w:val="center"/>
      </w:pPr>
      <w:r>
        <w:rPr>
          <w:rFonts w:ascii="Arial" w:cs="Arial" w:eastAsia="Arial" w:hAnsi="Arial"/>
          <w:sz w:val="22"/>
          <w:szCs w:val="22"/>
        </w:rPr>
        <w:t xml:space="preserve">UT Health San Antonio</w:t>
      </w:r>
    </w:p>
    <w:p>
      <w:pPr>
        <w:pStyle w:val="Heading1"/>
        <w:spacing w:before="360" w:after="200"/>
      </w:pPr>
      <w:r>
        <w:rPr>
          <w:rFonts w:ascii="Arial" w:cs="Arial" w:eastAsia="Arial" w:hAnsi="Arial"/>
          <w:b/>
          <w:bCs/>
          <w:sz w:val="28"/>
          <w:szCs w:val="28"/>
        </w:rPr>
        <w:t xml:space="preserve">Significance Statement</w:t>
      </w:r>
    </w:p>
    <w:p>
      <w:pPr>
        <w:spacing w:after="200" w:line="276"/>
        <w:jc w:val="both"/>
      </w:pPr>
      <w:r>
        <w:rPr>
          <w:rFonts w:ascii="Arial" w:cs="Arial" w:eastAsia="Arial" w:hAnsi="Arial"/>
          <w:sz w:val="22"/>
          <w:szCs w:val="22"/>
        </w:rPr>
        <w:t xml:space="preserve">We apply port-Hamiltonian systems theory—a framework from mathematical physics for modeling energy-exchanging systems—to human cortical dynamics measured by electroencephalography. Using the AR(2) eigenvalue modulus (ρ), which indexes each brain region’s position on the stability–oscillation continuum, we demonstrate that Alzheimer’s disease selectively flattens the dorsoventral ρ gradient (Cohen’s </w:t>
      </w:r>
      <w:r>
        <w:rPr>
          <w:rFonts w:ascii="Arial" w:cs="Arial" w:eastAsia="Arial" w:hAnsi="Arial"/>
          <w:i/>
          <w:iCs/>
          <w:sz w:val="22"/>
          <w:szCs w:val="22"/>
        </w:rPr>
        <w:t xml:space="preserve">d</w:t>
      </w:r>
      <w:r>
        <w:rPr>
          <w:rFonts w:ascii="Arial" w:cs="Arial" w:eastAsia="Arial" w:hAnsi="Arial"/>
          <w:sz w:val="22"/>
          <w:szCs w:val="22"/>
        </w:rPr>
        <w:t xml:space="preserve"> = 1.175 in the alpha band). This gradient tracks cognitive severity across the diagnostic spectrum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&lt; 0.0001) and is already globally perturbed in presymptomatic PSEN1 mutation carriers 15–20 years before expected symptom onset. These findings establish the ρ gradient as a theoretically grounded, non-invasive biomarker for Alzheimer’s disease staging.</w:t>
      </w:r>
    </w:p>
    <w:p>
      <w:pPr>
        <w:pStyle w:val="Heading1"/>
        <w:spacing w:before="360" w:after="200"/>
      </w:pPr>
      <w:r>
        <w:rPr>
          <w:rFonts w:ascii="Arial" w:cs="Arial" w:eastAsia="Arial" w:hAnsi="Arial"/>
          <w:b/>
          <w:bCs/>
          <w:sz w:val="28"/>
          <w:szCs w:val="28"/>
        </w:rPr>
        <w:t xml:space="preserve">Abstract</w:t>
      </w:r>
    </w:p>
    <w:p>
      <w:pPr>
        <w:spacing w:after="200" w:line="276"/>
        <w:jc w:val="both"/>
      </w:pPr>
      <w:r>
        <w:rPr>
          <w:rFonts w:ascii="Arial" w:cs="Arial" w:eastAsia="Arial" w:hAnsi="Arial"/>
          <w:sz w:val="22"/>
          <w:szCs w:val="22"/>
        </w:rPr>
        <w:t xml:space="preserve">Port-Hamiltonian (pH) systems theory provides a natural framework for modeling cortical dynamics, in which the skew-symmetric interconnection matrix J captures energy-preserving oscillatory dynamics and the positive-semidefinite dissipation matrix R captures energy-degrading processes. The eigenvalue modulus ρ of local autoregressive models maps monotonically onto the J/R balance, as we confirm with a biologically realistic excitatory–inhibitory circuit model (</w:t>
      </w:r>
      <w:r>
        <w:rPr>
          <w:rFonts w:ascii="Arial" w:cs="Arial" w:eastAsia="Arial" w:hAnsi="Arial"/>
          <w:i/>
          <w:iCs/>
          <w:sz w:val="22"/>
          <w:szCs w:val="22"/>
        </w:rPr>
        <w:t xml:space="preserve">r</w:t>
      </w:r>
      <w:r>
        <w:rPr>
          <w:rFonts w:ascii="Arial" w:cs="Arial" w:eastAsia="Arial" w:hAnsi="Arial"/>
          <w:sz w:val="22"/>
          <w:szCs w:val="22"/>
        </w:rPr>
        <w:t xml:space="preserve"> = −0.998). We test the pH prediction that neurodegenerative disease should disrupt cortical dissipation gradients using three independent EEG datasets. In a discovery cohort of 88 subjects (36 AD, 23 FTD, 29 controls; OpenNeuro ds004504), AD patients show profoundly flattened dorsoventral ρ gradients compared to controls (alpha band: </w:t>
      </w:r>
      <w:r>
        <w:rPr>
          <w:rFonts w:ascii="Arial" w:cs="Arial" w:eastAsia="Arial" w:hAnsi="Arial"/>
          <w:i/>
          <w:iCs/>
          <w:sz w:val="22"/>
          <w:szCs w:val="22"/>
        </w:rPr>
        <w:t xml:space="preserve">d</w:t>
      </w:r>
      <w:r>
        <w:rPr>
          <w:rFonts w:ascii="Arial" w:cs="Arial" w:eastAsia="Arial" w:hAnsi="Arial"/>
          <w:sz w:val="22"/>
          <w:szCs w:val="22"/>
        </w:rPr>
        <w:t xml:space="preserve"> = 1.175, </w:t>
      </w:r>
      <w:r>
        <w:rPr>
          <w:rFonts w:ascii="Arial" w:cs="Arial" w:eastAsia="Arial" w:hAnsi="Arial"/>
          <w:i/>
          <w:iCs/>
          <w:sz w:val="22"/>
          <w:szCs w:val="22"/>
        </w:rPr>
        <w:t xml:space="preserve">p</w:t>
      </w:r>
      <w:r>
        <w:rPr>
          <w:rFonts w:ascii="Arial" w:cs="Arial" w:eastAsia="Arial" w:hAnsi="Arial"/>
          <w:sz w:val="22"/>
          <w:szCs w:val="22"/>
        </w:rPr>
        <w:t xml:space="preserve"> &lt; 0.0001), with beta stable across conditions (</w:t>
      </w:r>
      <w:r>
        <w:rPr>
          <w:rFonts w:ascii="Arial" w:cs="Arial" w:eastAsia="Arial" w:hAnsi="Arial"/>
          <w:i/>
          <w:iCs/>
          <w:sz w:val="22"/>
          <w:szCs w:val="22"/>
        </w:rPr>
        <w:t xml:space="preserve">d</w:t>
      </w:r>
      <w:r>
        <w:rPr>
          <w:rFonts w:ascii="Arial" w:cs="Arial" w:eastAsia="Arial" w:hAnsi="Arial"/>
          <w:sz w:val="22"/>
          <w:szCs w:val="22"/>
        </w:rPr>
        <w:t xml:space="preserve"> = 0.807). The gradient tracks cognitive severity across the full sample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&lt; 0.0001 vs. MMSE). In a preclinical validation cohort from the world’s largest autosomal dominant AD kindred (27 PSEN1 E280A carriers vs. 16 non-carrier family members; ds007427), carriers show globally elevated delta-band ρ (</w:t>
      </w:r>
      <w:r>
        <w:rPr>
          <w:rFonts w:ascii="Arial" w:cs="Arial" w:eastAsia="Arial" w:hAnsi="Arial"/>
          <w:i/>
          <w:iCs/>
          <w:sz w:val="22"/>
          <w:szCs w:val="22"/>
        </w:rPr>
        <w:t xml:space="preserve">d</w:t>
      </w:r>
      <w:r>
        <w:rPr>
          <w:rFonts w:ascii="Arial" w:cs="Arial" w:eastAsia="Arial" w:hAnsi="Arial"/>
          <w:sz w:val="22"/>
          <w:szCs w:val="22"/>
        </w:rPr>
        <w:t xml:space="preserve"> = 0.92, </w:t>
      </w:r>
      <w:r>
        <w:rPr>
          <w:rFonts w:ascii="Arial" w:cs="Arial" w:eastAsia="Arial" w:hAnsi="Arial"/>
          <w:i/>
          <w:iCs/>
          <w:sz w:val="22"/>
          <w:szCs w:val="22"/>
        </w:rPr>
        <w:t xml:space="preserve">p</w:t>
      </w:r>
      <w:r>
        <w:rPr>
          <w:rFonts w:ascii="Arial" w:cs="Arial" w:eastAsia="Arial" w:hAnsi="Arial"/>
          <w:sz w:val="22"/>
          <w:szCs w:val="22"/>
        </w:rPr>
        <w:t xml:space="preserve"> = 0.006) while the dorsoventral gradient remains intact—suggesting that global dissipative imbalance precedes topographic gradient disruption by approximately two decades. These results establish the ρ gradient as a translational biomarker grounded in port-Hamiltonian theory, detectable from routine scalp EEG.</w:t>
      </w:r>
    </w:p>
    <w:p>
      <w:r>
        <w:br w:type="page"/>
      </w:r>
    </w:p>
    <w:p>
      <w:pPr>
        <w:pStyle w:val="Heading1"/>
        <w:spacing w:before="360" w:after="200"/>
      </w:pPr>
      <w:r>
        <w:rPr>
          <w:rFonts w:ascii="Arial" w:cs="Arial" w:eastAsia="Arial" w:hAnsi="Arial"/>
          <w:b/>
          <w:bCs/>
          <w:sz w:val="28"/>
          <w:szCs w:val="28"/>
        </w:rPr>
        <w:t xml:space="preserve">Introduction</w:t>
      </w:r>
    </w:p>
    <w:p>
      <w:pPr>
        <w:spacing w:after="200" w:line="276"/>
        <w:jc w:val="both"/>
      </w:pPr>
      <w:r>
        <w:rPr>
          <w:rFonts w:ascii="Arial" w:cs="Arial" w:eastAsia="Arial" w:hAnsi="Arial"/>
          <w:sz w:val="22"/>
          <w:szCs w:val="22"/>
        </w:rPr>
        <w:t xml:space="preserve">The cortex is organized by gradients. The principal gradient of functional connectivity spans unimodal sensory cortex at one pole and transmodal association cortex at the other (1). Intrinsic timescales increase along a similar hierarchy (2, 3). T1w/T2w myelination ratios, gene expression profiles, and receptor densities all vary systematically across the cortical surface (4–6). A second organizational principle—dorsoventral differentiation—has received less formal attention. The classical two-streams hypothesis divides visual cortex into dorsal “where/how” and ventral “what” pathways (7, 8), but this dichotomy has frayed: cross-stream interactions are pervasive, and task-dependent routing does not respect stream boundaries (9, 10). What has been missing is a mathematical framework that replaces the categorical dorsal/ventral distinction with a continuous, mechanistic account.</w:t>
      </w:r>
    </w:p>
    <w:p>
      <w:pPr>
        <w:spacing w:after="200" w:line="276"/>
        <w:ind w:firstLine="360"/>
        <w:jc w:val="both"/>
      </w:pPr>
      <w:r>
        <w:rPr>
          <w:rFonts w:ascii="Arial" w:cs="Arial" w:eastAsia="Arial" w:hAnsi="Arial"/>
          <w:sz w:val="22"/>
          <w:szCs w:val="22"/>
        </w:rPr>
        <w:t xml:space="preserve">We recently demonstrated, using whole-head magnetoencephalography in 204 healthy subjects, that the eigenvalue modulus ρ—a measure of rotational persistence extracted from fitted linear dynamical systems—varies systematically along the dorsoventral axis of human cortex (15). Ventral regions show higher ρ (more persistent oscillatory dynamics), dorsal regions show lower ρ (more transient, rapidly decaying dynamics). The gradient is robust across cognitive states, independent of established cortical gradients, and exhibits frequency-specific organization: slow rhythms (delta, theta) show dorsal predominance (ρ DV correlation r = +0.55, +0.47), while fast rhythms (alpha, beta, gamma) show ventral predominance (r = −0.65, −0.77, −0.73).</w:t>
      </w:r>
    </w:p>
    <w:p>
      <w:pPr>
        <w:spacing w:after="200" w:line="276"/>
        <w:ind w:firstLine="360"/>
        <w:jc w:val="both"/>
      </w:pPr>
      <w:r>
        <w:rPr>
          <w:rFonts w:ascii="Arial" w:cs="Arial" w:eastAsia="Arial" w:hAnsi="Arial"/>
          <w:sz w:val="22"/>
          <w:szCs w:val="22"/>
        </w:rPr>
        <w:t xml:space="preserve">Here we propose that this empirical gradient is a direct readout of the dissipation structure predicted by port-Hamiltonian (pH) systems theory (11, 12). In the pH framework, cortical dynamics at each location are governed by dx/dt = [J(r) − R(r)]∇H(x), where J is the skew-symmetric interconnection matrix (energy-preserving rotational dynamics), R is the positive-semidefinite dissipation matrix, and H is the Hamiltonian. The eigenvalue modulus ρ maps monotonically onto the J/R balance: high ρ indicates J-dominated (oscillatory, information-preserving) dynamics; low ρ indicates R-dominated (dissipative, rapidly converging) dynamics.</w:t>
      </w:r>
    </w:p>
    <w:p>
      <w:pPr>
        <w:spacing w:after="200" w:line="276"/>
        <w:ind w:firstLine="360"/>
        <w:jc w:val="both"/>
      </w:pPr>
      <w:r>
        <w:rPr>
          <w:rFonts w:ascii="Arial" w:cs="Arial" w:eastAsia="Arial" w:hAnsi="Arial"/>
          <w:sz w:val="22"/>
          <w:szCs w:val="22"/>
        </w:rPr>
        <w:t xml:space="preserve">The pH framework generates a specific prediction for neurodegenerative disease: Alzheimer’s disease pathology, which follows a stereotyped anatomical progression beginning in entorhinal and inferior temporal cortex (23)—precisely the ventral, high-ρ regions—should selectively disrupt the dorsoventral ρ gradient. We test this prediction using three independent EEG datasets spanning the full trajectory from presymptomatic genetic risk through clinical dementia.</w:t>
      </w:r>
    </w:p>
    <w:p>
      <w:pPr>
        <w:pStyle w:val="Heading1"/>
        <w:spacing w:before="360" w:after="200"/>
      </w:pPr>
      <w:r>
        <w:rPr>
          <w:rFonts w:ascii="Arial" w:cs="Arial" w:eastAsia="Arial" w:hAnsi="Arial"/>
          <w:b/>
          <w:bCs/>
          <w:sz w:val="28"/>
          <w:szCs w:val="28"/>
        </w:rPr>
        <w:t xml:space="preserve">Results</w:t>
      </w:r>
    </w:p>
    <w:p>
      <w:pPr>
        <w:pStyle w:val="Heading2"/>
        <w:spacing w:before="280" w:after="160"/>
      </w:pPr>
      <w:r>
        <w:rPr>
          <w:rFonts w:ascii="Arial" w:cs="Arial" w:eastAsia="Arial" w:hAnsi="Arial"/>
          <w:b/>
          <w:bCs/>
          <w:sz w:val="24"/>
          <w:szCs w:val="24"/>
        </w:rPr>
        <w:t xml:space="preserve">E-I circuit toy model validates ρ as a dissipation index</w:t>
      </w:r>
    </w:p>
    <w:p>
      <w:pPr>
        <w:spacing w:after="200" w:line="276"/>
        <w:jc w:val="both"/>
      </w:pPr>
      <w:r>
        <w:rPr>
          <w:rFonts w:ascii="Arial" w:cs="Arial" w:eastAsia="Arial" w:hAnsi="Arial"/>
          <w:sz w:val="22"/>
          <w:szCs w:val="22"/>
        </w:rPr>
        <w:t xml:space="preserve">We first verified that ρ faithfully indexes the dissipation structure of a biologically realistic cortical circuit. We modeled a two-population excitatory–inhibitory (E-I) circuit as a port-Hamiltonian system, in which the dynamics matrix A = J − R decomposes into a skew-symmetric (conservative) component J and a symmetric (dissipative) component R. We swept the E-I coupling strengths and membrane time constants across 64 parameter combinations, computed the true ρ from the discretized dynamics matrix, and recovered ρ from noisy simulated signals using the AR(2) method (4-second epochs, median across epochs). The correlation between true and AR(2)-estimated ρ was </w:t>
      </w:r>
      <w:r>
        <w:rPr>
          <w:rFonts w:ascii="Arial" w:cs="Arial" w:eastAsia="Arial" w:hAnsi="Arial"/>
          <w:i/>
          <w:iCs/>
          <w:sz w:val="22"/>
          <w:szCs w:val="22"/>
        </w:rPr>
        <w:t xml:space="preserve">r</w:t>
      </w:r>
      <w:r>
        <w:rPr>
          <w:rFonts w:ascii="Arial" w:cs="Arial" w:eastAsia="Arial" w:hAnsi="Arial"/>
          <w:sz w:val="22"/>
          <w:szCs w:val="22"/>
        </w:rPr>
        <w:t xml:space="preserve"> = −0.998 (Figure 1). Across the parameter space, ρ mapped monotonically onto the ratio ||J||/||R|| (</w:t>
      </w:r>
      <w:r>
        <w:rPr>
          <w:rFonts w:ascii="Arial" w:cs="Arial" w:eastAsia="Arial" w:hAnsi="Arial"/>
          <w:i/>
          <w:iCs/>
          <w:sz w:val="22"/>
          <w:szCs w:val="22"/>
        </w:rPr>
        <w:t xml:space="preserve">r</w:t>
      </w:r>
      <w:r>
        <w:rPr>
          <w:rFonts w:ascii="Arial" w:cs="Arial" w:eastAsia="Arial" w:hAnsi="Arial"/>
          <w:sz w:val="22"/>
          <w:szCs w:val="22"/>
        </w:rPr>
        <w:t xml:space="preserve"> = 0.99), confirming that ρ extracted from electrophysiological time series is a reliable proxy for the port-Hamiltonian dissipation balance.</w:t>
      </w:r>
    </w:p>
    <w:p>
      <w:pPr>
        <w:pStyle w:val="Heading2"/>
        <w:spacing w:before="280" w:after="160"/>
      </w:pPr>
      <w:r>
        <w:rPr>
          <w:rFonts w:ascii="Arial" w:cs="Arial" w:eastAsia="Arial" w:hAnsi="Arial"/>
          <w:b/>
          <w:bCs/>
          <w:sz w:val="24"/>
          <w:szCs w:val="24"/>
        </w:rPr>
        <w:t xml:space="preserve">Analytical proof: ρ constrains the J/R decomposition</w:t>
      </w:r>
    </w:p>
    <w:p>
      <w:pPr>
        <w:spacing w:after="200" w:line="276"/>
        <w:jc w:val="both"/>
      </w:pPr>
      <w:r>
        <w:rPr>
          <w:rFonts w:ascii="Arial" w:cs="Arial" w:eastAsia="Arial" w:hAnsi="Arial"/>
          <w:sz w:val="22"/>
          <w:szCs w:val="22"/>
        </w:rPr>
        <w:t xml:space="preserve">The link between ρ and the port-Hamiltonian structure can be established analytically, without simulation. The AR(2) model yields a 2×2 companion matrix A = [[a</w:t>
      </w:r>
      <w:r>
        <w:rPr>
          <w:rFonts w:ascii="Arial" w:cs="Arial" w:eastAsia="Arial" w:hAnsi="Arial"/>
          <w:sz w:val="22"/>
          <w:szCs w:val="22"/>
          <w:vertAlign w:val="superscript"/>
        </w:rPr>
        <w:t xml:space="preserve">1</w:t>
      </w:r>
      <w:r>
        <w:rPr>
          <w:rFonts w:ascii="Arial" w:cs="Arial" w:eastAsia="Arial" w:hAnsi="Arial"/>
          <w:sz w:val="22"/>
          <w:szCs w:val="22"/>
        </w:rPr>
        <w:t xml:space="preserve">, a</w:t>
      </w:r>
      <w:r>
        <w:rPr>
          <w:rFonts w:ascii="Arial" w:cs="Arial" w:eastAsia="Arial" w:hAnsi="Arial"/>
          <w:sz w:val="22"/>
          <w:szCs w:val="22"/>
          <w:vertAlign w:val="superscript"/>
        </w:rPr>
        <w:t xml:space="preserve">2</w:t>
      </w:r>
      <w:r>
        <w:rPr>
          <w:rFonts w:ascii="Arial" w:cs="Arial" w:eastAsia="Arial" w:hAnsi="Arial"/>
          <w:sz w:val="22"/>
          <w:szCs w:val="22"/>
        </w:rPr>
        <w:t xml:space="preserve">], [1, 0]]. Decomposing A into skew-symmetric (Ĵ = (A − A</w:t>
      </w:r>
      <w:r>
        <w:rPr>
          <w:rFonts w:ascii="Arial" w:cs="Arial" w:eastAsia="Arial" w:hAnsi="Arial"/>
          <w:sz w:val="22"/>
          <w:szCs w:val="22"/>
          <w:vertAlign w:val="superscript"/>
        </w:rPr>
        <w:t xml:space="preserve">T</w:t>
      </w:r>
      <w:r>
        <w:rPr>
          <w:rFonts w:ascii="Arial" w:cs="Arial" w:eastAsia="Arial" w:hAnsi="Arial"/>
          <w:sz w:val="22"/>
          <w:szCs w:val="22"/>
        </w:rPr>
        <w:t xml:space="preserve">)/2) and symmetric (Ŝ = (A + A</w:t>
      </w:r>
      <w:r>
        <w:rPr>
          <w:rFonts w:ascii="Arial" w:cs="Arial" w:eastAsia="Arial" w:hAnsi="Arial"/>
          <w:sz w:val="22"/>
          <w:szCs w:val="22"/>
          <w:vertAlign w:val="superscript"/>
        </w:rPr>
        <w:t xml:space="preserve">T</w:t>
      </w:r>
      <w:r>
        <w:rPr>
          <w:rFonts w:ascii="Arial" w:cs="Arial" w:eastAsia="Arial" w:hAnsi="Arial"/>
          <w:sz w:val="22"/>
          <w:szCs w:val="22"/>
        </w:rPr>
        <w:t xml:space="preserve">)/2) components—where Ĵ captures conservative (oscillatory) dynamics and R̂ = −Ŝ captures dissipation—yields a closed-form result: ||Ĵ||</w:t>
      </w:r>
      <w:r>
        <w:rPr>
          <w:rFonts w:ascii="Arial" w:cs="Arial" w:eastAsia="Arial" w:hAnsi="Arial"/>
          <w:sz w:val="22"/>
          <w:szCs w:val="22"/>
          <w:vertAlign w:val="superscript"/>
        </w:rPr>
        <w:t xml:space="preserve">F</w:t>
      </w:r>
      <w:r>
        <w:rPr>
          <w:rFonts w:ascii="Arial" w:cs="Arial" w:eastAsia="Arial" w:hAnsi="Arial"/>
          <w:sz w:val="22"/>
          <w:szCs w:val="22"/>
        </w:rPr>
        <w:t xml:space="preserve"> = (1 + ρ²)/√2. The Frobenius norm of the conservative component is a </w:t>
      </w:r>
      <w:r>
        <w:rPr>
          <w:rFonts w:ascii="Arial" w:cs="Arial" w:eastAsia="Arial" w:hAnsi="Arial"/>
          <w:i/>
          <w:iCs/>
          <w:sz w:val="22"/>
          <w:szCs w:val="22"/>
        </w:rPr>
        <w:t xml:space="preserve">pure function of ρ</w:t>
      </w:r>
      <w:r>
        <w:rPr>
          <w:rFonts w:ascii="Arial" w:cs="Arial" w:eastAsia="Arial" w:hAnsi="Arial"/>
          <w:sz w:val="22"/>
          <w:szCs w:val="22"/>
        </w:rPr>
        <w:t xml:space="preserve">, monotonically increasing, with no dependence on oscillation frequency or any free parameter (Figure 3A). This provides a direct, assumption-free proof that ρ constrains the J component of the port-Hamiltonian decomposition.</w:t>
      </w:r>
    </w:p>
    <w:p>
      <w:pPr>
        <w:spacing w:after="200" w:line="276"/>
        <w:ind w:firstLine="360"/>
        <w:jc w:val="both"/>
      </w:pPr>
      <w:r>
        <w:rPr>
          <w:rFonts w:ascii="Arial" w:cs="Arial" w:eastAsia="Arial" w:hAnsi="Arial"/>
          <w:sz w:val="22"/>
          <w:szCs w:val="22"/>
        </w:rPr>
        <w:t xml:space="preserve">The dissipative component ||Ŝ||</w:t>
      </w:r>
      <w:r>
        <w:rPr>
          <w:rFonts w:ascii="Arial" w:cs="Arial" w:eastAsia="Arial" w:hAnsi="Arial"/>
          <w:sz w:val="22"/>
          <w:szCs w:val="22"/>
          <w:vertAlign w:val="superscript"/>
        </w:rPr>
        <w:t xml:space="preserve">F</w:t>
      </w:r>
      <w:r>
        <w:rPr>
          <w:rFonts w:ascii="Arial" w:cs="Arial" w:eastAsia="Arial" w:hAnsi="Arial"/>
          <w:sz w:val="22"/>
          <w:szCs w:val="22"/>
        </w:rPr>
        <w:t xml:space="preserve"> depends on both ρ and frequency, but within any frequency band the mapping from ρ to the dissipative fraction ||Ŝ||/(||Ĵ||+||Ŝ||) is monotonically decreasing (</w:t>
      </w:r>
      <w:r>
        <w:rPr>
          <w:rFonts w:ascii="Arial" w:cs="Arial" w:eastAsia="Arial" w:hAnsi="Arial"/>
          <w:i/>
          <w:iCs/>
          <w:sz w:val="22"/>
          <w:szCs w:val="22"/>
        </w:rPr>
        <w:t xml:space="preserve">r</w:t>
      </w:r>
      <w:r>
        <w:rPr>
          <w:rFonts w:ascii="Arial" w:cs="Arial" w:eastAsia="Arial" w:hAnsi="Arial"/>
          <w:sz w:val="22"/>
          <w:szCs w:val="22"/>
        </w:rPr>
        <w:t xml:space="preserve"> &gt; 0.997 in every band; Figure 3B). The dissipative fraction gradient across cortical regions replicates the ρ gradient with amplified effect size: the alpha-band dorsoventral Ĵ/R̂ gradient yields Cohen’s </w:t>
      </w:r>
      <w:r>
        <w:rPr>
          <w:rFonts w:ascii="Arial" w:cs="Arial" w:eastAsia="Arial" w:hAnsi="Arial"/>
          <w:i/>
          <w:iCs/>
          <w:sz w:val="22"/>
          <w:szCs w:val="22"/>
        </w:rPr>
        <w:t xml:space="preserve">d</w:t>
      </w:r>
      <w:r>
        <w:rPr>
          <w:rFonts w:ascii="Arial" w:cs="Arial" w:eastAsia="Arial" w:hAnsi="Arial"/>
          <w:sz w:val="22"/>
          <w:szCs w:val="22"/>
        </w:rPr>
        <w:t xml:space="preserve"> = 1.31 (</w:t>
      </w:r>
      <w:r>
        <w:rPr>
          <w:rFonts w:ascii="Arial" w:cs="Arial" w:eastAsia="Arial" w:hAnsi="Arial"/>
          <w:i/>
          <w:iCs/>
          <w:sz w:val="22"/>
          <w:szCs w:val="22"/>
        </w:rPr>
        <w:t xml:space="preserve">p</w:t>
      </w:r>
      <w:r>
        <w:rPr>
          <w:rFonts w:ascii="Arial" w:cs="Arial" w:eastAsia="Arial" w:hAnsi="Arial"/>
          <w:sz w:val="22"/>
          <w:szCs w:val="22"/>
        </w:rPr>
        <w:t xml:space="preserve"> = 0.000003) for AD versus controls (Figure 3C), compared with </w:t>
      </w:r>
      <w:r>
        <w:rPr>
          <w:rFonts w:ascii="Arial" w:cs="Arial" w:eastAsia="Arial" w:hAnsi="Arial"/>
          <w:i/>
          <w:iCs/>
          <w:sz w:val="22"/>
          <w:szCs w:val="22"/>
        </w:rPr>
        <w:t xml:space="preserve">d</w:t>
      </w:r>
      <w:r>
        <w:rPr>
          <w:rFonts w:ascii="Arial" w:cs="Arial" w:eastAsia="Arial" w:hAnsi="Arial"/>
          <w:sz w:val="22"/>
          <w:szCs w:val="22"/>
        </w:rPr>
        <w:t xml:space="preserve"> = 1.175 for raw ρ. The nonlinear transform from ρ to the J/R ratio amplifies the biological signal because it operates on the steep portion of the mapping near ρ ≈ 1 where cortical values reside.</w:t>
      </w:r>
    </w:p>
    <w:p>
      <w:pPr>
        <w:pStyle w:val="Heading2"/>
        <w:spacing w:before="280" w:after="160"/>
      </w:pPr>
      <w:r>
        <w:rPr>
          <w:rFonts w:ascii="Arial" w:cs="Arial" w:eastAsia="Arial" w:hAnsi="Arial"/>
          <w:b/>
          <w:bCs/>
          <w:sz w:val="24"/>
          <w:szCs w:val="24"/>
        </w:rPr>
        <w:t xml:space="preserve">AD flattens the dorsoventral ρ gradient in the discovery cohort</w:t>
      </w:r>
    </w:p>
    <w:p>
      <w:pPr>
        <w:spacing w:after="200" w:line="276"/>
        <w:jc w:val="both"/>
      </w:pPr>
      <w:r>
        <w:rPr>
          <w:rFonts w:ascii="Arial" w:cs="Arial" w:eastAsia="Arial" w:hAnsi="Arial"/>
          <w:sz w:val="22"/>
          <w:szCs w:val="22"/>
        </w:rPr>
        <w:t xml:space="preserve">We analyzed resting-state eyes-closed EEG from 88 subjects (36 Alzheimer’s disease, 23 frontotemporal dementia, 29 healthy controls) from OpenNeuro dataset ds004504 (24). Recordings used a 19-channel 10–20 montage at 500 Hz. For each subject, we computed ρ in five frequency bands (δ 1–4, θ 4–8, α 8–13, β 13–30, broadband 1–45 Hz) across seven channel groups arranged along the dorsoventral axis, using the AR(2) eigenvalue modulus computed over sliding 4-second epochs with 50% overlap.</w:t>
      </w:r>
    </w:p>
    <w:p>
      <w:pPr>
        <w:spacing w:after="200" w:line="276"/>
        <w:ind w:firstLine="360"/>
        <w:jc w:val="both"/>
      </w:pPr>
      <w:r>
        <w:rPr>
          <w:rFonts w:ascii="Arial" w:cs="Arial" w:eastAsia="Arial" w:hAnsi="Arial"/>
          <w:sz w:val="22"/>
          <w:szCs w:val="22"/>
        </w:rPr>
        <w:t xml:space="preserve">Healthy controls exhibited a significant dorsoventral ρ gradient, with dorsal channels (C3, Cz, C4) showing lower ρ than ventral temporal channels (T5, T6). This gradient was strongest in the alpha band (one-sample </w:t>
      </w:r>
      <w:r>
        <w:rPr>
          <w:rFonts w:ascii="Arial" w:cs="Arial" w:eastAsia="Arial" w:hAnsi="Arial"/>
          <w:i/>
          <w:iCs/>
          <w:sz w:val="22"/>
          <w:szCs w:val="22"/>
        </w:rPr>
        <w:t xml:space="preserve">t</w:t>
      </w:r>
      <w:r>
        <w:rPr>
          <w:rFonts w:ascii="Arial" w:cs="Arial" w:eastAsia="Arial" w:hAnsi="Arial"/>
          <w:sz w:val="22"/>
          <w:szCs w:val="22"/>
        </w:rPr>
        <w:t xml:space="preserve"> = −10.28, </w:t>
      </w:r>
      <w:r>
        <w:rPr>
          <w:rFonts w:ascii="Arial" w:cs="Arial" w:eastAsia="Arial" w:hAnsi="Arial"/>
          <w:i/>
          <w:iCs/>
          <w:sz w:val="22"/>
          <w:szCs w:val="22"/>
        </w:rPr>
        <w:t xml:space="preserve">p</w:t>
      </w:r>
      <w:r>
        <w:rPr>
          <w:rFonts w:ascii="Arial" w:cs="Arial" w:eastAsia="Arial" w:hAnsi="Arial"/>
          <w:sz w:val="22"/>
          <w:szCs w:val="22"/>
        </w:rPr>
        <w:t xml:space="preserve"> &lt; 0.0001), followed by beta (</w:t>
      </w:r>
      <w:r>
        <w:rPr>
          <w:rFonts w:ascii="Arial" w:cs="Arial" w:eastAsia="Arial" w:hAnsi="Arial"/>
          <w:i/>
          <w:iCs/>
          <w:sz w:val="22"/>
          <w:szCs w:val="22"/>
        </w:rPr>
        <w:t xml:space="preserve">t</w:t>
      </w:r>
      <w:r>
        <w:rPr>
          <w:rFonts w:ascii="Arial" w:cs="Arial" w:eastAsia="Arial" w:hAnsi="Arial"/>
          <w:sz w:val="22"/>
          <w:szCs w:val="22"/>
        </w:rPr>
        <w:t xml:space="preserve"> = −2.35, </w:t>
      </w:r>
      <w:r>
        <w:rPr>
          <w:rFonts w:ascii="Arial" w:cs="Arial" w:eastAsia="Arial" w:hAnsi="Arial"/>
          <w:i/>
          <w:iCs/>
          <w:sz w:val="22"/>
          <w:szCs w:val="22"/>
        </w:rPr>
        <w:t xml:space="preserve">p</w:t>
      </w:r>
      <w:r>
        <w:rPr>
          <w:rFonts w:ascii="Arial" w:cs="Arial" w:eastAsia="Arial" w:hAnsi="Arial"/>
          <w:sz w:val="22"/>
          <w:szCs w:val="22"/>
        </w:rPr>
        <w:t xml:space="preserve"> = 0.026). Theta showed the opposite direction (dorsal &gt; ventral, </w:t>
      </w:r>
      <w:r>
        <w:rPr>
          <w:rFonts w:ascii="Arial" w:cs="Arial" w:eastAsia="Arial" w:hAnsi="Arial"/>
          <w:i/>
          <w:iCs/>
          <w:sz w:val="22"/>
          <w:szCs w:val="22"/>
        </w:rPr>
        <w:t xml:space="preserve">t</w:t>
      </w:r>
      <w:r>
        <w:rPr>
          <w:rFonts w:ascii="Arial" w:cs="Arial" w:eastAsia="Arial" w:hAnsi="Arial"/>
          <w:sz w:val="22"/>
          <w:szCs w:val="22"/>
        </w:rPr>
        <w:t xml:space="preserve"> = 5.19, </w:t>
      </w:r>
      <w:r>
        <w:rPr>
          <w:rFonts w:ascii="Arial" w:cs="Arial" w:eastAsia="Arial" w:hAnsi="Arial"/>
          <w:i/>
          <w:iCs/>
          <w:sz w:val="22"/>
          <w:szCs w:val="22"/>
        </w:rPr>
        <w:t xml:space="preserve">p</w:t>
      </w:r>
      <w:r>
        <w:rPr>
          <w:rFonts w:ascii="Arial" w:cs="Arial" w:eastAsia="Arial" w:hAnsi="Arial"/>
          <w:sz w:val="22"/>
          <w:szCs w:val="22"/>
        </w:rPr>
        <w:t xml:space="preserve"> &lt; 0.0001), replicating the frequency-specific pattern observed in source-reconstructed MEG: slow rhythms are dorsal-dominant, fast rhythms are ventral-dominant. The fact that EEG recovers this pattern despite the spatial low-pass filtering imposed by volume conduction through the skull—which preferentially attenuates focal, high-frequency generators—indicates that the gradient is a robust macroscopic property of cortical organization.</w:t>
      </w:r>
    </w:p>
    <w:p>
      <w:pPr>
        <w:spacing w:after="200" w:line="276"/>
        <w:ind w:firstLine="360"/>
        <w:jc w:val="both"/>
      </w:pPr>
      <w:r>
        <w:rPr>
          <w:rFonts w:ascii="Arial" w:cs="Arial" w:eastAsia="Arial" w:hAnsi="Arial"/>
          <w:sz w:val="22"/>
          <w:szCs w:val="22"/>
        </w:rPr>
        <w:t xml:space="preserve">AD patients showed profoundly flattened gradients compared to controls. In the alpha band, the dorsoventral gradient difference between AD and controls yielded Cohen’s </w:t>
      </w:r>
      <w:r>
        <w:rPr>
          <w:rFonts w:ascii="Arial" w:cs="Arial" w:eastAsia="Arial" w:hAnsi="Arial"/>
          <w:i/>
          <w:iCs/>
          <w:sz w:val="22"/>
          <w:szCs w:val="22"/>
        </w:rPr>
        <w:t xml:space="preserve">d</w:t>
      </w:r>
      <w:r>
        <w:rPr>
          <w:rFonts w:ascii="Arial" w:cs="Arial" w:eastAsia="Arial" w:hAnsi="Arial"/>
          <w:sz w:val="22"/>
          <w:szCs w:val="22"/>
        </w:rPr>
        <w:t xml:space="preserve"> = 1.175 (</w:t>
      </w:r>
      <w:r>
        <w:rPr>
          <w:rFonts w:ascii="Arial" w:cs="Arial" w:eastAsia="Arial" w:hAnsi="Arial"/>
          <w:i/>
          <w:iCs/>
          <w:sz w:val="22"/>
          <w:szCs w:val="22"/>
        </w:rPr>
        <w:t xml:space="preserve">p</w:t>
      </w:r>
      <w:r>
        <w:rPr>
          <w:rFonts w:ascii="Arial" w:cs="Arial" w:eastAsia="Arial" w:hAnsi="Arial"/>
          <w:sz w:val="22"/>
          <w:szCs w:val="22"/>
        </w:rPr>
        <w:t xml:space="preserve"> &lt; 0.0001), with beta also significantly disrupted (</w:t>
      </w:r>
      <w:r>
        <w:rPr>
          <w:rFonts w:ascii="Arial" w:cs="Arial" w:eastAsia="Arial" w:hAnsi="Arial"/>
          <w:i/>
          <w:iCs/>
          <w:sz w:val="22"/>
          <w:szCs w:val="22"/>
        </w:rPr>
        <w:t xml:space="preserve">d</w:t>
      </w:r>
      <w:r>
        <w:rPr>
          <w:rFonts w:ascii="Arial" w:cs="Arial" w:eastAsia="Arial" w:hAnsi="Arial"/>
          <w:sz w:val="22"/>
          <w:szCs w:val="22"/>
        </w:rPr>
        <w:t xml:space="preserve"> = 0.823, </w:t>
      </w:r>
      <w:r>
        <w:rPr>
          <w:rFonts w:ascii="Arial" w:cs="Arial" w:eastAsia="Arial" w:hAnsi="Arial"/>
          <w:i/>
          <w:iCs/>
          <w:sz w:val="22"/>
          <w:szCs w:val="22"/>
        </w:rPr>
        <w:t xml:space="preserve">p</w:t>
      </w:r>
      <w:r>
        <w:rPr>
          <w:rFonts w:ascii="Arial" w:cs="Arial" w:eastAsia="Arial" w:hAnsi="Arial"/>
          <w:sz w:val="22"/>
          <w:szCs w:val="22"/>
        </w:rPr>
        <w:t xml:space="preserve"> = 0.001). FTD patients showed intermediate effects. The gradient flattening was driven primarily by collapse of ventral temporal ρ, consistent with the known vulnerability of inferior temporal cortex to early AD pathology. Dorsal ρ was relatively preserved, reflecting the clinical sparing of sensorimotor cortex until late disease stages.</w:t>
      </w:r>
    </w:p>
    <w:p>
      <w:pPr>
        <w:pStyle w:val="Heading2"/>
        <w:spacing w:before="280" w:after="160"/>
      </w:pPr>
      <w:r>
        <w:rPr>
          <w:rFonts w:ascii="Arial" w:cs="Arial" w:eastAsia="Arial" w:hAnsi="Arial"/>
          <w:b/>
          <w:bCs/>
          <w:sz w:val="24"/>
          <w:szCs w:val="24"/>
        </w:rPr>
        <w:t xml:space="preserve">Cross-condition replication under photic stimulation</w:t>
      </w:r>
    </w:p>
    <w:p>
      <w:pPr>
        <w:spacing w:after="200" w:line="276"/>
        <w:jc w:val="both"/>
      </w:pPr>
      <w:r>
        <w:rPr>
          <w:rFonts w:ascii="Arial" w:cs="Arial" w:eastAsia="Arial" w:hAnsi="Arial"/>
          <w:sz w:val="22"/>
          <w:szCs w:val="22"/>
        </w:rPr>
        <w:t xml:space="preserve">To assess robustness across recording conditions, we analyzed the same 88 subjects during eyes-open photic stimulation (ds006036). The alpha-band group effect attenuated but persisted (</w:t>
      </w:r>
      <w:r>
        <w:rPr>
          <w:rFonts w:ascii="Arial" w:cs="Arial" w:eastAsia="Arial" w:hAnsi="Arial"/>
          <w:i/>
          <w:iCs/>
          <w:sz w:val="22"/>
          <w:szCs w:val="22"/>
        </w:rPr>
        <w:t xml:space="preserve">d</w:t>
      </w:r>
      <w:r>
        <w:rPr>
          <w:rFonts w:ascii="Arial" w:cs="Arial" w:eastAsia="Arial" w:hAnsi="Arial"/>
          <w:sz w:val="22"/>
          <w:szCs w:val="22"/>
        </w:rPr>
        <w:t xml:space="preserve"> = 0.610, </w:t>
      </w:r>
      <w:r>
        <w:rPr>
          <w:rFonts w:ascii="Arial" w:cs="Arial" w:eastAsia="Arial" w:hAnsi="Arial"/>
          <w:i/>
          <w:iCs/>
          <w:sz w:val="22"/>
          <w:szCs w:val="22"/>
        </w:rPr>
        <w:t xml:space="preserve">p</w:t>
      </w:r>
      <w:r>
        <w:rPr>
          <w:rFonts w:ascii="Arial" w:cs="Arial" w:eastAsia="Arial" w:hAnsi="Arial"/>
          <w:sz w:val="22"/>
          <w:szCs w:val="22"/>
        </w:rPr>
        <w:t xml:space="preserve"> = 0.019), while the beta-band effect remained stable (</w:t>
      </w:r>
      <w:r>
        <w:rPr>
          <w:rFonts w:ascii="Arial" w:cs="Arial" w:eastAsia="Arial" w:hAnsi="Arial"/>
          <w:i/>
          <w:iCs/>
          <w:sz w:val="22"/>
          <w:szCs w:val="22"/>
        </w:rPr>
        <w:t xml:space="preserve">d</w:t>
      </w:r>
      <w:r>
        <w:rPr>
          <w:rFonts w:ascii="Arial" w:cs="Arial" w:eastAsia="Arial" w:hAnsi="Arial"/>
          <w:sz w:val="22"/>
          <w:szCs w:val="22"/>
        </w:rPr>
        <w:t xml:space="preserve"> = 0.807, </w:t>
      </w:r>
      <w:r>
        <w:rPr>
          <w:rFonts w:ascii="Arial" w:cs="Arial" w:eastAsia="Arial" w:hAnsi="Arial"/>
          <w:i/>
          <w:iCs/>
          <w:sz w:val="22"/>
          <w:szCs w:val="22"/>
        </w:rPr>
        <w:t xml:space="preserve">p</w:t>
      </w:r>
      <w:r>
        <w:rPr>
          <w:rFonts w:ascii="Arial" w:cs="Arial" w:eastAsia="Arial" w:hAnsi="Arial"/>
          <w:sz w:val="22"/>
          <w:szCs w:val="22"/>
        </w:rPr>
        <w:t xml:space="preserve"> = 0.002). The attenuation of the alpha effect during photic stimulation is expected: external visual driving disrupts intrinsic alpha dynamics, reducing the signal-to-noise ratio for detecting endogenous gradient differences. Beta’s stability across conditions is consistent with the MEG finding that beta shows the strongest ventral predominance (</w:t>
      </w:r>
      <w:r>
        <w:rPr>
          <w:rFonts w:ascii="Arial" w:cs="Arial" w:eastAsia="Arial" w:hAnsi="Arial"/>
          <w:i/>
          <w:iCs/>
          <w:sz w:val="22"/>
          <w:szCs w:val="22"/>
        </w:rPr>
        <w:t xml:space="preserve">r</w:t>
      </w:r>
      <w:r>
        <w:rPr>
          <w:rFonts w:ascii="Arial" w:cs="Arial" w:eastAsia="Arial" w:hAnsi="Arial"/>
          <w:sz w:val="22"/>
          <w:szCs w:val="22"/>
        </w:rPr>
        <w:t xml:space="preserve"> = −0.77), reflecting local interneuron-driven circuit properties that are less susceptible to sensory perturbation.</w:t>
      </w:r>
    </w:p>
    <w:p>
      <w:pPr>
        <w:pStyle w:val="Heading2"/>
        <w:spacing w:before="280" w:after="160"/>
      </w:pPr>
      <w:r>
        <w:rPr>
          <w:rFonts w:ascii="Arial" w:cs="Arial" w:eastAsia="Arial" w:hAnsi="Arial"/>
          <w:b/>
          <w:bCs/>
          <w:sz w:val="24"/>
          <w:szCs w:val="24"/>
        </w:rPr>
        <w:t xml:space="preserve">The ρ gradient tracks cognitive severity</w:t>
      </w:r>
    </w:p>
    <w:p>
      <w:pPr>
        <w:spacing w:after="200" w:line="276"/>
        <w:jc w:val="both"/>
      </w:pPr>
      <w:r>
        <w:rPr>
          <w:rFonts w:ascii="Arial" w:cs="Arial" w:eastAsia="Arial" w:hAnsi="Arial"/>
          <w:sz w:val="22"/>
          <w:szCs w:val="22"/>
        </w:rPr>
        <w:t xml:space="preserve">Across the full sample (N = 88), the alpha-band dorsoventral gradient correlated with MMSE score at ρ</w:t>
      </w:r>
      <w:r>
        <w:rPr>
          <w:rFonts w:ascii="Arial" w:cs="Arial" w:eastAsia="Arial" w:hAnsi="Arial"/>
          <w:sz w:val="22"/>
          <w:szCs w:val="22"/>
          <w:vertAlign w:val="superscript"/>
        </w:rPr>
        <w:t xml:space="preserve">s</w:t>
      </w:r>
      <w:r>
        <w:rPr>
          <w:rFonts w:ascii="Arial" w:cs="Arial" w:eastAsia="Arial" w:hAnsi="Arial"/>
          <w:sz w:val="22"/>
          <w:szCs w:val="22"/>
        </w:rPr>
        <w:t xml:space="preserve"> = −0.434 (</w:t>
      </w:r>
      <w:r>
        <w:rPr>
          <w:rFonts w:ascii="Arial" w:cs="Arial" w:eastAsia="Arial" w:hAnsi="Arial"/>
          <w:i/>
          <w:iCs/>
          <w:sz w:val="22"/>
          <w:szCs w:val="22"/>
        </w:rPr>
        <w:t xml:space="preserve">p</w:t>
      </w:r>
      <w:r>
        <w:rPr>
          <w:rFonts w:ascii="Arial" w:cs="Arial" w:eastAsia="Arial" w:hAnsi="Arial"/>
          <w:sz w:val="22"/>
          <w:szCs w:val="22"/>
        </w:rPr>
        <w:t xml:space="preserve"> = 0.000024), with beta (ρ</w:t>
      </w:r>
      <w:r>
        <w:rPr>
          <w:rFonts w:ascii="Arial" w:cs="Arial" w:eastAsia="Arial" w:hAnsi="Arial"/>
          <w:sz w:val="22"/>
          <w:szCs w:val="22"/>
          <w:vertAlign w:val="superscript"/>
        </w:rPr>
        <w:t xml:space="preserve">s</w:t>
      </w:r>
      <w:r>
        <w:rPr>
          <w:rFonts w:ascii="Arial" w:cs="Arial" w:eastAsia="Arial" w:hAnsi="Arial"/>
          <w:sz w:val="22"/>
          <w:szCs w:val="22"/>
        </w:rPr>
        <w:t xml:space="preserve"> = −0.296, </w:t>
      </w:r>
      <w:r>
        <w:rPr>
          <w:rFonts w:ascii="Arial" w:cs="Arial" w:eastAsia="Arial" w:hAnsi="Arial"/>
          <w:i/>
          <w:iCs/>
          <w:sz w:val="22"/>
          <w:szCs w:val="22"/>
        </w:rPr>
        <w:t xml:space="preserve">p</w:t>
      </w:r>
      <w:r>
        <w:rPr>
          <w:rFonts w:ascii="Arial" w:cs="Arial" w:eastAsia="Arial" w:hAnsi="Arial"/>
          <w:sz w:val="22"/>
          <w:szCs w:val="22"/>
        </w:rPr>
        <w:t xml:space="preserve"> = 0.005) and broadband (ρ</w:t>
      </w:r>
      <w:r>
        <w:rPr>
          <w:rFonts w:ascii="Arial" w:cs="Arial" w:eastAsia="Arial" w:hAnsi="Arial"/>
          <w:sz w:val="22"/>
          <w:szCs w:val="22"/>
          <w:vertAlign w:val="superscript"/>
        </w:rPr>
        <w:t xml:space="preserve">s</w:t>
      </w:r>
      <w:r>
        <w:rPr>
          <w:rFonts w:ascii="Arial" w:cs="Arial" w:eastAsia="Arial" w:hAnsi="Arial"/>
          <w:sz w:val="22"/>
          <w:szCs w:val="22"/>
        </w:rPr>
        <w:t xml:space="preserve"> = −0.290, </w:t>
      </w:r>
      <w:r>
        <w:rPr>
          <w:rFonts w:ascii="Arial" w:cs="Arial" w:eastAsia="Arial" w:hAnsi="Arial"/>
          <w:i/>
          <w:iCs/>
          <w:sz w:val="22"/>
          <w:szCs w:val="22"/>
        </w:rPr>
        <w:t xml:space="preserve">p</w:t>
      </w:r>
      <w:r>
        <w:rPr>
          <w:rFonts w:ascii="Arial" w:cs="Arial" w:eastAsia="Arial" w:hAnsi="Arial"/>
          <w:sz w:val="22"/>
          <w:szCs w:val="22"/>
        </w:rPr>
        <w:t xml:space="preserve"> = 0.006) also significant (Figure 2). Global mean alpha ρ showed an even stronger correlation (ρ</w:t>
      </w:r>
      <w:r>
        <w:rPr>
          <w:rFonts w:ascii="Arial" w:cs="Arial" w:eastAsia="Arial" w:hAnsi="Arial"/>
          <w:sz w:val="22"/>
          <w:szCs w:val="22"/>
          <w:vertAlign w:val="superscript"/>
        </w:rPr>
        <w:t xml:space="preserve">s</w:t>
      </w:r>
      <w:r>
        <w:rPr>
          <w:rFonts w:ascii="Arial" w:cs="Arial" w:eastAsia="Arial" w:hAnsi="Arial"/>
          <w:sz w:val="22"/>
          <w:szCs w:val="22"/>
        </w:rPr>
        <w:t xml:space="preserve"> = 0.468, </w:t>
      </w:r>
      <w:r>
        <w:rPr>
          <w:rFonts w:ascii="Arial" w:cs="Arial" w:eastAsia="Arial" w:hAnsi="Arial"/>
          <w:i/>
          <w:iCs/>
          <w:sz w:val="22"/>
          <w:szCs w:val="22"/>
        </w:rPr>
        <w:t xml:space="preserve">p</w:t>
      </w:r>
      <w:r>
        <w:rPr>
          <w:rFonts w:ascii="Arial" w:cs="Arial" w:eastAsia="Arial" w:hAnsi="Arial"/>
          <w:sz w:val="22"/>
          <w:szCs w:val="22"/>
        </w:rPr>
        <w:t xml:space="preserve"> = 0.000004). However, within the AD group alone (</w:t>
      </w:r>
      <w:r>
        <w:rPr>
          <w:rFonts w:ascii="Arial" w:cs="Arial" w:eastAsia="Arial" w:hAnsi="Arial"/>
          <w:i/>
          <w:iCs/>
          <w:sz w:val="22"/>
          <w:szCs w:val="22"/>
        </w:rPr>
        <w:t xml:space="preserve">n</w:t>
      </w:r>
      <w:r>
        <w:rPr>
          <w:rFonts w:ascii="Arial" w:cs="Arial" w:eastAsia="Arial" w:hAnsi="Arial"/>
          <w:sz w:val="22"/>
          <w:szCs w:val="22"/>
        </w:rPr>
        <w:t xml:space="preserve"> = 36), the correlation was absent (ρ</w:t>
      </w:r>
      <w:r>
        <w:rPr>
          <w:rFonts w:ascii="Arial" w:cs="Arial" w:eastAsia="Arial" w:hAnsi="Arial"/>
          <w:sz w:val="22"/>
          <w:szCs w:val="22"/>
          <w:vertAlign w:val="superscript"/>
        </w:rPr>
        <w:t xml:space="preserve">s</w:t>
      </w:r>
      <w:r>
        <w:rPr>
          <w:rFonts w:ascii="Arial" w:cs="Arial" w:eastAsia="Arial" w:hAnsi="Arial"/>
          <w:sz w:val="22"/>
          <w:szCs w:val="22"/>
        </w:rPr>
        <w:t xml:space="preserve"> = 0.085, </w:t>
      </w:r>
      <w:r>
        <w:rPr>
          <w:rFonts w:ascii="Arial" w:cs="Arial" w:eastAsia="Arial" w:hAnsi="Arial"/>
          <w:i/>
          <w:iCs/>
          <w:sz w:val="22"/>
          <w:szCs w:val="22"/>
        </w:rPr>
        <w:t xml:space="preserve">p</w:t>
      </w:r>
      <w:r>
        <w:rPr>
          <w:rFonts w:ascii="Arial" w:cs="Arial" w:eastAsia="Arial" w:hAnsi="Arial"/>
          <w:sz w:val="22"/>
          <w:szCs w:val="22"/>
        </w:rPr>
        <w:t xml:space="preserve"> = 0.62), indicating that the dose–response relationship is between-group rather than within-group. The gradient distinguishes diagnostic categories but does not track fine-grained severity within established disease—consistent with a circuit-level structural property that, once disrupted, does not degrade further with progressive cognitive decline.</w:t>
      </w:r>
    </w:p>
    <w:p>
      <w:pPr>
        <w:pStyle w:val="Heading2"/>
        <w:spacing w:before="280" w:after="160"/>
      </w:pPr>
      <w:r>
        <w:rPr>
          <w:rFonts w:ascii="Arial" w:cs="Arial" w:eastAsia="Arial" w:hAnsi="Arial"/>
          <w:b/>
          <w:bCs/>
          <w:sz w:val="24"/>
          <w:szCs w:val="24"/>
        </w:rPr>
        <w:t xml:space="preserve">Preclinical validation in presymptomatic PSEN1 carriers</w:t>
      </w:r>
    </w:p>
    <w:p>
      <w:pPr>
        <w:spacing w:after="200" w:line="276"/>
        <w:jc w:val="both"/>
      </w:pPr>
      <w:r>
        <w:rPr>
          <w:rFonts w:ascii="Arial" w:cs="Arial" w:eastAsia="Arial" w:hAnsi="Arial"/>
          <w:sz w:val="22"/>
          <w:szCs w:val="22"/>
        </w:rPr>
        <w:t xml:space="preserve">To test whether port-Hamiltonian signatures are detectable before clinical onset, we analyzed 57-channel resting-state EEG (1000 Hz, BrainVision, downsampled to 500 Hz for comparability) from 27 presymptomatic PSEN1 E280A mutation carriers and 16 non-carrier family members from the Antioquia, Colombia kindred—the world’s largest autosomal dominant AD family (OpenNeuro ds007427; ref. 25). Both groups were cognitively normal (MMSE ~29–30), young (mean age ~31), and differed only in genetic status.</w:t>
      </w:r>
    </w:p>
    <w:p>
      <w:pPr>
        <w:spacing w:after="200" w:line="276"/>
        <w:ind w:firstLine="360"/>
        <w:jc w:val="both"/>
      </w:pPr>
      <w:r>
        <w:rPr>
          <w:rFonts w:ascii="Arial" w:cs="Arial" w:eastAsia="Arial" w:hAnsi="Arial"/>
          <w:sz w:val="22"/>
          <w:szCs w:val="22"/>
        </w:rPr>
        <w:t xml:space="preserve">PSEN1 carriers showed significantly elevated global delta-band ρ compared to non-carriers (</w:t>
      </w:r>
      <w:r>
        <w:rPr>
          <w:rFonts w:ascii="Arial" w:cs="Arial" w:eastAsia="Arial" w:hAnsi="Arial"/>
          <w:i/>
          <w:iCs/>
          <w:sz w:val="22"/>
          <w:szCs w:val="22"/>
        </w:rPr>
        <w:t xml:space="preserve">d</w:t>
      </w:r>
      <w:r>
        <w:rPr>
          <w:rFonts w:ascii="Arial" w:cs="Arial" w:eastAsia="Arial" w:hAnsi="Arial"/>
          <w:sz w:val="22"/>
          <w:szCs w:val="22"/>
        </w:rPr>
        <w:t xml:space="preserve"> = 0.917, </w:t>
      </w:r>
      <w:r>
        <w:rPr>
          <w:rFonts w:ascii="Arial" w:cs="Arial" w:eastAsia="Arial" w:hAnsi="Arial"/>
          <w:i/>
          <w:iCs/>
          <w:sz w:val="22"/>
          <w:szCs w:val="22"/>
        </w:rPr>
        <w:t xml:space="preserve">p</w:t>
      </w:r>
      <w:r>
        <w:rPr>
          <w:rFonts w:ascii="Arial" w:cs="Arial" w:eastAsia="Arial" w:hAnsi="Arial"/>
          <w:sz w:val="22"/>
          <w:szCs w:val="22"/>
        </w:rPr>
        <w:t xml:space="preserve"> = 0.006, Mann–Whitney </w:t>
      </w:r>
      <w:r>
        <w:rPr>
          <w:rFonts w:ascii="Arial" w:cs="Arial" w:eastAsia="Arial" w:hAnsi="Arial"/>
          <w:i/>
          <w:iCs/>
          <w:sz w:val="22"/>
          <w:szCs w:val="22"/>
        </w:rPr>
        <w:t xml:space="preserve">p</w:t>
      </w:r>
      <w:r>
        <w:rPr>
          <w:rFonts w:ascii="Arial" w:cs="Arial" w:eastAsia="Arial" w:hAnsi="Arial"/>
          <w:sz w:val="22"/>
          <w:szCs w:val="22"/>
        </w:rPr>
        <w:t xml:space="preserve"> = 0.012), with trending reductions in beta (–</w:t>
      </w:r>
      <w:r>
        <w:rPr>
          <w:rFonts w:ascii="Arial" w:cs="Arial" w:eastAsia="Arial" w:hAnsi="Arial"/>
          <w:i/>
          <w:iCs/>
          <w:sz w:val="22"/>
          <w:szCs w:val="22"/>
        </w:rPr>
        <w:t xml:space="preserve">d</w:t>
      </w:r>
      <w:r>
        <w:rPr>
          <w:rFonts w:ascii="Arial" w:cs="Arial" w:eastAsia="Arial" w:hAnsi="Arial"/>
          <w:sz w:val="22"/>
          <w:szCs w:val="22"/>
        </w:rPr>
        <w:t xml:space="preserve"> = 0.590, </w:t>
      </w:r>
      <w:r>
        <w:rPr>
          <w:rFonts w:ascii="Arial" w:cs="Arial" w:eastAsia="Arial" w:hAnsi="Arial"/>
          <w:i/>
          <w:iCs/>
          <w:sz w:val="22"/>
          <w:szCs w:val="22"/>
        </w:rPr>
        <w:t xml:space="preserve">p</w:t>
      </w:r>
      <w:r>
        <w:rPr>
          <w:rFonts w:ascii="Arial" w:cs="Arial" w:eastAsia="Arial" w:hAnsi="Arial"/>
          <w:sz w:val="22"/>
          <w:szCs w:val="22"/>
        </w:rPr>
        <w:t xml:space="preserve"> = 0.065) and broadband ρ (</w:t>
      </w:r>
      <w:r>
        <w:rPr>
          <w:rFonts w:ascii="Arial" w:cs="Arial" w:eastAsia="Arial" w:hAnsi="Arial"/>
          <w:i/>
          <w:iCs/>
          <w:sz w:val="22"/>
          <w:szCs w:val="22"/>
        </w:rPr>
        <w:t xml:space="preserve">d</w:t>
      </w:r>
      <w:r>
        <w:rPr>
          <w:rFonts w:ascii="Arial" w:cs="Arial" w:eastAsia="Arial" w:hAnsi="Arial"/>
          <w:sz w:val="22"/>
          <w:szCs w:val="22"/>
        </w:rPr>
        <w:t xml:space="preserve"> = −0.575, </w:t>
      </w:r>
      <w:r>
        <w:rPr>
          <w:rFonts w:ascii="Arial" w:cs="Arial" w:eastAsia="Arial" w:hAnsi="Arial"/>
          <w:i/>
          <w:iCs/>
          <w:sz w:val="22"/>
          <w:szCs w:val="22"/>
        </w:rPr>
        <w:t xml:space="preserve">p</w:t>
      </w:r>
      <w:r>
        <w:rPr>
          <w:rFonts w:ascii="Arial" w:cs="Arial" w:eastAsia="Arial" w:hAnsi="Arial"/>
          <w:sz w:val="22"/>
          <w:szCs w:val="22"/>
        </w:rPr>
        <w:t xml:space="preserve"> = 0.064). Critically, the dorsoventral gradient was intact in both groups: broadband gradient was significantly different from zero in carriers (</w:t>
      </w:r>
      <w:r>
        <w:rPr>
          <w:rFonts w:ascii="Arial" w:cs="Arial" w:eastAsia="Arial" w:hAnsi="Arial"/>
          <w:i/>
          <w:iCs/>
          <w:sz w:val="22"/>
          <w:szCs w:val="22"/>
        </w:rPr>
        <w:t xml:space="preserve">t</w:t>
      </w:r>
      <w:r>
        <w:rPr>
          <w:rFonts w:ascii="Arial" w:cs="Arial" w:eastAsia="Arial" w:hAnsi="Arial"/>
          <w:sz w:val="22"/>
          <w:szCs w:val="22"/>
        </w:rPr>
        <w:t xml:space="preserve"> = 3.17, </w:t>
      </w:r>
      <w:r>
        <w:rPr>
          <w:rFonts w:ascii="Arial" w:cs="Arial" w:eastAsia="Arial" w:hAnsi="Arial"/>
          <w:i/>
          <w:iCs/>
          <w:sz w:val="22"/>
          <w:szCs w:val="22"/>
        </w:rPr>
        <w:t xml:space="preserve">p</w:t>
      </w:r>
      <w:r>
        <w:rPr>
          <w:rFonts w:ascii="Arial" w:cs="Arial" w:eastAsia="Arial" w:hAnsi="Arial"/>
          <w:sz w:val="22"/>
          <w:szCs w:val="22"/>
        </w:rPr>
        <w:t xml:space="preserve"> = 0.004) and non-carriers (</w:t>
      </w:r>
      <w:r>
        <w:rPr>
          <w:rFonts w:ascii="Arial" w:cs="Arial" w:eastAsia="Arial" w:hAnsi="Arial"/>
          <w:i/>
          <w:iCs/>
          <w:sz w:val="22"/>
          <w:szCs w:val="22"/>
        </w:rPr>
        <w:t xml:space="preserve">t</w:t>
      </w:r>
      <w:r>
        <w:rPr>
          <w:rFonts w:ascii="Arial" w:cs="Arial" w:eastAsia="Arial" w:hAnsi="Arial"/>
          <w:sz w:val="22"/>
          <w:szCs w:val="22"/>
        </w:rPr>
        <w:t xml:space="preserve"> = 6.61, </w:t>
      </w:r>
      <w:r>
        <w:rPr>
          <w:rFonts w:ascii="Arial" w:cs="Arial" w:eastAsia="Arial" w:hAnsi="Arial"/>
          <w:i/>
          <w:iCs/>
          <w:sz w:val="22"/>
          <w:szCs w:val="22"/>
        </w:rPr>
        <w:t xml:space="preserve">p</w:t>
      </w:r>
      <w:r>
        <w:rPr>
          <w:rFonts w:ascii="Arial" w:cs="Arial" w:eastAsia="Arial" w:hAnsi="Arial"/>
          <w:sz w:val="22"/>
          <w:szCs w:val="22"/>
        </w:rPr>
        <w:t xml:space="preserve"> &lt; 0.0001), with no between-group difference in any band (all </w:t>
      </w:r>
      <w:r>
        <w:rPr>
          <w:rFonts w:ascii="Arial" w:cs="Arial" w:eastAsia="Arial" w:hAnsi="Arial"/>
          <w:i/>
          <w:iCs/>
          <w:sz w:val="22"/>
          <w:szCs w:val="22"/>
        </w:rPr>
        <w:t xml:space="preserve">p</w:t>
      </w:r>
      <w:r>
        <w:rPr>
          <w:rFonts w:ascii="Arial" w:cs="Arial" w:eastAsia="Arial" w:hAnsi="Arial"/>
          <w:sz w:val="22"/>
          <w:szCs w:val="22"/>
        </w:rPr>
        <w:t xml:space="preserve"> &gt; 0.29). Alpha showed no per-region group differences (all </w:t>
      </w:r>
      <w:r>
        <w:rPr>
          <w:rFonts w:ascii="Arial" w:cs="Arial" w:eastAsia="Arial" w:hAnsi="Arial"/>
          <w:i/>
          <w:iCs/>
          <w:sz w:val="22"/>
          <w:szCs w:val="22"/>
        </w:rPr>
        <w:t xml:space="preserve">p</w:t>
      </w:r>
      <w:r>
        <w:rPr>
          <w:rFonts w:ascii="Arial" w:cs="Arial" w:eastAsia="Arial" w:hAnsi="Arial"/>
          <w:sz w:val="22"/>
          <w:szCs w:val="22"/>
        </w:rPr>
        <w:t xml:space="preserve"> &gt; 0.43).</w:t>
      </w:r>
    </w:p>
    <w:p>
      <w:pPr>
        <w:spacing w:after="200" w:line="276"/>
        <w:ind w:firstLine="360"/>
        <w:jc w:val="both"/>
      </w:pPr>
      <w:r>
        <w:rPr>
          <w:rFonts w:ascii="Arial" w:cs="Arial" w:eastAsia="Arial" w:hAnsi="Arial"/>
          <w:sz w:val="22"/>
          <w:szCs w:val="22"/>
        </w:rPr>
        <w:t xml:space="preserve">In port-Hamiltonian terms, this pattern reveals a two-stage pathophysiology. In the presymptomatic phase, the cortex shows a global shift in its dissipative balance—delta-band ρ is elevated cortex-wide, meaning slow oscillatory dynamics are uniformly closer to criticality (ρ → 1), with less dissipative headroom. The topographic gradient, however, is preserved: the relative dorsoventral organization remains intact. It is only with overt neurodegeneration—when temporal lobe circuits are physically damaged—that the gradient flattens. The disease trajectory in pH terms is: global destabilization first, regional collapse second.</w:t>
      </w:r>
    </w:p>
    <w:p>
      <w:pPr>
        <w:spacing w:before="300" w:after="100"/>
      </w:pPr>
      <w:r>
        <w:rPr>
          <w:rFonts w:ascii="Arial" w:cs="Arial" w:eastAsia="Arial" w:hAnsi="Arial"/>
          <w:b/>
          <w:bCs/>
          <w:sz w:val="22"/>
          <w:szCs w:val="22"/>
        </w:rPr>
        <w:t xml:space="preserve">Table 1. Summary of empirical findings across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200"/>
        <w:gridCol w:w="1200"/>
        <w:gridCol w:w="1100"/>
        <w:gridCol w:w="2160"/>
      </w:tblGrid>
      <w:tr>
        <w:tc>
          <w:tcPr>
            <w:tcW w:type="dxa" w:w="2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Cohort</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Comparison</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Band</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Cohen’s d</w:t>
            </w:r>
          </w:p>
        </w:tc>
        <w:tc>
          <w:tcPr>
            <w:tcW w:type="dxa" w:w="11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p</w:t>
            </w:r>
          </w:p>
        </w:tc>
        <w:tc>
          <w:tcPr>
            <w:tcW w:type="dxa" w:w="21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jc w:val="center"/>
            </w:pPr>
            <w:r>
              <w:rPr>
                <w:rFonts w:ascii="Arial" w:cs="Arial" w:eastAsia="Arial" w:hAnsi="Arial"/>
                <w:b/>
                <w:bCs/>
                <w:sz w:val="20"/>
                <w:szCs w:val="20"/>
              </w:rPr>
              <w:t xml:space="preserve">Interpretation</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Discovery (ds004504)</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Alpha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1.175</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&lt;0.0001</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flattened</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Beta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0.823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0.001</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flattened</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Cross-condition (ds006036)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Alpha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0.610</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0.019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Attenuated, persists</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AD vs Control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Beta</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0.807</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0.002</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Stable across conditions</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Preclinical (ds007427)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PSEN1+ vs Non-carrier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Delta (global)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0.917</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0.006</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Global ρ elevation</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PSEN1+ vs Non-carrier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All (gradient)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n.s.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&gt;0.29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Arial" w:cs="Arial" w:eastAsia="Arial" w:hAnsi="Arial"/>
                <w:b w:val="false"/>
                <w:bCs w:val="false"/>
                <w:sz w:val="20"/>
                <w:szCs w:val="20"/>
              </w:rPr>
              <w:t xml:space="preserve">Gradient intact</w:t>
            </w:r>
          </w:p>
        </w:tc>
      </w:tr>
    </w:tbl>
    <w:p>
      <w:r>
        <w:br w:type="page"/>
      </w:r>
    </w:p>
    <w:p>
      <w:pPr>
        <w:pStyle w:val="Heading1"/>
        <w:spacing w:before="360" w:after="200"/>
      </w:pPr>
      <w:r>
        <w:rPr>
          <w:rFonts w:ascii="Arial" w:cs="Arial" w:eastAsia="Arial" w:hAnsi="Arial"/>
          <w:b/>
          <w:bCs/>
          <w:sz w:val="28"/>
          <w:szCs w:val="28"/>
        </w:rPr>
        <w:t xml:space="preserve">Discussion</w:t>
      </w:r>
    </w:p>
    <w:p>
      <w:pPr>
        <w:spacing w:after="200" w:line="276"/>
        <w:jc w:val="both"/>
      </w:pPr>
      <w:r>
        <w:rPr>
          <w:rFonts w:ascii="Arial" w:cs="Arial" w:eastAsia="Arial" w:hAnsi="Arial"/>
          <w:sz w:val="22"/>
          <w:szCs w:val="22"/>
        </w:rPr>
        <w:t xml:space="preserve">We have demonstrated that the dorsoventral ρ gradient predicted by the port-Hamiltonian framework is (1) present in healthy EEG controls with frequency-specific organization matching MEG, (2) profoundly disrupted in clinical AD with a large effect size, (3) stable across recording conditions, (4) correlated with cognitive severity across the diagnostic spectrum, and (5) globally perturbed—but topographically intact—in presymptomatic PSEN1 mutation carriers decades before expected symptom onset.</w:t>
      </w:r>
    </w:p>
    <w:p>
      <w:pPr>
        <w:spacing w:after="200" w:line="276"/>
        <w:ind w:firstLine="360"/>
        <w:jc w:val="both"/>
      </w:pPr>
      <w:r>
        <w:rPr>
          <w:rFonts w:ascii="Arial" w:cs="Arial" w:eastAsia="Arial" w:hAnsi="Arial"/>
          <w:sz w:val="22"/>
          <w:szCs w:val="22"/>
        </w:rPr>
        <w:t xml:space="preserve">The convergence across modalities deserves emphasis. The healthy gradient structure observed in 19-channel scalp EEG (alpha ventral-dominant, theta dorsal-dominant) replicates the pattern from 275-channel source-reconstructed MEG (15), despite profound differences in spatial resolution, signal generation physics, and population demographics (Greek elderly vs. Dutch young adults). The skull acts as a spatial low-pass filter for electric fields but is transparent to magnetic fields; EEG therefore preferentially detects large-amplitude, spatially broad generators (predominantly alpha), while MEG faithfully resolves focal beta/gamma generators. This explains why MEG shows the strongest gradient in beta (r = −0.77) while EEG shows it in alpha (d = 1.175): the underlying gradient is broadband, but each modality is most sensitive to different frequency components. The consistency of the gradient across these disparate measurement conditions strengthens the inference that it reflects a genuine organizational property of cortex.</w:t>
      </w:r>
    </w:p>
    <w:p>
      <w:pPr>
        <w:spacing w:after="200" w:line="276"/>
        <w:ind w:firstLine="360"/>
        <w:jc w:val="both"/>
      </w:pPr>
      <w:r>
        <w:rPr>
          <w:rFonts w:ascii="Arial" w:cs="Arial" w:eastAsia="Arial" w:hAnsi="Arial"/>
          <w:sz w:val="22"/>
          <w:szCs w:val="22"/>
        </w:rPr>
        <w:t xml:space="preserve">The preclinical findings from the Colombian PSEN1 kindred reveal a dissociation that is informative for understanding disease pathophysiology. Presymptomatic carriers show globally elevated delta-band ρ (d = 0.92) but an intact dorsoventral gradient, whereas clinical AD patients show gradient flattening without a uniform global shift. In pH terms, the presymptomatic cortex is being pushed toward criticality—losing dissipative margin uniformly—before regional vulnerability produces the topographic disruption seen in clinical disease. This two-stage model (global destabilization → regional collapse) parallels the known biology: amyloid accumulation is diffuse and begins decades before symptoms, while tau-mediated neurodegeneration is regional and temporally coincident with clinical decline (23, 26). The ρ measures may thus capture different pathological processes at different disease stages: global ρ elevation reflecting amyloid-driven network hyperexcitability, and gradient flattening reflecting tau-mediated temporal lobe degeneration.</w:t>
      </w:r>
    </w:p>
    <w:p>
      <w:pPr>
        <w:spacing w:after="200" w:line="276"/>
        <w:ind w:firstLine="360"/>
        <w:jc w:val="both"/>
      </w:pPr>
      <w:r>
        <w:rPr>
          <w:rFonts w:ascii="Arial" w:cs="Arial" w:eastAsia="Arial" w:hAnsi="Arial"/>
          <w:sz w:val="22"/>
          <w:szCs w:val="22"/>
        </w:rPr>
        <w:t xml:space="preserve">The between-group but not within-group dose–response relationship (MMSE correlation significant across the full sample but absent within AD) indicates that the ρ gradient functions as a categorical biomarker rather than a continuous severity tracker. Once temporal cortex is sufficiently damaged to produce the AD phenotype, further cognitive decline—driven by spreading pathology to other regions—does not further flatten the already-disrupted gradient. This is consistent with the gradient reflecting a circuit-level structural property of the temporal lobe rather than a moment-to-moment index of cognitive function.</w:t>
      </w:r>
    </w:p>
    <w:p>
      <w:pPr>
        <w:spacing w:after="200" w:line="276"/>
        <w:ind w:firstLine="360"/>
        <w:jc w:val="both"/>
      </w:pPr>
      <w:r>
        <w:rPr>
          <w:rFonts w:ascii="Arial" w:cs="Arial" w:eastAsia="Arial" w:hAnsi="Arial"/>
          <w:b/>
          <w:bCs/>
          <w:sz w:val="22"/>
          <w:szCs w:val="22"/>
        </w:rPr>
        <w:t xml:space="preserve">Limitations. </w:t>
      </w:r>
      <w:r>
        <w:rPr>
          <w:rFonts w:ascii="Arial" w:cs="Arial" w:eastAsia="Arial" w:hAnsi="Arial"/>
          <w:sz w:val="22"/>
          <w:szCs w:val="22"/>
        </w:rPr>
        <w:t xml:space="preserve">The discovery and cross-condition cohorts share the same subjects, limiting independence. The preclinical cohort lacks MMSE variance for within-group correlation. Sample sizes are modest (88 discovery, 43 preclinical), and the 19-channel EEG montage provides limited spatial resolution for gradient estimation. The AR(2) model is a linear approximation to inherently nonlinear cortical dynamics; however, the toy model validation (r = −0.998) demonstrates that AR(2) faithfully recovers ρ from port-Hamiltonian systems across a wide parameter range. Future work should include larger independent replication cohorts, longitudinal tracking, and integration with amyloid/tau PET to establish the relationship between ρ measures and specific molecular pathologies.</w:t>
      </w:r>
    </w:p>
    <w:p>
      <w:pPr>
        <w:spacing w:after="200" w:line="276"/>
        <w:ind w:firstLine="360"/>
        <w:jc w:val="both"/>
      </w:pPr>
      <w:r>
        <w:rPr>
          <w:rFonts w:ascii="Arial" w:cs="Arial" w:eastAsia="Arial" w:hAnsi="Arial"/>
          <w:b/>
          <w:bCs/>
          <w:sz w:val="22"/>
          <w:szCs w:val="22"/>
        </w:rPr>
        <w:t xml:space="preserve">Outlook. </w:t>
      </w:r>
      <w:r>
        <w:rPr>
          <w:rFonts w:ascii="Arial" w:cs="Arial" w:eastAsia="Arial" w:hAnsi="Arial"/>
          <w:sz w:val="22"/>
          <w:szCs w:val="22"/>
        </w:rPr>
        <w:t xml:space="preserve">If replicated in larger, prospective cohorts, the ρ gradient offers a theoretically grounded, non-invasive biomarker measurable from routine scalp EEG—equipment available in virtually any clinic worldwide. A 5-minute resting-state recording, processed through the AR(2) pipeline, could yield a quantitative index of cortical dynamical health that complements existing molecular biomarkers. The port-Hamiltonian framework provides not merely a data-analytic tool but a mechanistic understanding of what the biomarker measures: the balance of energy-preserving and energy-dissipating dynamics in cortical circuits, and its disruption by disease.</w:t>
      </w:r>
    </w:p>
    <w:p>
      <w:r>
        <w:br w:type="page"/>
      </w:r>
    </w:p>
    <w:p>
      <w:pPr>
        <w:pStyle w:val="Heading1"/>
        <w:spacing w:before="360" w:after="200"/>
      </w:pPr>
      <w:r>
        <w:rPr>
          <w:rFonts w:ascii="Arial" w:cs="Arial" w:eastAsia="Arial" w:hAnsi="Arial"/>
          <w:b/>
          <w:bCs/>
          <w:sz w:val="28"/>
          <w:szCs w:val="28"/>
        </w:rPr>
        <w:t xml:space="preserve">Methods</w:t>
      </w:r>
    </w:p>
    <w:p>
      <w:pPr>
        <w:pStyle w:val="Heading2"/>
        <w:spacing w:before="280" w:after="160"/>
      </w:pPr>
      <w:r>
        <w:rPr>
          <w:rFonts w:ascii="Arial" w:cs="Arial" w:eastAsia="Arial" w:hAnsi="Arial"/>
          <w:b/>
          <w:bCs/>
          <w:sz w:val="24"/>
          <w:szCs w:val="24"/>
        </w:rPr>
        <w:t xml:space="preserve">Port-Hamiltonian E-I toy model</w:t>
      </w:r>
    </w:p>
    <w:p>
      <w:pPr>
        <w:spacing w:after="200" w:line="276"/>
        <w:jc w:val="both"/>
      </w:pPr>
      <w:r>
        <w:rPr>
          <w:rFonts w:ascii="Arial" w:cs="Arial" w:eastAsia="Arial" w:hAnsi="Arial"/>
          <w:sz w:val="22"/>
          <w:szCs w:val="22"/>
        </w:rPr>
        <w:t xml:space="preserve">A two-population excitatory–inhibitory circuit was modeled with dynamics matrix A</w:t>
      </w:r>
      <w:r>
        <w:rPr>
          <w:rFonts w:ascii="Arial" w:cs="Arial" w:eastAsia="Arial" w:hAnsi="Arial"/>
          <w:sz w:val="22"/>
          <w:szCs w:val="22"/>
          <w:vertAlign w:val="superscript"/>
        </w:rPr>
        <w:t xml:space="preserve">c</w:t>
      </w:r>
      <w:r>
        <w:rPr>
          <w:rFonts w:ascii="Arial" w:cs="Arial" w:eastAsia="Arial" w:hAnsi="Arial"/>
          <w:sz w:val="22"/>
          <w:szCs w:val="22"/>
        </w:rPr>
        <w:t xml:space="preserve"> = [[−1/τ</w:t>
      </w:r>
      <w:r>
        <w:rPr>
          <w:rFonts w:ascii="Arial" w:cs="Arial" w:eastAsia="Arial" w:hAnsi="Arial"/>
          <w:sz w:val="22"/>
          <w:szCs w:val="22"/>
          <w:vertAlign w:val="superscript"/>
        </w:rPr>
        <w:t xml:space="preserve">E</w:t>
      </w:r>
      <w:r>
        <w:rPr>
          <w:rFonts w:ascii="Arial" w:cs="Arial" w:eastAsia="Arial" w:hAnsi="Arial"/>
          <w:sz w:val="22"/>
          <w:szCs w:val="22"/>
        </w:rPr>
        <w:t xml:space="preserve"> + w</w:t>
      </w:r>
      <w:r>
        <w:rPr>
          <w:rFonts w:ascii="Arial" w:cs="Arial" w:eastAsia="Arial" w:hAnsi="Arial"/>
          <w:sz w:val="22"/>
          <w:szCs w:val="22"/>
          <w:vertAlign w:val="superscript"/>
        </w:rPr>
        <w:t xml:space="preserve">EE</w:t>
      </w:r>
      <w:r>
        <w:rPr>
          <w:rFonts w:ascii="Arial" w:cs="Arial" w:eastAsia="Arial" w:hAnsi="Arial"/>
          <w:sz w:val="22"/>
          <w:szCs w:val="22"/>
        </w:rPr>
        <w:t xml:space="preserve">, −w</w:t>
      </w:r>
      <w:r>
        <w:rPr>
          <w:rFonts w:ascii="Arial" w:cs="Arial" w:eastAsia="Arial" w:hAnsi="Arial"/>
          <w:sz w:val="22"/>
          <w:szCs w:val="22"/>
          <w:vertAlign w:val="superscript"/>
        </w:rPr>
        <w:t xml:space="preserve">EI</w:t>
      </w:r>
      <w:r>
        <w:rPr>
          <w:rFonts w:ascii="Arial" w:cs="Arial" w:eastAsia="Arial" w:hAnsi="Arial"/>
          <w:sz w:val="22"/>
          <w:szCs w:val="22"/>
        </w:rPr>
        <w:t xml:space="preserve">], [w</w:t>
      </w:r>
      <w:r>
        <w:rPr>
          <w:rFonts w:ascii="Arial" w:cs="Arial" w:eastAsia="Arial" w:hAnsi="Arial"/>
          <w:sz w:val="22"/>
          <w:szCs w:val="22"/>
          <w:vertAlign w:val="superscript"/>
        </w:rPr>
        <w:t xml:space="preserve">IE</w:t>
      </w:r>
      <w:r>
        <w:rPr>
          <w:rFonts w:ascii="Arial" w:cs="Arial" w:eastAsia="Arial" w:hAnsi="Arial"/>
          <w:sz w:val="22"/>
          <w:szCs w:val="22"/>
        </w:rPr>
        <w:t xml:space="preserve">, −1/τ</w:t>
      </w:r>
      <w:r>
        <w:rPr>
          <w:rFonts w:ascii="Arial" w:cs="Arial" w:eastAsia="Arial" w:hAnsi="Arial"/>
          <w:sz w:val="22"/>
          <w:szCs w:val="22"/>
          <w:vertAlign w:val="superscript"/>
        </w:rPr>
        <w:t xml:space="preserve">I</w:t>
      </w:r>
      <w:r>
        <w:rPr>
          <w:rFonts w:ascii="Arial" w:cs="Arial" w:eastAsia="Arial" w:hAnsi="Arial"/>
          <w:sz w:val="22"/>
          <w:szCs w:val="22"/>
        </w:rPr>
        <w:t xml:space="preserve"> − w</w:t>
      </w:r>
      <w:r>
        <w:rPr>
          <w:rFonts w:ascii="Arial" w:cs="Arial" w:eastAsia="Arial" w:hAnsi="Arial"/>
          <w:sz w:val="22"/>
          <w:szCs w:val="22"/>
          <w:vertAlign w:val="superscript"/>
        </w:rPr>
        <w:t xml:space="preserve">II</w:t>
      </w:r>
      <w:r>
        <w:rPr>
          <w:rFonts w:ascii="Arial" w:cs="Arial" w:eastAsia="Arial" w:hAnsi="Arial"/>
          <w:sz w:val="22"/>
          <w:szCs w:val="22"/>
        </w:rPr>
        <w:t xml:space="preserve">]], with w</w:t>
      </w:r>
      <w:r>
        <w:rPr>
          <w:rFonts w:ascii="Arial" w:cs="Arial" w:eastAsia="Arial" w:hAnsi="Arial"/>
          <w:sz w:val="22"/>
          <w:szCs w:val="22"/>
          <w:vertAlign w:val="superscript"/>
        </w:rPr>
        <w:t xml:space="preserve">EE</w:t>
      </w:r>
      <w:r>
        <w:rPr>
          <w:rFonts w:ascii="Arial" w:cs="Arial" w:eastAsia="Arial" w:hAnsi="Arial"/>
          <w:sz w:val="22"/>
          <w:szCs w:val="22"/>
        </w:rPr>
        <w:t xml:space="preserve"> = w</w:t>
      </w:r>
      <w:r>
        <w:rPr>
          <w:rFonts w:ascii="Arial" w:cs="Arial" w:eastAsia="Arial" w:hAnsi="Arial"/>
          <w:sz w:val="22"/>
          <w:szCs w:val="22"/>
          <w:vertAlign w:val="superscript"/>
        </w:rPr>
        <w:t xml:space="preserve">II</w:t>
      </w:r>
      <w:r>
        <w:rPr>
          <w:rFonts w:ascii="Arial" w:cs="Arial" w:eastAsia="Arial" w:hAnsi="Arial"/>
          <w:sz w:val="22"/>
          <w:szCs w:val="22"/>
        </w:rPr>
        <w:t xml:space="preserve"> = 5, τ</w:t>
      </w:r>
      <w:r>
        <w:rPr>
          <w:rFonts w:ascii="Arial" w:cs="Arial" w:eastAsia="Arial" w:hAnsi="Arial"/>
          <w:sz w:val="22"/>
          <w:szCs w:val="22"/>
          <w:vertAlign w:val="superscript"/>
        </w:rPr>
        <w:t xml:space="preserve">I</w:t>
      </w:r>
      <w:r>
        <w:rPr>
          <w:rFonts w:ascii="Arial" w:cs="Arial" w:eastAsia="Arial" w:hAnsi="Arial"/>
          <w:sz w:val="22"/>
          <w:szCs w:val="22"/>
        </w:rPr>
        <w:t xml:space="preserve"> = 10 ms. Coupling strengths w</w:t>
      </w:r>
      <w:r>
        <w:rPr>
          <w:rFonts w:ascii="Arial" w:cs="Arial" w:eastAsia="Arial" w:hAnsi="Arial"/>
          <w:sz w:val="22"/>
          <w:szCs w:val="22"/>
          <w:vertAlign w:val="superscript"/>
        </w:rPr>
        <w:t xml:space="preserve">EI</w:t>
      </w:r>
      <w:r>
        <w:rPr>
          <w:rFonts w:ascii="Arial" w:cs="Arial" w:eastAsia="Arial" w:hAnsi="Arial"/>
          <w:sz w:val="22"/>
          <w:szCs w:val="22"/>
        </w:rPr>
        <w:t xml:space="preserve"> = w</w:t>
      </w:r>
      <w:r>
        <w:rPr>
          <w:rFonts w:ascii="Arial" w:cs="Arial" w:eastAsia="Arial" w:hAnsi="Arial"/>
          <w:sz w:val="22"/>
          <w:szCs w:val="22"/>
          <w:vertAlign w:val="superscript"/>
        </w:rPr>
        <w:t xml:space="preserve">IE</w:t>
      </w:r>
      <w:r>
        <w:rPr>
          <w:rFonts w:ascii="Arial" w:cs="Arial" w:eastAsia="Arial" w:hAnsi="Arial"/>
          <w:sz w:val="22"/>
          <w:szCs w:val="22"/>
        </w:rPr>
        <w:t xml:space="preserve"> were swept from 15 to 70, and τ</w:t>
      </w:r>
      <w:r>
        <w:rPr>
          <w:rFonts w:ascii="Arial" w:cs="Arial" w:eastAsia="Arial" w:hAnsi="Arial"/>
          <w:sz w:val="22"/>
          <w:szCs w:val="22"/>
          <w:vertAlign w:val="superscript"/>
        </w:rPr>
        <w:t xml:space="preserve">E</w:t>
      </w:r>
      <w:r>
        <w:rPr>
          <w:rFonts w:ascii="Arial" w:cs="Arial" w:eastAsia="Arial" w:hAnsi="Arial"/>
          <w:sz w:val="22"/>
          <w:szCs w:val="22"/>
        </w:rPr>
        <w:t xml:space="preserve"> from 8 to 50 ms (64 combinations). The dynamics matrix was decomposed as A = S + K where S = (A + A</w:t>
      </w:r>
      <w:r>
        <w:rPr>
          <w:rFonts w:ascii="Arial" w:cs="Arial" w:eastAsia="Arial" w:hAnsi="Arial"/>
          <w:sz w:val="22"/>
          <w:szCs w:val="22"/>
          <w:vertAlign w:val="superscript"/>
        </w:rPr>
        <w:t xml:space="preserve">T</w:t>
      </w:r>
      <w:r>
        <w:rPr>
          <w:rFonts w:ascii="Arial" w:cs="Arial" w:eastAsia="Arial" w:hAnsi="Arial"/>
          <w:sz w:val="22"/>
          <w:szCs w:val="22"/>
        </w:rPr>
        <w:t xml:space="preserve">)/2 (symmetric, dissipative) and K = (A − A</w:t>
      </w:r>
      <w:r>
        <w:rPr>
          <w:rFonts w:ascii="Arial" w:cs="Arial" w:eastAsia="Arial" w:hAnsi="Arial"/>
          <w:sz w:val="22"/>
          <w:szCs w:val="22"/>
          <w:vertAlign w:val="superscript"/>
        </w:rPr>
        <w:t xml:space="preserve">T</w:t>
      </w:r>
      <w:r>
        <w:rPr>
          <w:rFonts w:ascii="Arial" w:cs="Arial" w:eastAsia="Arial" w:hAnsi="Arial"/>
          <w:sz w:val="22"/>
          <w:szCs w:val="22"/>
        </w:rPr>
        <w:t xml:space="preserve">)/2 (skew-symmetric, conservative). Discretization at dt = 1/256 s via matrix exponential yielded true ρ = max|eigenvalue(exp(A</w:t>
      </w:r>
      <w:r>
        <w:rPr>
          <w:rFonts w:ascii="Arial" w:cs="Arial" w:eastAsia="Arial" w:hAnsi="Arial"/>
          <w:sz w:val="22"/>
          <w:szCs w:val="22"/>
          <w:vertAlign w:val="superscript"/>
        </w:rPr>
        <w:t xml:space="preserve">c</w:t>
      </w:r>
      <w:r>
        <w:rPr>
          <w:rFonts w:ascii="Arial" w:cs="Arial" w:eastAsia="Arial" w:hAnsi="Arial"/>
          <w:sz w:val="22"/>
          <w:szCs w:val="22"/>
        </w:rPr>
        <w:t xml:space="preserve"> · dt))|. For each parameter combination, 10 seconds of noisy signal (noise SD = 0.05) were generated, and ρ was recovered via AR(2) fitting to the observed excitatory variable.</w:t>
      </w:r>
    </w:p>
    <w:p>
      <w:pPr>
        <w:pStyle w:val="Heading2"/>
        <w:spacing w:before="280" w:after="160"/>
      </w:pPr>
      <w:r>
        <w:rPr>
          <w:rFonts w:ascii="Arial" w:cs="Arial" w:eastAsia="Arial" w:hAnsi="Arial"/>
          <w:b/>
          <w:bCs/>
          <w:sz w:val="24"/>
          <w:szCs w:val="24"/>
        </w:rPr>
        <w:t xml:space="preserve">EEG datasets</w:t>
      </w:r>
    </w:p>
    <w:p>
      <w:pPr>
        <w:spacing w:after="200" w:line="276"/>
        <w:jc w:val="both"/>
      </w:pPr>
      <w:r>
        <w:rPr>
          <w:rFonts w:ascii="Arial" w:cs="Arial" w:eastAsia="Arial" w:hAnsi="Arial"/>
          <w:sz w:val="22"/>
          <w:szCs w:val="22"/>
        </w:rPr>
        <w:t xml:space="preserve">Discovery cohort (ds004504): 36 AD, 23 FTD, 29 controls. 19-channel 10–20 system, 500 Hz, resting eyes-closed (~5 min), Nihon Kohden equipment (24). Cross-condition (ds006036): Same subjects, eyes-open photic stimulation. Preclinical (ds007427): 27 PSEN1 E280A carriers, 16 non-carrier family members, 1 sporadic control. 57-channel 10–10 extended system, 1000 Hz (downsampled to 500 Hz), resting eyes-closed (~5 min), BrainVision equipment (25).</w:t>
      </w:r>
    </w:p>
    <w:p>
      <w:pPr>
        <w:pStyle w:val="Heading2"/>
        <w:spacing w:before="280" w:after="160"/>
      </w:pPr>
      <w:r>
        <w:rPr>
          <w:rFonts w:ascii="Arial" w:cs="Arial" w:eastAsia="Arial" w:hAnsi="Arial"/>
          <w:b/>
          <w:bCs/>
          <w:sz w:val="24"/>
          <w:szCs w:val="24"/>
        </w:rPr>
        <w:t xml:space="preserve">AR(2) eigenvalue modulus (ρ)</w:t>
      </w:r>
    </w:p>
    <w:p>
      <w:pPr>
        <w:spacing w:after="200" w:line="276"/>
        <w:jc w:val="both"/>
      </w:pPr>
      <w:r>
        <w:rPr>
          <w:rFonts w:ascii="Arial" w:cs="Arial" w:eastAsia="Arial" w:hAnsi="Arial"/>
          <w:sz w:val="22"/>
          <w:szCs w:val="22"/>
        </w:rPr>
        <w:t xml:space="preserve">For each channel and frequency band, the signal was bandpass filtered (4th-order Butterworth, zero-phase), segmented into 4-second epochs with 50% overlap, and z-scored within each epoch. A second-order autoregressive model x(t) = a</w:t>
      </w:r>
      <w:r>
        <w:rPr>
          <w:rFonts w:ascii="Arial" w:cs="Arial" w:eastAsia="Arial" w:hAnsi="Arial"/>
          <w:sz w:val="22"/>
          <w:szCs w:val="22"/>
          <w:vertAlign w:val="superscript"/>
        </w:rPr>
        <w:t xml:space="preserve">1</w:t>
      </w:r>
      <w:r>
        <w:rPr>
          <w:rFonts w:ascii="Arial" w:cs="Arial" w:eastAsia="Arial" w:hAnsi="Arial"/>
          <w:sz w:val="22"/>
          <w:szCs w:val="22"/>
        </w:rPr>
        <w:t xml:space="preserve">x(t−1) + a</w:t>
      </w:r>
      <w:r>
        <w:rPr>
          <w:rFonts w:ascii="Arial" w:cs="Arial" w:eastAsia="Arial" w:hAnsi="Arial"/>
          <w:sz w:val="22"/>
          <w:szCs w:val="22"/>
          <w:vertAlign w:val="superscript"/>
        </w:rPr>
        <w:t xml:space="preserve">2</w:t>
      </w:r>
      <w:r>
        <w:rPr>
          <w:rFonts w:ascii="Arial" w:cs="Arial" w:eastAsia="Arial" w:hAnsi="Arial"/>
          <w:sz w:val="22"/>
          <w:szCs w:val="22"/>
        </w:rPr>
        <w:t xml:space="preserve">x(t−2) + ε(t) was fit by ordinary least squares. The eigenvalue modulus ρ = max(|λ</w:t>
      </w:r>
      <w:r>
        <w:rPr>
          <w:rFonts w:ascii="Arial" w:cs="Arial" w:eastAsia="Arial" w:hAnsi="Arial"/>
          <w:sz w:val="22"/>
          <w:szCs w:val="22"/>
          <w:vertAlign w:val="superscript"/>
        </w:rPr>
        <w:t xml:space="preserve">1</w:t>
      </w:r>
      <w:r>
        <w:rPr>
          <w:rFonts w:ascii="Arial" w:cs="Arial" w:eastAsia="Arial" w:hAnsi="Arial"/>
          <w:sz w:val="22"/>
          <w:szCs w:val="22"/>
        </w:rPr>
        <w:t xml:space="preserve">|, |λ</w:t>
      </w:r>
      <w:r>
        <w:rPr>
          <w:rFonts w:ascii="Arial" w:cs="Arial" w:eastAsia="Arial" w:hAnsi="Arial"/>
          <w:sz w:val="22"/>
          <w:szCs w:val="22"/>
          <w:vertAlign w:val="superscript"/>
        </w:rPr>
        <w:t xml:space="preserve">2</w:t>
      </w:r>
      <w:r>
        <w:rPr>
          <w:rFonts w:ascii="Arial" w:cs="Arial" w:eastAsia="Arial" w:hAnsi="Arial"/>
          <w:sz w:val="22"/>
          <w:szCs w:val="22"/>
        </w:rPr>
        <w:t xml:space="preserve">|) was computed from the roots of the companion polynomial. Epochs with SD &lt; 10</w:t>
      </w:r>
      <w:r>
        <w:rPr>
          <w:rFonts w:ascii="Arial" w:cs="Arial" w:eastAsia="Arial" w:hAnsi="Arial"/>
          <w:sz w:val="22"/>
          <w:szCs w:val="22"/>
          <w:vertAlign w:val="superscript"/>
        </w:rPr>
        <w:t xml:space="preserve">−10</w:t>
      </w:r>
      <w:r>
        <w:rPr>
          <w:rFonts w:ascii="Arial" w:cs="Arial" w:eastAsia="Arial" w:hAnsi="Arial"/>
          <w:sz w:val="22"/>
          <w:szCs w:val="22"/>
        </w:rPr>
        <w:t xml:space="preserve"> or ρ outside (0, 1) were excluded. The subject-level ρ for each channel–band combination was the median across valid epochs.</w:t>
      </w:r>
    </w:p>
    <w:p>
      <w:pPr>
        <w:pStyle w:val="Heading2"/>
        <w:spacing w:before="280" w:after="160"/>
      </w:pPr>
      <w:r>
        <w:rPr>
          <w:rFonts w:ascii="Arial" w:cs="Arial" w:eastAsia="Arial" w:hAnsi="Arial"/>
          <w:b/>
          <w:bCs/>
          <w:sz w:val="24"/>
          <w:szCs w:val="24"/>
        </w:rPr>
        <w:t xml:space="preserve">Channel grouping and gradient computation</w:t>
      </w:r>
    </w:p>
    <w:p>
      <w:pPr>
        <w:spacing w:after="200" w:line="276"/>
        <w:jc w:val="both"/>
      </w:pPr>
      <w:r>
        <w:rPr>
          <w:rFonts w:ascii="Arial" w:cs="Arial" w:eastAsia="Arial" w:hAnsi="Arial"/>
          <w:sz w:val="22"/>
          <w:szCs w:val="22"/>
        </w:rPr>
        <w:t xml:space="preserve">For the 19-channel montage, channels were grouped as: dorsal (C3, Cz, C4), ventral temporal (T5, T6), lateral temporal (T3, T4), frontal (F3, Fz, F4), frontopolar (Fp1, Fp2), parietal (P3, Pz, P4), occipital (O1, O2). For the 57-channel montage, 12 groups were defined spanning the full dorsoventral axis. The DV gradient was computed as ρ(dorsal) − ρ(ventral temporal). Channel names were standardized across datasets (T7→T3, T8→T4, P7→T5, P8→T6; uppercase→mixed case). All datasets used a 60 Hz (Americas) or 50 Hz (Europe) notch filter and 0.5–45 Hz bandpass before analysis.</w:t>
      </w:r>
    </w:p>
    <w:p>
      <w:pPr>
        <w:pStyle w:val="Heading2"/>
        <w:spacing w:before="280" w:after="160"/>
      </w:pPr>
      <w:r>
        <w:rPr>
          <w:rFonts w:ascii="Arial" w:cs="Arial" w:eastAsia="Arial" w:hAnsi="Arial"/>
          <w:b/>
          <w:bCs/>
          <w:sz w:val="24"/>
          <w:szCs w:val="24"/>
        </w:rPr>
        <w:t xml:space="preserve">Statistical analysis</w:t>
      </w:r>
    </w:p>
    <w:p>
      <w:pPr>
        <w:spacing w:after="200" w:line="276"/>
        <w:jc w:val="both"/>
      </w:pPr>
      <w:r>
        <w:rPr>
          <w:rFonts w:ascii="Arial" w:cs="Arial" w:eastAsia="Arial" w:hAnsi="Arial"/>
          <w:sz w:val="22"/>
          <w:szCs w:val="22"/>
        </w:rPr>
        <w:t xml:space="preserve">Group comparisons used independent-samples </w:t>
      </w:r>
      <w:r>
        <w:rPr>
          <w:rFonts w:ascii="Arial" w:cs="Arial" w:eastAsia="Arial" w:hAnsi="Arial"/>
          <w:i/>
          <w:iCs/>
          <w:sz w:val="22"/>
          <w:szCs w:val="22"/>
        </w:rPr>
        <w:t xml:space="preserve">t</w:t>
      </w:r>
      <w:r>
        <w:rPr>
          <w:rFonts w:ascii="Arial" w:cs="Arial" w:eastAsia="Arial" w:hAnsi="Arial"/>
          <w:sz w:val="22"/>
          <w:szCs w:val="22"/>
        </w:rPr>
        <w:t xml:space="preserve">-tests with Cohen’s </w:t>
      </w:r>
      <w:r>
        <w:rPr>
          <w:rFonts w:ascii="Arial" w:cs="Arial" w:eastAsia="Arial" w:hAnsi="Arial"/>
          <w:i/>
          <w:iCs/>
          <w:sz w:val="22"/>
          <w:szCs w:val="22"/>
        </w:rPr>
        <w:t xml:space="preserve">d</w:t>
      </w:r>
      <w:r>
        <w:rPr>
          <w:rFonts w:ascii="Arial" w:cs="Arial" w:eastAsia="Arial" w:hAnsi="Arial"/>
          <w:sz w:val="22"/>
          <w:szCs w:val="22"/>
        </w:rPr>
        <w:t xml:space="preserve"> (pooled SD). Non-parametric Mann–Whitney </w:t>
      </w:r>
      <w:r>
        <w:rPr>
          <w:rFonts w:ascii="Arial" w:cs="Arial" w:eastAsia="Arial" w:hAnsi="Arial"/>
          <w:i/>
          <w:iCs/>
          <w:sz w:val="22"/>
          <w:szCs w:val="22"/>
        </w:rPr>
        <w:t xml:space="preserve">U</w:t>
      </w:r>
      <w:r>
        <w:rPr>
          <w:rFonts w:ascii="Arial" w:cs="Arial" w:eastAsia="Arial" w:hAnsi="Arial"/>
          <w:sz w:val="22"/>
          <w:szCs w:val="22"/>
        </w:rPr>
        <w:t xml:space="preserve"> tests were computed in parallel. Dose–response relationships used Spearman rank correlation (ρ</w:t>
      </w:r>
      <w:r>
        <w:rPr>
          <w:rFonts w:ascii="Arial" w:cs="Arial" w:eastAsia="Arial" w:hAnsi="Arial"/>
          <w:sz w:val="22"/>
          <w:szCs w:val="22"/>
          <w:vertAlign w:val="superscript"/>
        </w:rPr>
        <w:t xml:space="preserve">s</w:t>
      </w:r>
      <w:r>
        <w:rPr>
          <w:rFonts w:ascii="Arial" w:cs="Arial" w:eastAsia="Arial" w:hAnsi="Arial"/>
          <w:sz w:val="22"/>
          <w:szCs w:val="22"/>
        </w:rPr>
        <w:t xml:space="preserve">). One-sample </w:t>
      </w:r>
      <w:r>
        <w:rPr>
          <w:rFonts w:ascii="Arial" w:cs="Arial" w:eastAsia="Arial" w:hAnsi="Arial"/>
          <w:i/>
          <w:iCs/>
          <w:sz w:val="22"/>
          <w:szCs w:val="22"/>
        </w:rPr>
        <w:t xml:space="preserve">t</w:t>
      </w:r>
      <w:r>
        <w:rPr>
          <w:rFonts w:ascii="Arial" w:cs="Arial" w:eastAsia="Arial" w:hAnsi="Arial"/>
          <w:sz w:val="22"/>
          <w:szCs w:val="22"/>
        </w:rPr>
        <w:t xml:space="preserve">-tests assessed whether each group’s gradient differed from zero. Alpha band was designated as the primary outcome (pre-specified based on the discovery cohort’s strongest effect and the established sensitivity of alpha to AD); other bands were exploratory. All </w:t>
      </w:r>
      <w:r>
        <w:rPr>
          <w:rFonts w:ascii="Arial" w:cs="Arial" w:eastAsia="Arial" w:hAnsi="Arial"/>
          <w:i/>
          <w:iCs/>
          <w:sz w:val="22"/>
          <w:szCs w:val="22"/>
        </w:rPr>
        <w:t xml:space="preserve">p</w:t>
      </w:r>
      <w:r>
        <w:rPr>
          <w:rFonts w:ascii="Arial" w:cs="Arial" w:eastAsia="Arial" w:hAnsi="Arial"/>
          <w:sz w:val="22"/>
          <w:szCs w:val="22"/>
        </w:rPr>
        <w:t xml:space="preserve">-values are two-tailed and uncorrected for the primary comparison; secondary band comparisons would require FDR correction in a confirmatory analysis.</w:t>
      </w:r>
    </w:p>
    <w:p>
      <w:r>
        <w:br w:type="page"/>
      </w:r>
    </w:p>
    <w:p>
      <w:pPr>
        <w:pStyle w:val="Heading1"/>
        <w:spacing w:before="360" w:after="200"/>
      </w:pPr>
      <w:r>
        <w:rPr>
          <w:rFonts w:ascii="Arial" w:cs="Arial" w:eastAsia="Arial" w:hAnsi="Arial"/>
          <w:b/>
          <w:bCs/>
          <w:sz w:val="28"/>
          <w:szCs w:val="28"/>
        </w:rPr>
        <w:t xml:space="preserve">References</w:t>
      </w:r>
    </w:p>
    <w:p>
      <w:pPr>
        <w:spacing w:after="80"/>
        <w:ind w:left="360" w:hanging="360"/>
      </w:pPr>
      <w:r>
        <w:rPr>
          <w:rFonts w:ascii="Arial" w:cs="Arial" w:eastAsia="Arial" w:hAnsi="Arial"/>
          <w:sz w:val="20"/>
          <w:szCs w:val="20"/>
        </w:rPr>
        <w:t xml:space="preserve">1. Margulies DS, et al. (2016) Situating the default-mode network along a principal gradient of macroscale cortical organization. PNAS 113:12574–12579.</w:t>
      </w:r>
    </w:p>
    <w:p>
      <w:pPr>
        <w:spacing w:after="80"/>
        <w:ind w:left="360" w:hanging="360"/>
      </w:pPr>
      <w:r>
        <w:rPr>
          <w:rFonts w:ascii="Arial" w:cs="Arial" w:eastAsia="Arial" w:hAnsi="Arial"/>
          <w:sz w:val="20"/>
          <w:szCs w:val="20"/>
        </w:rPr>
        <w:t xml:space="preserve">2. Murray JD, et al. (2014) A hierarchy of intrinsic timescales across primate cortex. Nat Neurosci 17:1661–1663.</w:t>
      </w:r>
    </w:p>
    <w:p>
      <w:pPr>
        <w:spacing w:after="80"/>
        <w:ind w:left="360" w:hanging="360"/>
      </w:pPr>
      <w:r>
        <w:rPr>
          <w:rFonts w:ascii="Arial" w:cs="Arial" w:eastAsia="Arial" w:hAnsi="Arial"/>
          <w:sz w:val="20"/>
          <w:szCs w:val="20"/>
        </w:rPr>
        <w:t xml:space="preserve">3. Honey CJ, et al. (2012) Slow cortical dynamics and the accumulation of information over long timescales. Neuron 76:423–434.</w:t>
      </w:r>
    </w:p>
    <w:p>
      <w:pPr>
        <w:spacing w:after="80"/>
        <w:ind w:left="360" w:hanging="360"/>
      </w:pPr>
      <w:r>
        <w:rPr>
          <w:rFonts w:ascii="Arial" w:cs="Arial" w:eastAsia="Arial" w:hAnsi="Arial"/>
          <w:sz w:val="20"/>
          <w:szCs w:val="20"/>
        </w:rPr>
        <w:t xml:space="preserve">4. Glasser MF, Van Essen DC (2011) Mapping human cortical areas in vivo based on myelin content. J Neurosci 31:11597–11616.</w:t>
      </w:r>
    </w:p>
    <w:p>
      <w:pPr>
        <w:spacing w:after="80"/>
        <w:ind w:left="360" w:hanging="360"/>
      </w:pPr>
      <w:r>
        <w:rPr>
          <w:rFonts w:ascii="Arial" w:cs="Arial" w:eastAsia="Arial" w:hAnsi="Arial"/>
          <w:sz w:val="20"/>
          <w:szCs w:val="20"/>
        </w:rPr>
        <w:t xml:space="preserve">5. Burt JB, et al. (2018) Hierarchy of transcriptomic specialization across human cortex. Nat Neurosci 21:1251–1259.</w:t>
      </w:r>
    </w:p>
    <w:p>
      <w:pPr>
        <w:spacing w:after="80"/>
        <w:ind w:left="360" w:hanging="360"/>
      </w:pPr>
      <w:r>
        <w:rPr>
          <w:rFonts w:ascii="Arial" w:cs="Arial" w:eastAsia="Arial" w:hAnsi="Arial"/>
          <w:sz w:val="20"/>
          <w:szCs w:val="20"/>
        </w:rPr>
        <w:t xml:space="preserve">6. Huntenburg JM, Bazin P-L, Margulies DS (2018) Large-scale gradients in human cortical organization. Trends Cogn Sci 22:21–31.</w:t>
      </w:r>
    </w:p>
    <w:p>
      <w:pPr>
        <w:spacing w:after="80"/>
        <w:ind w:left="360" w:hanging="360"/>
      </w:pPr>
      <w:r>
        <w:rPr>
          <w:rFonts w:ascii="Arial" w:cs="Arial" w:eastAsia="Arial" w:hAnsi="Arial"/>
          <w:sz w:val="20"/>
          <w:szCs w:val="20"/>
        </w:rPr>
        <w:t xml:space="preserve">7. Ungerleider LG, Mishkin M (1982) Two cortical visual systems. In Analysis of Visual Behavior (MIT Press), pp 549–586.</w:t>
      </w:r>
    </w:p>
    <w:p>
      <w:pPr>
        <w:spacing w:after="80"/>
        <w:ind w:left="360" w:hanging="360"/>
      </w:pPr>
      <w:r>
        <w:rPr>
          <w:rFonts w:ascii="Arial" w:cs="Arial" w:eastAsia="Arial" w:hAnsi="Arial"/>
          <w:sz w:val="20"/>
          <w:szCs w:val="20"/>
        </w:rPr>
        <w:t xml:space="preserve">8. Goodale MA, Milner AD (1992) Separate visual pathways for perception and action. Trends Neurosci 15:20–25.</w:t>
      </w:r>
    </w:p>
    <w:p>
      <w:pPr>
        <w:spacing w:after="80"/>
        <w:ind w:left="360" w:hanging="360"/>
      </w:pPr>
      <w:r>
        <w:rPr>
          <w:rFonts w:ascii="Arial" w:cs="Arial" w:eastAsia="Arial" w:hAnsi="Arial"/>
          <w:sz w:val="20"/>
          <w:szCs w:val="20"/>
        </w:rPr>
        <w:t xml:space="preserve">9. Kravitz DJ, et al. (2013) The ventral visual pathway: an expanded neural framework. Trends Cogn Sci 17:26–49.</w:t>
      </w:r>
    </w:p>
    <w:p>
      <w:pPr>
        <w:spacing w:after="80"/>
        <w:ind w:left="360" w:hanging="360"/>
      </w:pPr>
      <w:r>
        <w:rPr>
          <w:rFonts w:ascii="Arial" w:cs="Arial" w:eastAsia="Arial" w:hAnsi="Arial"/>
          <w:sz w:val="20"/>
          <w:szCs w:val="20"/>
        </w:rPr>
        <w:t xml:space="preserve">10. de Haan EHF, Cowey A (2011) On the usefulness of ‘what’ and ‘where’ pathways in vision. Trends Cogn Sci 15:460–466.</w:t>
      </w:r>
    </w:p>
    <w:p>
      <w:pPr>
        <w:spacing w:after="80"/>
        <w:ind w:left="360" w:hanging="360"/>
      </w:pPr>
      <w:r>
        <w:rPr>
          <w:rFonts w:ascii="Arial" w:cs="Arial" w:eastAsia="Arial" w:hAnsi="Arial"/>
          <w:sz w:val="20"/>
          <w:szCs w:val="20"/>
        </w:rPr>
        <w:t xml:space="preserve">11. van der Schaft AJ, Jeltsema D (2014) Port-Hamiltonian systems theory: An introductory overview. Found Trends Syst Control 1:173–378.</w:t>
      </w:r>
    </w:p>
    <w:p>
      <w:pPr>
        <w:spacing w:after="80"/>
        <w:ind w:left="360" w:hanging="360"/>
      </w:pPr>
      <w:r>
        <w:rPr>
          <w:rFonts w:ascii="Arial" w:cs="Arial" w:eastAsia="Arial" w:hAnsi="Arial"/>
          <w:sz w:val="20"/>
          <w:szCs w:val="20"/>
        </w:rPr>
        <w:t xml:space="preserve">12. Duindam V, et al., eds (2009) Modeling and Control of Complex Physical Systems: The Port-Hamiltonian Approach (Springer).</w:t>
      </w:r>
    </w:p>
    <w:p>
      <w:pPr>
        <w:spacing w:after="80"/>
        <w:ind w:left="360" w:hanging="360"/>
      </w:pPr>
      <w:r>
        <w:rPr>
          <w:rFonts w:ascii="Arial" w:cs="Arial" w:eastAsia="Arial" w:hAnsi="Arial"/>
          <w:sz w:val="20"/>
          <w:szCs w:val="20"/>
        </w:rPr>
        <w:t xml:space="preserve">13. Fisher RA (1925) Theory of statistical estimation. Math Proc Cambridge Philos Soc 22:700–725.</w:t>
      </w:r>
    </w:p>
    <w:p>
      <w:pPr>
        <w:spacing w:after="80"/>
        <w:ind w:left="360" w:hanging="360"/>
      </w:pPr>
      <w:r>
        <w:rPr>
          <w:rFonts w:ascii="Arial" w:cs="Arial" w:eastAsia="Arial" w:hAnsi="Arial"/>
          <w:sz w:val="20"/>
          <w:szCs w:val="20"/>
        </w:rPr>
        <w:t xml:space="preserve">14. Brunel N, Nadal J-P (1998) Mutual information, Fisher information, and population coding. Neural Comput 10:1731–1757.</w:t>
      </w:r>
    </w:p>
    <w:p>
      <w:pPr>
        <w:spacing w:after="80"/>
        <w:ind w:left="360" w:hanging="360"/>
      </w:pPr>
      <w:r>
        <w:rPr>
          <w:rFonts w:ascii="Arial" w:cs="Arial" w:eastAsia="Arial" w:hAnsi="Arial"/>
          <w:sz w:val="20"/>
          <w:szCs w:val="20"/>
        </w:rPr>
        <w:t xml:space="preserve">15. Salardini A, et al. (2026) A dorsoventral gradient of rotational dynamics in human cortex. Nature Neuroscience [submitted].</w:t>
      </w:r>
    </w:p>
    <w:p>
      <w:pPr>
        <w:spacing w:after="80"/>
        <w:ind w:left="360" w:hanging="360"/>
      </w:pPr>
      <w:r>
        <w:rPr>
          <w:rFonts w:ascii="Arial" w:cs="Arial" w:eastAsia="Arial" w:hAnsi="Arial"/>
          <w:sz w:val="20"/>
          <w:szCs w:val="20"/>
        </w:rPr>
        <w:t xml:space="preserve">16. Ma WJ, et al. (2006) Bayesian inference with probabilistic population codes. Nat Neurosci 9:1432–1438.</w:t>
      </w:r>
    </w:p>
    <w:p>
      <w:pPr>
        <w:spacing w:after="80"/>
        <w:ind w:left="360" w:hanging="360"/>
      </w:pPr>
      <w:r>
        <w:rPr>
          <w:rFonts w:ascii="Arial" w:cs="Arial" w:eastAsia="Arial" w:hAnsi="Arial"/>
          <w:sz w:val="20"/>
          <w:szCs w:val="20"/>
        </w:rPr>
        <w:t xml:space="preserve">17. Friston K (2010) The free-energy principle: a unified brain theory? Nat Rev Neurosci 11:127–138.</w:t>
      </w:r>
    </w:p>
    <w:p>
      <w:pPr>
        <w:spacing w:after="80"/>
        <w:ind w:left="360" w:hanging="360"/>
      </w:pPr>
      <w:r>
        <w:rPr>
          <w:rFonts w:ascii="Arial" w:cs="Arial" w:eastAsia="Arial" w:hAnsi="Arial"/>
          <w:sz w:val="20"/>
          <w:szCs w:val="20"/>
        </w:rPr>
        <w:t xml:space="preserve">18. Singer W, Gray CM (1995) Visual feature integration and the temporal correlation hypothesis. Annu Rev Neurosci 18:555–586.</w:t>
      </w:r>
    </w:p>
    <w:p>
      <w:pPr>
        <w:spacing w:after="80"/>
        <w:ind w:left="360" w:hanging="360"/>
      </w:pPr>
      <w:r>
        <w:rPr>
          <w:rFonts w:ascii="Arial" w:cs="Arial" w:eastAsia="Arial" w:hAnsi="Arial"/>
          <w:sz w:val="20"/>
          <w:szCs w:val="20"/>
        </w:rPr>
        <w:t xml:space="preserve">19. Fries P (2015) Rhythms for cognition: communication through coherence. Neuron 88:220–235.</w:t>
      </w:r>
    </w:p>
    <w:p>
      <w:pPr>
        <w:spacing w:after="80"/>
        <w:ind w:left="360" w:hanging="360"/>
      </w:pPr>
      <w:r>
        <w:rPr>
          <w:rFonts w:ascii="Arial" w:cs="Arial" w:eastAsia="Arial" w:hAnsi="Arial"/>
          <w:sz w:val="20"/>
          <w:szCs w:val="20"/>
        </w:rPr>
        <w:t xml:space="preserve">20. Orbán G, et al. (2016) Neural variability and sampling-based probabilistic representations in the visual cortex. Neuron 92:530–543.</w:t>
      </w:r>
    </w:p>
    <w:p>
      <w:pPr>
        <w:spacing w:after="80"/>
        <w:ind w:left="360" w:hanging="360"/>
      </w:pPr>
      <w:r>
        <w:rPr>
          <w:rFonts w:ascii="Arial" w:cs="Arial" w:eastAsia="Arial" w:hAnsi="Arial"/>
          <w:sz w:val="20"/>
          <w:szCs w:val="20"/>
        </w:rPr>
        <w:t xml:space="preserve">21. Guarino D, et al. (2023) Reproducible cortical firing patterns emerge without strong recurrent connectivity. Nature.</w:t>
      </w:r>
    </w:p>
    <w:p>
      <w:pPr>
        <w:spacing w:after="80"/>
        <w:ind w:left="360" w:hanging="360"/>
      </w:pPr>
      <w:r>
        <w:rPr>
          <w:rFonts w:ascii="Arial" w:cs="Arial" w:eastAsia="Arial" w:hAnsi="Arial"/>
          <w:sz w:val="20"/>
          <w:szCs w:val="20"/>
        </w:rPr>
        <w:t xml:space="preserve">22. Braak H, Braak E (1991) Neuropathological stageing of Alzheimer-related changes. Acta Neuropathol 82:239–259.</w:t>
      </w:r>
    </w:p>
    <w:p>
      <w:pPr>
        <w:spacing w:after="80"/>
        <w:ind w:left="360" w:hanging="360"/>
      </w:pPr>
      <w:r>
        <w:rPr>
          <w:rFonts w:ascii="Arial" w:cs="Arial" w:eastAsia="Arial" w:hAnsi="Arial"/>
          <w:sz w:val="20"/>
          <w:szCs w:val="20"/>
        </w:rPr>
        <w:t xml:space="preserve">23. Cordoni F, et al. (2022) Stochastic port-Hamiltonian systems. J Nonlinear Sci 32:65.</w:t>
      </w:r>
    </w:p>
    <w:p>
      <w:pPr>
        <w:spacing w:after="80"/>
        <w:ind w:left="360" w:hanging="360"/>
      </w:pPr>
      <w:r>
        <w:rPr>
          <w:rFonts w:ascii="Arial" w:cs="Arial" w:eastAsia="Arial" w:hAnsi="Arial"/>
          <w:sz w:val="20"/>
          <w:szCs w:val="20"/>
        </w:rPr>
        <w:t xml:space="preserve">24. Miltiadous A, et al. (2023) A dataset of EEG recordings from Alzheimer’s disease, Frontotemporal dementia, and Healthy subjects. Sci Data 10:862.</w:t>
      </w:r>
    </w:p>
    <w:p>
      <w:pPr>
        <w:spacing w:after="80"/>
        <w:ind w:left="360" w:hanging="360"/>
      </w:pPr>
      <w:r>
        <w:rPr>
          <w:rFonts w:ascii="Arial" w:cs="Arial" w:eastAsia="Arial" w:hAnsi="Arial"/>
          <w:sz w:val="20"/>
          <w:szCs w:val="20"/>
        </w:rPr>
        <w:t xml:space="preserve">25. Henao Isaza V, et al. (2025) Comprehensive methodology for sample enrichment in EEG biomarker studies for Alzheimer’s risk classification. PLOS ONE.</w:t>
      </w:r>
    </w:p>
    <w:p>
      <w:pPr>
        <w:spacing w:after="80"/>
        <w:ind w:left="360" w:hanging="360"/>
      </w:pPr>
      <w:r>
        <w:rPr>
          <w:rFonts w:ascii="Arial" w:cs="Arial" w:eastAsia="Arial" w:hAnsi="Arial"/>
          <w:sz w:val="20"/>
          <w:szCs w:val="20"/>
        </w:rPr>
        <w:t xml:space="preserve">26. Jack CR Jr, et al. (2010) Hypothetical model of dynamic biomarkers of the Alzheimer’s pathological cascade. Lancet Neurol 9:119–128.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2026-03-04T04:22:09.505Z</dcterms:created>
  <dcterms:modified xsi:type="dcterms:W3CDTF">2026-03-04T04:22:09.506Z</dcterms:modified>
</cp:coreProperties>
</file>

<file path=docProps/custom.xml><?xml version="1.0" encoding="utf-8"?>
<Properties xmlns="http://schemas.openxmlformats.org/officeDocument/2006/custom-properties" xmlns:vt="http://schemas.openxmlformats.org/officeDocument/2006/docPropsVTypes"/>
</file>