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6"/>
        <w:jc w:val="center"/>
      </w:pPr>
      <w:r>
        <w:rPr>
          <w:b/>
          <w:bCs/>
          <w:color w:val="FF0000"/>
          <w:sz w:val="20"/>
          <w:szCs w:val="20"/>
        </w:rPr>
        <w:t xml:space="preserve">DRAFT — FOR DISCUSSION</w:t>
      </w:r>
    </w:p>
    <w:p>
      <w:pPr>
        <w:spacing w:after="80"/>
      </w:pPr>
    </w:p>
    <w:p>
      <w:pPr>
        <w:spacing w:after="60"/>
        <w:jc w:val="center"/>
      </w:pPr>
      <w:r>
        <w:rPr>
          <w:b/>
          <w:bCs/>
          <w:sz w:val="36"/>
          <w:szCs w:val="36"/>
        </w:rPr>
        <w:t xml:space="preserve">Cortex as a Graded Port-Hamiltonian System:</w:t>
      </w:r>
    </w:p>
    <w:p>
      <w:pPr>
        <w:spacing w:after="60"/>
        <w:jc w:val="center"/>
      </w:pPr>
      <w:r>
        <w:rPr>
          <w:b/>
          <w:bCs/>
          <w:sz w:val="36"/>
          <w:szCs w:val="36"/>
        </w:rPr>
        <w:t xml:space="preserve">Dissipation Gradients, Fisher Information, and the</w:t>
      </w:r>
    </w:p>
    <w:p>
      <w:pPr>
        <w:spacing w:after="200"/>
        <w:jc w:val="center"/>
      </w:pPr>
      <w:r>
        <w:rPr>
          <w:b/>
          <w:bCs/>
          <w:sz w:val="36"/>
          <w:szCs w:val="36"/>
        </w:rPr>
        <w:t xml:space="preserve">Eigenvalue Architecture of Human Brain Dynamics</w:t>
      </w:r>
    </w:p>
    <w:p>
      <w:pPr>
        <w:spacing w:after="40"/>
        <w:jc w:val="center"/>
      </w:pPr>
      <w:r>
        <w:rPr>
          <w:sz w:val="24"/>
          <w:szCs w:val="24"/>
        </w:rPr>
        <w:t xml:space="preserve">Arash Salardini</w:t>
      </w:r>
    </w:p>
    <w:p>
      <w:pPr>
        <w:spacing w:after="20"/>
        <w:jc w:val="center"/>
      </w:pPr>
      <w:r>
        <w:rPr>
          <w:color w:val="555555"/>
          <w:sz w:val="20"/>
          <w:szCs w:val="20"/>
        </w:rPr>
        <w:t xml:space="preserve">Division of Cognitive and Behavioral Neurology</w:t>
      </w:r>
    </w:p>
    <w:p>
      <w:pPr>
        <w:spacing w:after="20"/>
        <w:jc w:val="center"/>
      </w:pPr>
      <w:r>
        <w:rPr>
          <w:color w:val="555555"/>
          <w:sz w:val="20"/>
          <w:szCs w:val="20"/>
        </w:rPr>
        <w:t xml:space="preserve">Glenn Biggs Institute for Alzheimer’s &amp; Neurodegenerative Diseases</w:t>
      </w:r>
    </w:p>
    <w:p>
      <w:pPr>
        <w:spacing w:after="300"/>
        <w:jc w:val="center"/>
      </w:pPr>
      <w:r>
        <w:rPr>
          <w:color w:val="555555"/>
          <w:sz w:val="20"/>
          <w:szCs w:val="20"/>
        </w:rPr>
        <w:t xml:space="preserve">UT Health San Antonio</w:t>
      </w:r>
    </w:p>
    <w:p>
      <w:pPr>
        <w:pStyle w:val="Heading1"/>
      </w:pPr>
      <w:r>
        <w:rPr>
          <w:b/>
          <w:bCs/>
        </w:rPr>
        <w:t xml:space="preserve">Significance Statement</w:t>
      </w:r>
    </w:p>
    <w:p>
      <w:pPr>
        <w:spacing w:after="160" w:line="276"/>
      </w:pPr>
      <w:r>
        <w:t xml:space="preserve">The human cortex is not divided into discrete processing modules. It is a continuous dynamical system whose computational properties vary smoothly across its surface. We propose that this organization is captured by a port-Hamiltonian framework in which a single equation—parameterized by spatially varying interconnection and dissipation matrices—generates the full diversity of cortical dynamical regimes. The Hamiltonian is defined not as metabolic energy but as Fisher information, linking dynamics to computation. Recent magnetoencephalographic measurements of rotational persistence (ρ) across the dorsoventral axis provide the first empirical constraint on the dissipation structure. This framework yields testable predictions for how neurodegenerative disease disrupts cortical dynamics and may enable non-invasive dynamical biomarkers for Alzheimer’s disease.</w:t>
      </w:r>
    </w:p>
    <w:p>
      <w:r>
        <w:br w:type="page"/>
      </w:r>
    </w:p>
    <w:p>
      <w:pPr>
        <w:pStyle w:val="Heading1"/>
      </w:pPr>
      <w:r>
        <w:rPr>
          <w:b/>
          <w:bCs/>
        </w:rPr>
        <w:t xml:space="preserve">Abstract</w:t>
      </w:r>
    </w:p>
    <w:p>
      <w:pPr>
        <w:spacing w:after="160" w:line="276"/>
      </w:pPr>
      <w:r>
        <w:t xml:space="preserve">The classical division of visual cortex into discrete dorsal and ventral processing streams fails to account for the smooth, graded variation in functional properties observed across the cortical surface. Here we propose a unifying mathematical framework based on port-Hamiltonian (pH) systems, in which cortical dynamics are governed by the equation </w:t>
      </w:r>
      <w:r>
        <w:rPr>
          <w:rFonts w:ascii="Cambria Math" w:cs="Cambria Math" w:eastAsia="Cambria Math" w:hAnsi="Cambria Math"/>
          <w:i/>
          <w:iCs/>
          <w:sz w:val="24"/>
          <w:szCs w:val="24"/>
        </w:rPr>
        <w:t xml:space="preserve">dx/dt = [J(r) − R(r)]∇H(x) + g(u)</w:t>
      </w:r>
      <w:r>
        <w:t xml:space="preserve">. The skew-symmetric interconnection matrix </w:t>
      </w:r>
      <w:r>
        <w:rPr>
          <w:rFonts w:ascii="Cambria Math" w:cs="Cambria Math" w:eastAsia="Cambria Math" w:hAnsi="Cambria Math"/>
          <w:i/>
          <w:iCs/>
          <w:sz w:val="24"/>
          <w:szCs w:val="24"/>
        </w:rPr>
        <w:t xml:space="preserve">J(r)</w:t>
      </w:r>
      <w:r>
        <w:t xml:space="preserve"> and the positive-semidefinite dissipation matrix </w:t>
      </w:r>
      <w:r>
        <w:rPr>
          <w:rFonts w:ascii="Cambria Math" w:cs="Cambria Math" w:eastAsia="Cambria Math" w:hAnsi="Cambria Math"/>
          <w:i/>
          <w:iCs/>
          <w:sz w:val="24"/>
          <w:szCs w:val="24"/>
        </w:rPr>
        <w:t xml:space="preserve">R(r)</w:t>
      </w:r>
      <w:r>
        <w:t xml:space="preserve"> vary continuously across cortical position </w:t>
      </w:r>
      <w:r>
        <w:rPr>
          <w:rFonts w:ascii="Cambria Math" w:cs="Cambria Math" w:eastAsia="Cambria Math" w:hAnsi="Cambria Math"/>
          <w:i/>
          <w:iCs/>
          <w:sz w:val="24"/>
          <w:szCs w:val="24"/>
        </w:rPr>
        <w:t xml:space="preserve">r</w:t>
      </w:r>
      <w:r>
        <w:t xml:space="preserve">, replacing discrete stream boundaries with a smooth gradient of dynamical regimes. We define the Hamiltonian </w:t>
      </w:r>
      <w:r>
        <w:rPr>
          <w:rFonts w:ascii="Cambria Math" w:cs="Cambria Math" w:eastAsia="Cambria Math" w:hAnsi="Cambria Math"/>
          <w:i/>
          <w:iCs/>
          <w:sz w:val="24"/>
          <w:szCs w:val="24"/>
        </w:rPr>
        <w:t xml:space="preserve">H</w:t>
      </w:r>
      <w:r>
        <w:t xml:space="preserve"> as Fisher information, linking the system’s energy to the precision of neural representations rather than to metabolic cost. This identification connects the pH framework to information geometry and Bayesian computation.</w:t>
      </w:r>
    </w:p>
    <w:p>
      <w:pPr>
        <w:spacing w:after="160" w:line="276"/>
      </w:pPr>
      <w:r>
        <w:t xml:space="preserve">We show that the recently discovered dorsoventral gradient in eigenvalue modulus (ρ) from human magnetoencephalography directly constrains the ratio of </w:t>
      </w:r>
      <w:r>
        <w:rPr>
          <w:rFonts w:ascii="Cambria Math" w:cs="Cambria Math" w:eastAsia="Cambria Math" w:hAnsi="Cambria Math"/>
          <w:i/>
          <w:iCs/>
          <w:sz w:val="24"/>
          <w:szCs w:val="24"/>
        </w:rPr>
        <w:t xml:space="preserve">J</w:t>
      </w:r>
      <w:r>
        <w:t xml:space="preserve"> to </w:t>
      </w:r>
      <w:r>
        <w:rPr>
          <w:rFonts w:ascii="Cambria Math" w:cs="Cambria Math" w:eastAsia="Cambria Math" w:hAnsi="Cambria Math"/>
          <w:i/>
          <w:iCs/>
          <w:sz w:val="24"/>
          <w:szCs w:val="24"/>
        </w:rPr>
        <w:t xml:space="preserve">R</w:t>
      </w:r>
      <w:r>
        <w:t xml:space="preserve"> across cortex: high ρ in ventral regions reflects </w:t>
      </w:r>
      <w:r>
        <w:rPr>
          <w:rFonts w:ascii="Cambria Math" w:cs="Cambria Math" w:eastAsia="Cambria Math" w:hAnsi="Cambria Math"/>
          <w:i/>
          <w:iCs/>
          <w:sz w:val="24"/>
          <w:szCs w:val="24"/>
        </w:rPr>
        <w:t xml:space="preserve">J</w:t>
      </w:r>
      <w:r>
        <w:t xml:space="preserve">-dominated (oscillatory, trajectory-preserving) dynamics, while low ρ in dorsal regions reflects </w:t>
      </w:r>
      <w:r>
        <w:rPr>
          <w:rFonts w:ascii="Cambria Math" w:cs="Cambria Math" w:eastAsia="Cambria Math" w:hAnsi="Cambria Math"/>
          <w:i/>
          <w:iCs/>
          <w:sz w:val="24"/>
          <w:szCs w:val="24"/>
        </w:rPr>
        <w:t xml:space="preserve">R</w:t>
      </w:r>
      <w:r>
        <w:t xml:space="preserve">-dominated (dissipative, rapidly converging) dynamics. The framework makes five testable predictions, including the specific pattern by which Alzheimer’s disease should disrupt the ρ gradient and how transcranial magnetic stimulation should differentially perturb dorsal versus ventral dynamics. We argue that port-Hamiltonian mechanics provides a natural language for cortical computation because it inherently encodes the properties that neural circuits must satisfy: stability, compositionality, and structured energy exchange through bidirectional connections.</w:t>
      </w:r>
    </w:p>
    <w:p>
      <w:r>
        <w:br w:type="page"/>
      </w:r>
    </w:p>
    <w:p>
      <w:pPr>
        <w:pStyle w:val="Heading1"/>
      </w:pPr>
      <w:r>
        <w:rPr>
          <w:b/>
          <w:bCs/>
        </w:rPr>
        <w:t xml:space="preserve">Introduction</w:t>
      </w:r>
    </w:p>
    <w:p>
      <w:pPr>
        <w:spacing w:after="160" w:line="276"/>
      </w:pPr>
      <w:r>
        <w:t xml:space="preserve">The cortex is organized by gradients. The principal gradient of functional connectivity spans unimodal sensory cortex at one pole and transmodal association cortex at the other (1). Intrinsic timescales increase along a similar hierarchy, with sensory regions responding rapidly and transiently while association regions integrate information over longer intervals (2, 3). T1w/T2w myelination ratios, gene expression profiles, receptor densities, and laminar differentiation all vary systematically across the cortical surface (4–6). Whether this organization reflects continuous gradients, categorical divisions, or some combination remains debated, but the existence of orderly relationships between cortical position and computational properties is now firmly established.</w:t>
      </w:r>
    </w:p>
    <w:p>
      <w:pPr>
        <w:spacing w:after="160" w:line="276"/>
      </w:pPr>
      <w:r>
        <w:t xml:space="preserve">A second organizational principle—dorsoventral differentiation—has received less formal attention. The classical two-streams hypothesis divides visual cortex into a dorsal “where/how” pathway and a ventral “what” pathway (7, 8). But this dichotomy has frayed: cross-stream interactions are pervasive, individual neurons contribute to both action and recognition, and task-dependent routing does not respect stream boundaries (9, 10). What has been missing is a mathematical framework that replaces the categorical dorsal/ventral distinction with a continuous, mechanistic account of how dynamical properties vary along the dorsoventral axis.</w:t>
      </w:r>
    </w:p>
    <w:p>
      <w:pPr>
        <w:spacing w:after="160" w:line="276"/>
      </w:pPr>
      <w:r>
        <w:t xml:space="preserve">Here we propose that the cortex is a spatially distributed port-Hamiltonian (pH) system. Port-Hamiltonian mechanics, originally developed for engineering systems with multiple energy domains (11, 12), provides a natural formalism for modeling coupled dynamical systems that exchange energy through bidirectional connections—precisely the situation in cortex, where feedforward and feedback pathways operate simultaneously across hierarchical levels. The pH framework encodes three properties that cortical circuits must satisfy: stability (energy cannot grow without bound), compositionality (subsystems couple through well-defined ports), and structured dissipation (energy is selectively lost, not randomly).</w:t>
      </w:r>
    </w:p>
    <w:p>
      <w:pPr>
        <w:spacing w:after="160" w:line="276"/>
      </w:pPr>
      <w:r>
        <w:t xml:space="preserve">Our key innovation is defining the Hamiltonian not as metabolic energy but as </w:t>
      </w:r>
      <w:r>
        <w:rPr>
          <w:b/>
          <w:bCs/>
        </w:rPr>
        <w:t xml:space="preserve">Fisher information</w:t>
      </w:r>
      <w:r>
        <w:t xml:space="preserve">—the precision with which neural populations encode stimulus or state variables (13, 14). This identification transforms the pH framework from a physical analogy into a computational theory: the “energy” that flows through cortical ports, that is conserved by </w:t>
      </w:r>
      <w:r>
        <w:rPr>
          <w:rFonts w:ascii="Cambria Math" w:cs="Cambria Math" w:eastAsia="Cambria Math" w:hAnsi="Cambria Math"/>
          <w:i/>
          <w:iCs/>
          <w:sz w:val="24"/>
          <w:szCs w:val="24"/>
        </w:rPr>
        <w:t xml:space="preserve">J</w:t>
      </w:r>
      <w:r>
        <w:t xml:space="preserve"> and dissipated by </w:t>
      </w:r>
      <w:r>
        <w:rPr>
          <w:rFonts w:ascii="Cambria Math" w:cs="Cambria Math" w:eastAsia="Cambria Math" w:hAnsi="Cambria Math"/>
          <w:i/>
          <w:iCs/>
          <w:sz w:val="24"/>
          <w:szCs w:val="24"/>
        </w:rPr>
        <w:t xml:space="preserve">R</w:t>
      </w:r>
      <w:r>
        <w:t xml:space="preserve">, is representational precision. Regions differ not in how much glucose they consume but in how they handle information—whether they preserve it through oscillatory dynamics or dissipate it rapidly to make room for new inputs.</w:t>
      </w:r>
    </w:p>
    <w:p>
      <w:pPr>
        <w:spacing w:after="160" w:line="276"/>
      </w:pPr>
      <w:r>
        <w:t xml:space="preserve">This framework is directly constrained by recent empirical findings. We and others have shown that the eigenvalue modulus ρ—a measure of rotational persistence extracted from fitted linear dynamical systems—varies systematically along the dorsoventral axis of human cortex (15). Ventral regions show higher ρ (more persistent rotational dynamics), while dorsal regions show lower ρ (more transient, rapidly decaying dynamics). We demonstrate that ρ maps directly onto the ratio of </w:t>
      </w:r>
      <w:r>
        <w:rPr>
          <w:rFonts w:ascii="Cambria Math" w:cs="Cambria Math" w:eastAsia="Cambria Math" w:hAnsi="Cambria Math"/>
          <w:i/>
          <w:iCs/>
          <w:sz w:val="24"/>
          <w:szCs w:val="24"/>
        </w:rPr>
        <w:t xml:space="preserve">J</w:t>
      </w:r>
      <w:r>
        <w:t xml:space="preserve"> to </w:t>
      </w:r>
      <w:r>
        <w:rPr>
          <w:rFonts w:ascii="Cambria Math" w:cs="Cambria Math" w:eastAsia="Cambria Math" w:hAnsi="Cambria Math"/>
          <w:i/>
          <w:iCs/>
          <w:sz w:val="24"/>
          <w:szCs w:val="24"/>
        </w:rPr>
        <w:t xml:space="preserve">R</w:t>
      </w:r>
      <w:r>
        <w:t xml:space="preserve"> in the pH model, providing the first empirical estimate of the dissipation structure of human cortex.</w:t>
      </w:r>
    </w:p>
    <w:p>
      <w:r>
        <w:br w:type="page"/>
      </w:r>
    </w:p>
    <w:p>
      <w:pPr>
        <w:pStyle w:val="Heading1"/>
      </w:pPr>
      <w:r>
        <w:rPr>
          <w:b/>
          <w:bCs/>
        </w:rPr>
        <w:t xml:space="preserve">The Framework</w:t>
      </w:r>
    </w:p>
    <w:p>
      <w:pPr>
        <w:pStyle w:val="Heading2"/>
      </w:pPr>
      <w:r>
        <w:rPr>
          <w:b/>
          <w:bCs/>
        </w:rPr>
        <w:t xml:space="preserve">Port-Hamiltonian dynamics on the cortical surface</w:t>
      </w:r>
    </w:p>
    <w:p>
      <w:pPr>
        <w:spacing w:after="160" w:line="276"/>
      </w:pPr>
      <w:r>
        <w:t xml:space="preserve">We model the state of cortical neural populations at position </w:t>
      </w:r>
      <w:r>
        <w:rPr>
          <w:rFonts w:ascii="Cambria Math" w:cs="Cambria Math" w:eastAsia="Cambria Math" w:hAnsi="Cambria Math"/>
          <w:i/>
          <w:iCs/>
          <w:sz w:val="24"/>
          <w:szCs w:val="24"/>
        </w:rPr>
        <w:t xml:space="preserve">r</w:t>
      </w:r>
      <w:r>
        <w:t xml:space="preserve"> on the cortical surface by a vector </w:t>
      </w:r>
      <w:r>
        <w:rPr>
          <w:rFonts w:ascii="Cambria Math" w:cs="Cambria Math" w:eastAsia="Cambria Math" w:hAnsi="Cambria Math"/>
          <w:i/>
          <w:iCs/>
          <w:sz w:val="24"/>
          <w:szCs w:val="24"/>
        </w:rPr>
        <w:t xml:space="preserve">x(r, t) ∈ ℝ</w:t>
      </w:r>
      <w:r>
        <w:rPr>
          <w:sz w:val="20"/>
          <w:szCs w:val="20"/>
          <w:vertAlign w:val="superscript"/>
        </w:rPr>
        <w:t xml:space="preserve">n</w:t>
      </w:r>
      <w:r>
        <w:t xml:space="preserve">, representing the activity of </w:t>
      </w:r>
      <w:r>
        <w:rPr>
          <w:rFonts w:ascii="Cambria Math" w:cs="Cambria Math" w:eastAsia="Cambria Math" w:hAnsi="Cambria Math"/>
          <w:i/>
          <w:iCs/>
          <w:sz w:val="24"/>
          <w:szCs w:val="24"/>
        </w:rPr>
        <w:t xml:space="preserve">n</w:t>
      </w:r>
      <w:r>
        <w:t xml:space="preserve"> neural populations (e.g., principal cells and interneurons across laminae). The dynamics at each cortical location are governed by:</w:t>
      </w:r>
    </w:p>
    <w:p>
      <w:pPr>
        <w:spacing w:before="120" w:after="120"/>
        <w:jc w:val="center"/>
      </w:pPr>
      <w:r>
        <w:rPr>
          <w:rFonts w:ascii="Cambria Math" w:cs="Cambria Math" w:eastAsia="Cambria Math" w:hAnsi="Cambria Math"/>
          <w:i/>
          <w:iCs/>
          <w:sz w:val="24"/>
          <w:szCs w:val="24"/>
        </w:rPr>
        <w:t xml:space="preserve">dx/dt = [J(r) − R(r)] ∇H(x) + g(r, u)          [1]</w:t>
      </w:r>
    </w:p>
    <w:p>
      <w:pPr>
        <w:spacing w:after="160" w:line="276"/>
      </w:pPr>
      <w:r>
        <w:t xml:space="preserve">where:</w:t>
      </w:r>
    </w:p>
    <w:p>
      <w:pPr>
        <w:pStyle w:val="ListParagraph"/>
        <w:numPr>
          <w:ilvl w:val="0"/>
          <w:numId w:val="2"/>
        </w:numPr>
        <w:spacing w:after="80" w:line="276"/>
      </w:pPr>
      <w:r>
        <w:rPr>
          <w:rFonts w:ascii="Cambria Math" w:cs="Cambria Math" w:eastAsia="Cambria Math" w:hAnsi="Cambria Math"/>
          <w:i/>
          <w:iCs/>
          <w:sz w:val="24"/>
          <w:szCs w:val="24"/>
        </w:rPr>
        <w:t xml:space="preserve">J(r)</w:t>
      </w:r>
      <w:r>
        <w:t xml:space="preserve"> is a </w:t>
      </w:r>
      <w:r>
        <w:rPr>
          <w:b/>
          <w:bCs/>
        </w:rPr>
        <w:t xml:space="preserve">skew-symmetric</w:t>
      </w:r>
      <w:r>
        <w:t xml:space="preserve"> matrix (</w:t>
      </w:r>
      <w:r>
        <w:rPr>
          <w:rFonts w:ascii="Cambria Math" w:cs="Cambria Math" w:eastAsia="Cambria Math" w:hAnsi="Cambria Math"/>
          <w:i/>
          <w:iCs/>
          <w:sz w:val="24"/>
          <w:szCs w:val="24"/>
        </w:rPr>
        <w:t xml:space="preserve">J = −J</w:t>
      </w:r>
      <w:r>
        <w:rPr>
          <w:sz w:val="20"/>
          <w:szCs w:val="20"/>
          <w:vertAlign w:val="superscript"/>
        </w:rPr>
        <w:t xml:space="preserve">T</w:t>
      </w:r>
      <w:r>
        <w:t xml:space="preserve">) encoding the </w:t>
      </w:r>
      <w:r>
        <w:rPr>
          <w:b/>
          <w:bCs/>
        </w:rPr>
        <w:t xml:space="preserve">interconnection structure</w:t>
      </w:r>
      <w:r>
        <w:t xml:space="preserve"> at position </w:t>
      </w:r>
      <w:r>
        <w:rPr>
          <w:rFonts w:ascii="Cambria Math" w:cs="Cambria Math" w:eastAsia="Cambria Math" w:hAnsi="Cambria Math"/>
          <w:i/>
          <w:iCs/>
          <w:sz w:val="24"/>
          <w:szCs w:val="24"/>
        </w:rPr>
        <w:t xml:space="preserve">r</w:t>
      </w:r>
      <w:r>
        <w:t xml:space="preserve">. Skew-symmetry guarantees that </w:t>
      </w:r>
      <w:r>
        <w:rPr>
          <w:rFonts w:ascii="Cambria Math" w:cs="Cambria Math" w:eastAsia="Cambria Math" w:hAnsi="Cambria Math"/>
          <w:i/>
          <w:iCs/>
          <w:sz w:val="24"/>
          <w:szCs w:val="24"/>
        </w:rPr>
        <w:t xml:space="preserve">J</w:t>
      </w:r>
      <w:r>
        <w:t xml:space="preserve"> redistributes energy between state variables without creating or destroying it. In cortical terms, </w:t>
      </w:r>
      <w:r>
        <w:rPr>
          <w:rFonts w:ascii="Cambria Math" w:cs="Cambria Math" w:eastAsia="Cambria Math" w:hAnsi="Cambria Math"/>
          <w:i/>
          <w:iCs/>
          <w:sz w:val="24"/>
          <w:szCs w:val="24"/>
        </w:rPr>
        <w:t xml:space="preserve">J</w:t>
      </w:r>
      <w:r>
        <w:t xml:space="preserve"> captures the recurrent and cross-laminar connections that route activity between excitatory and inhibitory populations.</w:t>
      </w:r>
    </w:p>
    <w:p>
      <w:pPr>
        <w:pStyle w:val="ListParagraph"/>
        <w:numPr>
          <w:ilvl w:val="0"/>
          <w:numId w:val="2"/>
        </w:numPr>
        <w:spacing w:after="80" w:line="276"/>
      </w:pPr>
      <w:r>
        <w:rPr>
          <w:rFonts w:ascii="Cambria Math" w:cs="Cambria Math" w:eastAsia="Cambria Math" w:hAnsi="Cambria Math"/>
          <w:i/>
          <w:iCs/>
          <w:sz w:val="24"/>
          <w:szCs w:val="24"/>
        </w:rPr>
        <w:t xml:space="preserve">R(r)</w:t>
      </w:r>
      <w:r>
        <w:t xml:space="preserve"> is a </w:t>
      </w:r>
      <w:r>
        <w:rPr>
          <w:b/>
          <w:bCs/>
        </w:rPr>
        <w:t xml:space="preserve">positive-semidefinite symmetric</w:t>
      </w:r>
      <w:r>
        <w:t xml:space="preserve"> matrix encoding </w:t>
      </w:r>
      <w:r>
        <w:rPr>
          <w:b/>
          <w:bCs/>
        </w:rPr>
        <w:t xml:space="preserve">dissipation</w:t>
      </w:r>
      <w:r>
        <w:t xml:space="preserve">. It represents all processes that degrade representational precision: synaptic noise, metabolic constraints, spike-timing jitter, and adaptation. The eigenvalues of </w:t>
      </w:r>
      <w:r>
        <w:rPr>
          <w:rFonts w:ascii="Cambria Math" w:cs="Cambria Math" w:eastAsia="Cambria Math" w:hAnsi="Cambria Math"/>
          <w:i/>
          <w:iCs/>
          <w:sz w:val="24"/>
          <w:szCs w:val="24"/>
        </w:rPr>
        <w:t xml:space="preserve">R</w:t>
      </w:r>
      <w:r>
        <w:t xml:space="preserve"> determine how rapidly each mode of activity decays.</w:t>
      </w:r>
    </w:p>
    <w:p>
      <w:pPr>
        <w:pStyle w:val="ListParagraph"/>
        <w:numPr>
          <w:ilvl w:val="0"/>
          <w:numId w:val="2"/>
        </w:numPr>
        <w:spacing w:after="80" w:line="276"/>
      </w:pPr>
      <w:r>
        <w:rPr>
          <w:rFonts w:ascii="Cambria Math" w:cs="Cambria Math" w:eastAsia="Cambria Math" w:hAnsi="Cambria Math"/>
          <w:i/>
          <w:iCs/>
          <w:sz w:val="24"/>
          <w:szCs w:val="24"/>
        </w:rPr>
        <w:t xml:space="preserve">H(x)</w:t>
      </w:r>
      <w:r>
        <w:t xml:space="preserve"> is the </w:t>
      </w:r>
      <w:r>
        <w:rPr>
          <w:b/>
          <w:bCs/>
        </w:rPr>
        <w:t xml:space="preserve">Hamiltonian</w:t>
      </w:r>
      <w:r>
        <w:t xml:space="preserve">—a scalar function of the state that we identify with Fisher information (see below). The gradient </w:t>
      </w:r>
      <w:r>
        <w:rPr>
          <w:rFonts w:ascii="Cambria Math" w:cs="Cambria Math" w:eastAsia="Cambria Math" w:hAnsi="Cambria Math"/>
          <w:i/>
          <w:iCs/>
          <w:sz w:val="24"/>
          <w:szCs w:val="24"/>
        </w:rPr>
        <w:t xml:space="preserve">∇H</w:t>
      </w:r>
      <w:r>
        <w:t xml:space="preserve"> acts as the driving force: dynamics flow in directions that change the system’s information content, mediated by the combined action of </w:t>
      </w:r>
      <w:r>
        <w:rPr>
          <w:rFonts w:ascii="Cambria Math" w:cs="Cambria Math" w:eastAsia="Cambria Math" w:hAnsi="Cambria Math"/>
          <w:i/>
          <w:iCs/>
          <w:sz w:val="24"/>
          <w:szCs w:val="24"/>
        </w:rPr>
        <w:t xml:space="preserve">J</w:t>
      </w:r>
      <w:r>
        <w:t xml:space="preserve"> and </w:t>
      </w:r>
      <w:r>
        <w:rPr>
          <w:rFonts w:ascii="Cambria Math" w:cs="Cambria Math" w:eastAsia="Cambria Math" w:hAnsi="Cambria Math"/>
          <w:i/>
          <w:iCs/>
          <w:sz w:val="24"/>
          <w:szCs w:val="24"/>
        </w:rPr>
        <w:t xml:space="preserve">R</w:t>
      </w:r>
      <w:r>
        <w:t xml:space="preserve">.</w:t>
      </w:r>
    </w:p>
    <w:p>
      <w:pPr>
        <w:pStyle w:val="ListParagraph"/>
        <w:numPr>
          <w:ilvl w:val="0"/>
          <w:numId w:val="2"/>
        </w:numPr>
        <w:spacing w:after="80" w:line="276"/>
      </w:pPr>
      <w:r>
        <w:rPr>
          <w:rFonts w:ascii="Cambria Math" w:cs="Cambria Math" w:eastAsia="Cambria Math" w:hAnsi="Cambria Math"/>
          <w:i/>
          <w:iCs/>
          <w:sz w:val="24"/>
          <w:szCs w:val="24"/>
        </w:rPr>
        <w:t xml:space="preserve">g(r, u)</w:t>
      </w:r>
      <w:r>
        <w:t xml:space="preserve"> represents </w:t>
      </w:r>
      <w:r>
        <w:rPr>
          <w:b/>
          <w:bCs/>
        </w:rPr>
        <w:t xml:space="preserve">external inputs</w:t>
      </w:r>
      <w:r>
        <w:t xml:space="preserve"> through the system’s ports: sensory afferents, thalamocortical drive, and inter-regional projections. The port structure is what makes pH systems composable—cortical regions couple to each other and to subcortical structures through well-defined input/output relationships.</w:t>
      </w:r>
    </w:p>
    <w:p>
      <w:pPr>
        <w:spacing w:after="160" w:line="276"/>
      </w:pPr>
      <w:r>
        <w:t xml:space="preserve">The fundamental energy balance follows directly from the structure of Eq. 1:</w:t>
      </w:r>
    </w:p>
    <w:p>
      <w:pPr>
        <w:spacing w:before="120" w:after="120"/>
        <w:jc w:val="center"/>
      </w:pPr>
      <w:r>
        <w:rPr>
          <w:rFonts w:ascii="Cambria Math" w:cs="Cambria Math" w:eastAsia="Cambria Math" w:hAnsi="Cambria Math"/>
          <w:i/>
          <w:iCs/>
          <w:sz w:val="24"/>
          <w:szCs w:val="24"/>
        </w:rPr>
        <w:t xml:space="preserve">dH/dt = (∇H)ᵀ · [J − R] · ∇H + (∇H)ᵀ · g</w:t>
      </w:r>
    </w:p>
    <w:p>
      <w:pPr>
        <w:spacing w:before="120" w:after="120"/>
        <w:jc w:val="center"/>
      </w:pPr>
      <w:r>
        <w:rPr>
          <w:rFonts w:ascii="Cambria Math" w:cs="Cambria Math" w:eastAsia="Cambria Math" w:hAnsi="Cambria Math"/>
          <w:i/>
          <w:iCs/>
          <w:sz w:val="24"/>
          <w:szCs w:val="24"/>
        </w:rPr>
        <w:t xml:space="preserve">     = −(∇H)ᵀ R (∇H) + (∇H)ᵀ g    ≤    (∇H)ᵀ g          [2]</w:t>
      </w:r>
    </w:p>
    <w:p>
      <w:pPr>
        <w:spacing w:after="160" w:line="276"/>
      </w:pPr>
      <w:r>
        <w:t xml:space="preserve">because </w:t>
      </w:r>
      <w:r>
        <w:rPr>
          <w:rFonts w:ascii="Cambria Math" w:cs="Cambria Math" w:eastAsia="Cambria Math" w:hAnsi="Cambria Math"/>
          <w:i/>
          <w:iCs/>
          <w:sz w:val="24"/>
          <w:szCs w:val="24"/>
        </w:rPr>
        <w:t xml:space="preserve">(∇H)ᵀ J (∇H) = 0</w:t>
      </w:r>
      <w:r>
        <w:t xml:space="preserve"> (skew-symmetry) and </w:t>
      </w:r>
      <w:r>
        <w:rPr>
          <w:rFonts w:ascii="Cambria Math" w:cs="Cambria Math" w:eastAsia="Cambria Math" w:hAnsi="Cambria Math"/>
          <w:i/>
          <w:iCs/>
          <w:sz w:val="24"/>
          <w:szCs w:val="24"/>
        </w:rPr>
        <w:t xml:space="preserve">(∇H)ᵀ R (∇H) ≥ 0</w:t>
      </w:r>
      <w:r>
        <w:t xml:space="preserve"> (positive semidefiniteness). This is the </w:t>
      </w:r>
      <w:r>
        <w:rPr>
          <w:b/>
          <w:bCs/>
        </w:rPr>
        <w:t xml:space="preserve">dissipation inequality</w:t>
      </w:r>
      <w:r>
        <w:t xml:space="preserve">: the system’s information content can only decrease unless replenished by external input. Cortex cannot create representational precision from nothing—it can only receive it through sensory ports or redistribute it internally.</w:t>
      </w:r>
    </w:p>
    <w:p>
      <w:pPr>
        <w:pStyle w:val="Heading2"/>
      </w:pPr>
      <w:r>
        <w:rPr>
          <w:b/>
          <w:bCs/>
        </w:rPr>
        <w:t xml:space="preserve">Fisher information as the Hamiltonian</w:t>
      </w:r>
    </w:p>
    <w:p>
      <w:pPr>
        <w:spacing w:after="160" w:line="276"/>
      </w:pPr>
      <w:r>
        <w:t xml:space="preserve">The choice of Hamiltonian determines what the system “optimizes.” In classical mechanics, </w:t>
      </w:r>
      <w:r>
        <w:rPr>
          <w:rFonts w:ascii="Cambria Math" w:cs="Cambria Math" w:eastAsia="Cambria Math" w:hAnsi="Cambria Math"/>
          <w:i/>
          <w:iCs/>
          <w:sz w:val="24"/>
          <w:szCs w:val="24"/>
        </w:rPr>
        <w:t xml:space="preserve">H</w:t>
      </w:r>
      <w:r>
        <w:t xml:space="preserve"> is kinetic plus potential energy. In our framework, </w:t>
      </w:r>
      <w:r>
        <w:rPr>
          <w:rFonts w:ascii="Cambria Math" w:cs="Cambria Math" w:eastAsia="Cambria Math" w:hAnsi="Cambria Math"/>
          <w:i/>
          <w:iCs/>
          <w:sz w:val="24"/>
          <w:szCs w:val="24"/>
        </w:rPr>
        <w:t xml:space="preserve">H</w:t>
      </w:r>
      <w:r>
        <w:t xml:space="preserve"> is the Fisher information of the neural population code with respect to the encoded variable </w:t>
      </w:r>
      <w:r>
        <w:rPr>
          <w:rFonts w:ascii="Cambria Math" w:cs="Cambria Math" w:eastAsia="Cambria Math" w:hAnsi="Cambria Math"/>
          <w:i/>
          <w:iCs/>
          <w:sz w:val="24"/>
          <w:szCs w:val="24"/>
        </w:rPr>
        <w:t xml:space="preserve">θ</w:t>
      </w:r>
      <w:r>
        <w:t xml:space="preserve"> (which may be spatial position, object identity, motor plan, or any task-relevant parameter):</w:t>
      </w:r>
    </w:p>
    <w:p>
      <w:pPr>
        <w:spacing w:before="120" w:after="120"/>
        <w:jc w:val="center"/>
      </w:pPr>
      <w:r>
        <w:rPr>
          <w:rFonts w:ascii="Cambria Math" w:cs="Cambria Math" w:eastAsia="Cambria Math" w:hAnsi="Cambria Math"/>
          <w:i/>
          <w:iCs/>
          <w:sz w:val="24"/>
          <w:szCs w:val="24"/>
        </w:rPr>
        <w:t xml:space="preserve">H(x) = I_F(θ; x) = E[ (∂ log p(x|θ) / ∂θ)² ]          [3]</w:t>
      </w:r>
    </w:p>
    <w:p>
      <w:pPr>
        <w:spacing w:after="160" w:line="276"/>
      </w:pPr>
      <w:r>
        <w:t xml:space="preserve">Fisher information quantifies how much the neural response </w:t>
      </w:r>
      <w:r>
        <w:rPr>
          <w:rFonts w:ascii="Cambria Math" w:cs="Cambria Math" w:eastAsia="Cambria Math" w:hAnsi="Cambria Math"/>
          <w:i/>
          <w:iCs/>
          <w:sz w:val="24"/>
          <w:szCs w:val="24"/>
        </w:rPr>
        <w:t xml:space="preserve">x</w:t>
      </w:r>
      <w:r>
        <w:t xml:space="preserve"> tells you about the stimulus </w:t>
      </w:r>
      <w:r>
        <w:rPr>
          <w:rFonts w:ascii="Cambria Math" w:cs="Cambria Math" w:eastAsia="Cambria Math" w:hAnsi="Cambria Math"/>
          <w:i/>
          <w:iCs/>
          <w:sz w:val="24"/>
          <w:szCs w:val="24"/>
        </w:rPr>
        <w:t xml:space="preserve">θ</w:t>
      </w:r>
      <w:r>
        <w:t xml:space="preserve">. It is the inverse of the Cramér-Rao lower bound on estimation variance: high Fisher information means the population code allows precise estimation of </w:t>
      </w:r>
      <w:r>
        <w:rPr>
          <w:rFonts w:ascii="Cambria Math" w:cs="Cambria Math" w:eastAsia="Cambria Math" w:hAnsi="Cambria Math"/>
          <w:i/>
          <w:iCs/>
          <w:sz w:val="24"/>
          <w:szCs w:val="24"/>
        </w:rPr>
        <w:t xml:space="preserve">θ</w:t>
      </w:r>
      <w:r>
        <w:t xml:space="preserve">; low Fisher information means the representation is noisy and imprecise.</w:t>
      </w:r>
    </w:p>
    <w:p>
      <w:pPr>
        <w:spacing w:after="160" w:line="276"/>
      </w:pPr>
      <w:r>
        <w:t xml:space="preserve">This identification has several consequences. First, the dissipation inequality (Eq. 2) becomes an </w:t>
      </w:r>
      <w:r>
        <w:rPr>
          <w:b/>
          <w:bCs/>
        </w:rPr>
        <w:t xml:space="preserve">information-processing inequality</w:t>
      </w:r>
      <w:r>
        <w:t xml:space="preserve">: cortical circuits cannot increase representational precision without external input. Second, the gradient </w:t>
      </w:r>
      <w:r>
        <w:rPr>
          <w:rFonts w:ascii="Cambria Math" w:cs="Cambria Math" w:eastAsia="Cambria Math" w:hAnsi="Cambria Math"/>
          <w:i/>
          <w:iCs/>
          <w:sz w:val="24"/>
          <w:szCs w:val="24"/>
        </w:rPr>
        <w:t xml:space="preserve">∇H</w:t>
      </w:r>
      <w:r>
        <w:t xml:space="preserve"> points in the direction of increasing precision, and the dynamics in Eq. 1 describe how neural activity evolves under the competing influences of precision-preserving rotation (</w:t>
      </w:r>
      <w:r>
        <w:rPr>
          <w:rFonts w:ascii="Cambria Math" w:cs="Cambria Math" w:eastAsia="Cambria Math" w:hAnsi="Cambria Math"/>
          <w:i/>
          <w:iCs/>
          <w:sz w:val="24"/>
          <w:szCs w:val="24"/>
        </w:rPr>
        <w:t xml:space="preserve">J</w:t>
      </w:r>
      <w:r>
        <w:t xml:space="preserve">) and precision-degrading dissipation (</w:t>
      </w:r>
      <w:r>
        <w:rPr>
          <w:rFonts w:ascii="Cambria Math" w:cs="Cambria Math" w:eastAsia="Cambria Math" w:hAnsi="Cambria Math"/>
          <w:i/>
          <w:iCs/>
          <w:sz w:val="24"/>
          <w:szCs w:val="24"/>
        </w:rPr>
        <w:t xml:space="preserve">R</w:t>
      </w:r>
      <w:r>
        <w:t xml:space="preserve">). Third, the port structure acquires information-theoretic meaning: sensory inputs deliver Fisher information to primary cortex, which then routes and transforms it through the cortical hierarchy.</w:t>
      </w:r>
    </w:p>
    <w:p>
      <w:pPr>
        <w:spacing w:after="160" w:line="276"/>
      </w:pPr>
      <w:r>
        <w:t xml:space="preserve">The Fisher information Hamiltonian also connects the pH framework to established theories. In Bayesian models of cortical function (16, 17), neural activity represents posterior distributions, and precision plays the role of inverse variance. In the free energy principle (18), the brain minimizes variational free energy, which is bounded by Fisher information. Our framework is complementary but distinct: rather than positing a global objective function, we specify the </w:t>
      </w:r>
      <w:r>
        <w:rPr>
          <w:i/>
          <w:iCs/>
        </w:rPr>
        <w:t xml:space="preserve">dynamics</w:t>
      </w:r>
      <w:r>
        <w:t xml:space="preserve"> by which local circuits handle information, and let the global behavior emerge from the spatially graded pH structure.</w:t>
      </w:r>
    </w:p>
    <w:p>
      <w:pPr>
        <w:pStyle w:val="Heading2"/>
      </w:pPr>
      <w:r>
        <w:rPr>
          <w:b/>
          <w:bCs/>
        </w:rPr>
        <w:t xml:space="preserve">The continuous gradient: replacing streams with α</w:t>
      </w:r>
    </w:p>
    <w:p>
      <w:pPr>
        <w:spacing w:after="160" w:line="276"/>
      </w:pPr>
      <w:r>
        <w:t xml:space="preserve">Rather than assigning cortical regions to discrete processing streams, we parameterize each cortical position </w:t>
      </w:r>
      <w:r>
        <w:rPr>
          <w:rFonts w:ascii="Cambria Math" w:cs="Cambria Math" w:eastAsia="Cambria Math" w:hAnsi="Cambria Math"/>
          <w:i/>
          <w:iCs/>
          <w:sz w:val="24"/>
          <w:szCs w:val="24"/>
        </w:rPr>
        <w:t xml:space="preserve">r</w:t>
      </w:r>
      <w:r>
        <w:t xml:space="preserve"> by a continuous variable </w:t>
      </w:r>
      <w:r>
        <w:rPr>
          <w:rFonts w:ascii="Cambria Math" w:cs="Cambria Math" w:eastAsia="Cambria Math" w:hAnsi="Cambria Math"/>
          <w:i/>
          <w:iCs/>
          <w:sz w:val="24"/>
          <w:szCs w:val="24"/>
        </w:rPr>
        <w:t xml:space="preserve">α(r) ∈ [0, 1]</w:t>
      </w:r>
      <w:r>
        <w:t xml:space="preserve"> that indexes the balance between action-oriented and semantics-oriented processing:</w:t>
      </w:r>
    </w:p>
    <w:p>
      <w:pPr>
        <w:pStyle w:val="ListParagraph"/>
        <w:numPr>
          <w:ilvl w:val="0"/>
          <w:numId w:val="2"/>
        </w:numPr>
        <w:spacing w:after="80" w:line="276"/>
      </w:pPr>
      <w:r>
        <w:rPr>
          <w:rFonts w:ascii="Cambria Math" w:cs="Cambria Math" w:eastAsia="Cambria Math" w:hAnsi="Cambria Math"/>
          <w:i/>
          <w:iCs/>
          <w:sz w:val="24"/>
          <w:szCs w:val="24"/>
        </w:rPr>
        <w:t xml:space="preserve">α = 1</w:t>
      </w:r>
      <w:r>
        <w:t xml:space="preserve">: pure sensorimotor transformation (classically “dorsal”)</w:t>
      </w:r>
    </w:p>
    <w:p>
      <w:pPr>
        <w:pStyle w:val="ListParagraph"/>
        <w:numPr>
          <w:ilvl w:val="0"/>
          <w:numId w:val="2"/>
        </w:numPr>
        <w:spacing w:after="80" w:line="276"/>
      </w:pPr>
      <w:r>
        <w:rPr>
          <w:rFonts w:ascii="Cambria Math" w:cs="Cambria Math" w:eastAsia="Cambria Math" w:hAnsi="Cambria Math"/>
          <w:i/>
          <w:iCs/>
          <w:sz w:val="24"/>
          <w:szCs w:val="24"/>
        </w:rPr>
        <w:t xml:space="preserve">α = 0</w:t>
      </w:r>
      <w:r>
        <w:t xml:space="preserve">: pure semantic/identity processing (classically “ventral”)</w:t>
      </w:r>
    </w:p>
    <w:p>
      <w:pPr>
        <w:pStyle w:val="ListParagraph"/>
        <w:numPr>
          <w:ilvl w:val="0"/>
          <w:numId w:val="2"/>
        </w:numPr>
        <w:spacing w:after="80" w:line="276"/>
      </w:pPr>
      <w:r>
        <w:t xml:space="preserve">Intermediate values: mixed processing, as observed throughout most of cortex</w:t>
      </w:r>
    </w:p>
    <w:p>
      <w:pPr>
        <w:spacing w:after="160" w:line="276"/>
      </w:pPr>
      <w:r>
        <w:t xml:space="preserve">The pH structure at each location depends on </w:t>
      </w:r>
      <w:r>
        <w:rPr>
          <w:rFonts w:ascii="Cambria Math" w:cs="Cambria Math" w:eastAsia="Cambria Math" w:hAnsi="Cambria Math"/>
          <w:i/>
          <w:iCs/>
          <w:sz w:val="24"/>
          <w:szCs w:val="24"/>
        </w:rPr>
        <w:t xml:space="preserve">α</w:t>
      </w:r>
      <w:r>
        <w:t xml:space="preserve">. Specifically, we propose that the Hamiltonian decomposes as:</w:t>
      </w:r>
    </w:p>
    <w:p>
      <w:pPr>
        <w:spacing w:before="120" w:after="120"/>
        <w:jc w:val="center"/>
      </w:pPr>
      <w:r>
        <w:rPr>
          <w:rFonts w:ascii="Cambria Math" w:cs="Cambria Math" w:eastAsia="Cambria Math" w:hAnsi="Cambria Math"/>
          <w:i/>
          <w:iCs/>
          <w:sz w:val="24"/>
          <w:szCs w:val="24"/>
        </w:rPr>
        <w:t xml:space="preserve">H(x, r) = α(r) · H_action(x) + [1 − α(r)] · H_semantic(x)          [4]</w:t>
      </w:r>
    </w:p>
    <w:p>
      <w:pPr>
        <w:spacing w:after="160" w:line="276"/>
      </w:pPr>
      <w:r>
        <w:t xml:space="preserve">where </w:t>
      </w:r>
      <w:r>
        <w:rPr>
          <w:rFonts w:ascii="Cambria Math" w:cs="Cambria Math" w:eastAsia="Cambria Math" w:hAnsi="Cambria Math"/>
          <w:i/>
          <w:iCs/>
          <w:sz w:val="24"/>
          <w:szCs w:val="24"/>
        </w:rPr>
        <w:t xml:space="preserve">H_action</w:t>
      </w:r>
      <w:r>
        <w:t xml:space="preserve"> encodes Fisher information about spatial parameters, motion, and affordances, while </w:t>
      </w:r>
      <w:r>
        <w:rPr>
          <w:rFonts w:ascii="Cambria Math" w:cs="Cambria Math" w:eastAsia="Cambria Math" w:hAnsi="Cambria Math"/>
          <w:i/>
          <w:iCs/>
          <w:sz w:val="24"/>
          <w:szCs w:val="24"/>
        </w:rPr>
        <w:t xml:space="preserve">H_semantic</w:t>
      </w:r>
      <w:r>
        <w:t xml:space="preserve"> encodes Fisher information about object identity, category, and meaning. The dissipation matrix </w:t>
      </w:r>
      <w:r>
        <w:rPr>
          <w:rFonts w:ascii="Cambria Math" w:cs="Cambria Math" w:eastAsia="Cambria Math" w:hAnsi="Cambria Math"/>
          <w:i/>
          <w:iCs/>
          <w:sz w:val="24"/>
          <w:szCs w:val="24"/>
        </w:rPr>
        <w:t xml:space="preserve">R</w:t>
      </w:r>
      <w:r>
        <w:t xml:space="preserve"> is also </w:t>
      </w:r>
      <w:r>
        <w:rPr>
          <w:rFonts w:ascii="Cambria Math" w:cs="Cambria Math" w:eastAsia="Cambria Math" w:hAnsi="Cambria Math"/>
          <w:i/>
          <w:iCs/>
          <w:sz w:val="24"/>
          <w:szCs w:val="24"/>
        </w:rPr>
        <w:t xml:space="preserve">α</w:t>
      </w:r>
      <w:r>
        <w:t xml:space="preserve">-dependent:</w:t>
      </w:r>
    </w:p>
    <w:p>
      <w:pPr>
        <w:spacing w:before="120" w:after="120"/>
        <w:jc w:val="center"/>
      </w:pPr>
      <w:r>
        <w:rPr>
          <w:rFonts w:ascii="Cambria Math" w:cs="Cambria Math" w:eastAsia="Cambria Math" w:hAnsi="Cambria Math"/>
          <w:i/>
          <w:iCs/>
          <w:sz w:val="24"/>
          <w:szCs w:val="24"/>
        </w:rPr>
        <w:t xml:space="preserve">R(r) = R_0 + α(r) · ΔR          [5]</w:t>
      </w:r>
    </w:p>
    <w:p>
      <w:pPr>
        <w:spacing w:after="160" w:line="276"/>
      </w:pPr>
      <w:r>
        <w:t xml:space="preserve">where </w:t>
      </w:r>
      <w:r>
        <w:rPr>
          <w:rFonts w:ascii="Cambria Math" w:cs="Cambria Math" w:eastAsia="Cambria Math" w:hAnsi="Cambria Math"/>
          <w:i/>
          <w:iCs/>
          <w:sz w:val="24"/>
          <w:szCs w:val="24"/>
        </w:rPr>
        <w:t xml:space="preserve">ΔR</w:t>
      </w:r>
      <w:r>
        <w:t xml:space="preserve"> captures the empirical finding that dorsal (high-</w:t>
      </w:r>
      <w:r>
        <w:rPr>
          <w:rFonts w:ascii="Cambria Math" w:cs="Cambria Math" w:eastAsia="Cambria Math" w:hAnsi="Cambria Math"/>
          <w:i/>
          <w:iCs/>
          <w:sz w:val="24"/>
          <w:szCs w:val="24"/>
        </w:rPr>
        <w:t xml:space="preserve">α</w:t>
      </w:r>
      <w:r>
        <w:t xml:space="preserve">) regions are more dissipative. The coupling between cortical locations depends on </w:t>
      </w:r>
      <w:r>
        <w:rPr>
          <w:rFonts w:ascii="Cambria Math" w:cs="Cambria Math" w:eastAsia="Cambria Math" w:hAnsi="Cambria Math"/>
          <w:i/>
          <w:iCs/>
          <w:sz w:val="24"/>
          <w:szCs w:val="24"/>
        </w:rPr>
        <w:t xml:space="preserve">α</w:t>
      </w:r>
      <w:r>
        <w:t xml:space="preserve">-similarity:</w:t>
      </w:r>
    </w:p>
    <w:p>
      <w:pPr>
        <w:spacing w:before="120" w:after="120"/>
        <w:jc w:val="center"/>
      </w:pPr>
      <w:r>
        <w:rPr>
          <w:rFonts w:ascii="Cambria Math" w:cs="Cambria Math" w:eastAsia="Cambria Math" w:hAnsi="Cambria Math"/>
          <w:i/>
          <w:iCs/>
          <w:sz w:val="24"/>
          <w:szCs w:val="24"/>
        </w:rPr>
        <w:t xml:space="preserve">J(r, s) = J_0(r, s) · κ(|α(r) − α(s)|)          [6]</w:t>
      </w:r>
    </w:p>
    <w:p>
      <w:pPr>
        <w:spacing w:after="160" w:line="276"/>
      </w:pPr>
      <w:r>
        <w:t xml:space="preserve">where </w:t>
      </w:r>
      <w:r>
        <w:rPr>
          <w:rFonts w:ascii="Cambria Math" w:cs="Cambria Math" w:eastAsia="Cambria Math" w:hAnsi="Cambria Math"/>
          <w:i/>
          <w:iCs/>
          <w:sz w:val="24"/>
          <w:szCs w:val="24"/>
        </w:rPr>
        <w:t xml:space="preserve">κ</w:t>
      </w:r>
      <w:r>
        <w:t xml:space="preserve"> is a decreasing function of </w:t>
      </w:r>
      <w:r>
        <w:rPr>
          <w:rFonts w:ascii="Cambria Math" w:cs="Cambria Math" w:eastAsia="Cambria Math" w:hAnsi="Cambria Math"/>
          <w:i/>
          <w:iCs/>
          <w:sz w:val="24"/>
          <w:szCs w:val="24"/>
        </w:rPr>
        <w:t xml:space="preserve">α</w:t>
      </w:r>
      <w:r>
        <w:t xml:space="preserve">-difference, encoding the principle that regions with similar computational roles couple more strongly. This produces the observed pattern of preferential within-stream connectivity without requiring categorical stream boundaries—“streams” emerge as iso-</w:t>
      </w:r>
      <w:r>
        <w:rPr>
          <w:rFonts w:ascii="Cambria Math" w:cs="Cambria Math" w:eastAsia="Cambria Math" w:hAnsi="Cambria Math"/>
          <w:i/>
          <w:iCs/>
          <w:sz w:val="24"/>
          <w:szCs w:val="24"/>
        </w:rPr>
        <w:t xml:space="preserve">α</w:t>
      </w:r>
      <w:r>
        <w:t xml:space="preserve"> contours along which information flows preferentially.</w:t>
      </w:r>
    </w:p>
    <w:p>
      <w:r>
        <w:br w:type="page"/>
      </w:r>
    </w:p>
    <w:p>
      <w:pPr>
        <w:pStyle w:val="Heading1"/>
      </w:pPr>
      <w:r>
        <w:rPr>
          <w:b/>
          <w:bCs/>
        </w:rPr>
        <w:t xml:space="preserve">Empirical Constraint: The ρ Gradient</w:t>
      </w:r>
    </w:p>
    <w:p>
      <w:pPr>
        <w:spacing w:after="160" w:line="276"/>
      </w:pPr>
      <w:r>
        <w:t xml:space="preserve">The port-Hamiltonian framework makes a specific prediction about the local dynamical regime at each cortical location, parameterized by the balance of </w:t>
      </w:r>
      <w:r>
        <w:rPr>
          <w:rFonts w:ascii="Cambria Math" w:cs="Cambria Math" w:eastAsia="Cambria Math" w:hAnsi="Cambria Math"/>
          <w:i/>
          <w:iCs/>
          <w:sz w:val="24"/>
          <w:szCs w:val="24"/>
        </w:rPr>
        <w:t xml:space="preserve">J</w:t>
      </w:r>
      <w:r>
        <w:t xml:space="preserve"> and </w:t>
      </w:r>
      <w:r>
        <w:rPr>
          <w:rFonts w:ascii="Cambria Math" w:cs="Cambria Math" w:eastAsia="Cambria Math" w:hAnsi="Cambria Math"/>
          <w:i/>
          <w:iCs/>
          <w:sz w:val="24"/>
          <w:szCs w:val="24"/>
        </w:rPr>
        <w:t xml:space="preserve">R</w:t>
      </w:r>
      <w:r>
        <w:t xml:space="preserve">. We show here that this prediction is directly testable—and has been tested—using the eigenvalue modulus ρ extracted from magnetoencephalographic recordings.</w:t>
      </w:r>
    </w:p>
    <w:p>
      <w:pPr>
        <w:pStyle w:val="Heading2"/>
      </w:pPr>
      <w:r>
        <w:rPr>
          <w:b/>
          <w:bCs/>
        </w:rPr>
        <w:t xml:space="preserve">Linearized dynamics and eigenvalue structure</w:t>
      </w:r>
    </w:p>
    <w:p>
      <w:pPr>
        <w:spacing w:after="160" w:line="276"/>
      </w:pPr>
      <w:r>
        <w:t xml:space="preserve">Near a fixed point or along a trajectory, the pH dynamics (Eq. 1) can be linearized. For a two-dimensional subsystem (e.g., an excitatory-inhibitory pair), the linearized dynamics matrix takes the form </w:t>
      </w:r>
      <w:r>
        <w:rPr>
          <w:rFonts w:ascii="Cambria Math" w:cs="Cambria Math" w:eastAsia="Cambria Math" w:hAnsi="Cambria Math"/>
          <w:i/>
          <w:iCs/>
          <w:sz w:val="24"/>
          <w:szCs w:val="24"/>
        </w:rPr>
        <w:t xml:space="preserve">A = J − R</w:t>
      </w:r>
      <w:r>
        <w:t xml:space="preserve"> (absorbing the Hessian of </w:t>
      </w:r>
      <w:r>
        <w:rPr>
          <w:rFonts w:ascii="Cambria Math" w:cs="Cambria Math" w:eastAsia="Cambria Math" w:hAnsi="Cambria Math"/>
          <w:i/>
          <w:iCs/>
          <w:sz w:val="24"/>
          <w:szCs w:val="24"/>
        </w:rPr>
        <w:t xml:space="preserve">H</w:t>
      </w:r>
      <w:r>
        <w:t xml:space="preserve"> into the matrices). The eigenvalues of </w:t>
      </w:r>
      <w:r>
        <w:rPr>
          <w:rFonts w:ascii="Cambria Math" w:cs="Cambria Math" w:eastAsia="Cambria Math" w:hAnsi="Cambria Math"/>
          <w:i/>
          <w:iCs/>
          <w:sz w:val="24"/>
          <w:szCs w:val="24"/>
        </w:rPr>
        <w:t xml:space="preserve">A</w:t>
      </w:r>
      <w:r>
        <w:t xml:space="preserve"> determine the local dynamical regime:</w:t>
      </w:r>
    </w:p>
    <w:p>
      <w:pPr>
        <w:pStyle w:val="ListParagraph"/>
        <w:numPr>
          <w:ilvl w:val="0"/>
          <w:numId w:val="2"/>
        </w:numPr>
        <w:spacing w:after="80" w:line="276"/>
      </w:pPr>
      <w:r>
        <w:t xml:space="preserve">If </w:t>
      </w:r>
      <w:r>
        <w:rPr>
          <w:rFonts w:ascii="Cambria Math" w:cs="Cambria Math" w:eastAsia="Cambria Math" w:hAnsi="Cambria Math"/>
          <w:i/>
          <w:iCs/>
          <w:sz w:val="24"/>
          <w:szCs w:val="24"/>
        </w:rPr>
        <w:t xml:space="preserve">J</w:t>
      </w:r>
      <w:r>
        <w:t xml:space="preserve"> dominates (</w:t>
      </w:r>
      <w:r>
        <w:rPr>
          <w:rFonts w:ascii="Cambria Math" w:cs="Cambria Math" w:eastAsia="Cambria Math" w:hAnsi="Cambria Math"/>
          <w:i/>
          <w:iCs/>
          <w:sz w:val="24"/>
          <w:szCs w:val="24"/>
        </w:rPr>
        <w:t xml:space="preserve">||J|| &gt; ||R||</w:t>
      </w:r>
      <w:r>
        <w:t xml:space="preserve">): eigenvalues are complex with large modulus. Dynamics are </w:t>
      </w:r>
      <w:r>
        <w:rPr>
          <w:b/>
          <w:bCs/>
        </w:rPr>
        <w:t xml:space="preserve">oscillatory</w:t>
      </w:r>
      <w:r>
        <w:t xml:space="preserve">—trajectories rotate in state space, preserving information through sustained oscillations. This corresponds to </w:t>
      </w:r>
      <w:r>
        <w:rPr>
          <w:b/>
          <w:bCs/>
        </w:rPr>
        <w:t xml:space="preserve">high ρ</w:t>
      </w:r>
      <w:r>
        <w:t xml:space="preserve">.</w:t>
      </w:r>
    </w:p>
    <w:p>
      <w:pPr>
        <w:pStyle w:val="ListParagraph"/>
        <w:numPr>
          <w:ilvl w:val="0"/>
          <w:numId w:val="2"/>
        </w:numPr>
        <w:spacing w:after="80" w:line="276"/>
      </w:pPr>
      <w:r>
        <w:t xml:space="preserve">If </w:t>
      </w:r>
      <w:r>
        <w:rPr>
          <w:rFonts w:ascii="Cambria Math" w:cs="Cambria Math" w:eastAsia="Cambria Math" w:hAnsi="Cambria Math"/>
          <w:i/>
          <w:iCs/>
          <w:sz w:val="24"/>
          <w:szCs w:val="24"/>
        </w:rPr>
        <w:t xml:space="preserve">R</w:t>
      </w:r>
      <w:r>
        <w:t xml:space="preserve"> dominates (</w:t>
      </w:r>
      <w:r>
        <w:rPr>
          <w:rFonts w:ascii="Cambria Math" w:cs="Cambria Math" w:eastAsia="Cambria Math" w:hAnsi="Cambria Math"/>
          <w:i/>
          <w:iCs/>
          <w:sz w:val="24"/>
          <w:szCs w:val="24"/>
        </w:rPr>
        <w:t xml:space="preserve">||R|| &gt; ||J||</w:t>
      </w:r>
      <w:r>
        <w:t xml:space="preserve">): eigenvalues are real or complex with small modulus. Dynamics are </w:t>
      </w:r>
      <w:r>
        <w:rPr>
          <w:b/>
          <w:bCs/>
        </w:rPr>
        <w:t xml:space="preserve">dissipative</w:t>
      </w:r>
      <w:r>
        <w:t xml:space="preserve">—trajectories converge rapidly to fixed points, clearing the state space for new inputs. This corresponds to </w:t>
      </w:r>
      <w:r>
        <w:rPr>
          <w:b/>
          <w:bCs/>
        </w:rPr>
        <w:t xml:space="preserve">low ρ</w:t>
      </w:r>
      <w:r>
        <w:t xml:space="preserve">.</w:t>
      </w:r>
    </w:p>
    <w:p>
      <w:pPr>
        <w:spacing w:after="160" w:line="276"/>
      </w:pPr>
      <w:r>
        <w:t xml:space="preserve">The eigenvalue modulus ρ thus directly measures the </w:t>
      </w:r>
      <w:r>
        <w:rPr>
          <w:rFonts w:ascii="Cambria Math" w:cs="Cambria Math" w:eastAsia="Cambria Math" w:hAnsi="Cambria Math"/>
          <w:i/>
          <w:iCs/>
          <w:sz w:val="24"/>
          <w:szCs w:val="24"/>
        </w:rPr>
        <w:t xml:space="preserve">J/R</w:t>
      </w:r>
      <w:r>
        <w:t xml:space="preserve"> ratio at each cortical location. When ρ is extracted from MEG data by fitting linear dynamical systems to delay-embedded local field potentials (15), it provides an empirical estimate of the dissipation structure of human cortex.</w:t>
      </w:r>
    </w:p>
    <w:p>
      <w:pPr>
        <w:pStyle w:val="Heading2"/>
      </w:pPr>
      <w:r>
        <w:rPr>
          <w:b/>
          <w:bCs/>
        </w:rPr>
        <w:t xml:space="preserve">The dorsoventral gradient</w:t>
      </w:r>
    </w:p>
    <w:p>
      <w:pPr>
        <w:spacing w:after="160" w:line="276"/>
      </w:pPr>
      <w:r>
        <w:t xml:space="preserve">Applied to whole-head MEG recordings, this analysis reveals a robust gradient in ρ along the dorsoventral axis (15). Ventral temporal and inferior cortex show higher ρ (more persistent rotational dynamics, </w:t>
      </w:r>
      <w:r>
        <w:rPr>
          <w:rFonts w:ascii="Cambria Math" w:cs="Cambria Math" w:eastAsia="Cambria Math" w:hAnsi="Cambria Math"/>
          <w:i/>
          <w:iCs/>
          <w:sz w:val="24"/>
          <w:szCs w:val="24"/>
        </w:rPr>
        <w:t xml:space="preserve">J</w:t>
      </w:r>
      <w:r>
        <w:t xml:space="preserve">-dominated), while dorsal sensorimotor cortex shows lower ρ (more transient dynamics, </w:t>
      </w:r>
      <w:r>
        <w:rPr>
          <w:rFonts w:ascii="Cambria Math" w:cs="Cambria Math" w:eastAsia="Cambria Math" w:hAnsi="Cambria Math"/>
          <w:i/>
          <w:iCs/>
          <w:sz w:val="24"/>
          <w:szCs w:val="24"/>
        </w:rPr>
        <w:t xml:space="preserve">R</w:t>
      </w:r>
      <w:r>
        <w:t xml:space="preserve">-dominated). The effect size is small in absolute terms (Δρ ≈ 0.01–0.03) but survives extensive controls for signal amplitude, spectral content, signal-to-noise ratio, and head position.</w:t>
      </w:r>
    </w:p>
    <w:p>
      <w:pPr>
        <w:spacing w:after="160" w:line="276"/>
      </w:pPr>
      <w:r>
        <w:t xml:space="preserve">This gradient maps directly onto the pH framework via Eq. 5. The dorsal-to-ventral decrease in dissipation (decrease in effective </w:t>
      </w:r>
      <w:r>
        <w:rPr>
          <w:rFonts w:ascii="Cambria Math" w:cs="Cambria Math" w:eastAsia="Cambria Math" w:hAnsi="Cambria Math"/>
          <w:i/>
          <w:iCs/>
          <w:sz w:val="24"/>
          <w:szCs w:val="24"/>
        </w:rPr>
        <w:t xml:space="preserve">R</w:t>
      </w:r>
      <w:r>
        <w:t xml:space="preserve">) produces a dorsal-to-ventral increase in ρ. The framework provides the </w:t>
      </w:r>
      <w:r>
        <w:rPr>
          <w:i/>
          <w:iCs/>
        </w:rPr>
        <w:t xml:space="preserve">reason</w:t>
      </w:r>
      <w:r>
        <w:t xml:space="preserve"> for the gradient: dorsal regions require rapid state-space clearance for motor execution (high </w:t>
      </w:r>
      <w:r>
        <w:rPr>
          <w:rFonts w:ascii="Cambria Math" w:cs="Cambria Math" w:eastAsia="Cambria Math" w:hAnsi="Cambria Math"/>
          <w:i/>
          <w:iCs/>
          <w:sz w:val="24"/>
          <w:szCs w:val="24"/>
        </w:rPr>
        <w:t xml:space="preserve">R</w:t>
      </w:r>
      <w:r>
        <w:t xml:space="preserve">), while ventral regions require sustained representations for object recognition and semantic processing (low </w:t>
      </w:r>
      <w:r>
        <w:rPr>
          <w:rFonts w:ascii="Cambria Math" w:cs="Cambria Math" w:eastAsia="Cambria Math" w:hAnsi="Cambria Math"/>
          <w:i/>
          <w:iCs/>
          <w:sz w:val="24"/>
          <w:szCs w:val="24"/>
        </w:rPr>
        <w:t xml:space="preserve">R</w:t>
      </w:r>
      <w:r>
        <w:t xml:space="preserve">, high </w:t>
      </w:r>
      <w:r>
        <w:rPr>
          <w:rFonts w:ascii="Cambria Math" w:cs="Cambria Math" w:eastAsia="Cambria Math" w:hAnsi="Cambria Math"/>
          <w:i/>
          <w:iCs/>
          <w:sz w:val="24"/>
          <w:szCs w:val="24"/>
        </w:rPr>
        <w:t xml:space="preserve">J</w:t>
      </w:r>
      <w:r>
        <w:t xml:space="preserve">).</w:t>
      </w:r>
    </w:p>
    <w:p>
      <w:pPr>
        <w:pStyle w:val="Heading2"/>
      </w:pPr>
      <w:r>
        <w:rPr>
          <w:b/>
          <w:bCs/>
        </w:rPr>
        <w:t xml:space="preserve">The revised assignment: why the flip strengthens the framework</w:t>
      </w:r>
    </w:p>
    <w:p>
      <w:pPr>
        <w:spacing w:after="160" w:line="276"/>
      </w:pPr>
      <w:r>
        <w:t xml:space="preserve">A naive application of Hamiltonian mechanics to cortex might predict the opposite: dorsal regions, which compute sensorimotor trajectories, should be oscillatory (</w:t>
      </w:r>
      <w:r>
        <w:rPr>
          <w:rFonts w:ascii="Cambria Math" w:cs="Cambria Math" w:eastAsia="Cambria Math" w:hAnsi="Cambria Math"/>
          <w:i/>
          <w:iCs/>
          <w:sz w:val="24"/>
          <w:szCs w:val="24"/>
        </w:rPr>
        <w:t xml:space="preserve">J</w:t>
      </w:r>
      <w:r>
        <w:t xml:space="preserve">-dominated), while ventral regions, which converge to categorical representations, should be dissipative (</w:t>
      </w:r>
      <w:r>
        <w:rPr>
          <w:rFonts w:ascii="Cambria Math" w:cs="Cambria Math" w:eastAsia="Cambria Math" w:hAnsi="Cambria Math"/>
          <w:i/>
          <w:iCs/>
          <w:sz w:val="24"/>
          <w:szCs w:val="24"/>
        </w:rPr>
        <w:t xml:space="preserve">R</w:t>
      </w:r>
      <w:r>
        <w:t xml:space="preserve">-dominated). The empirical ρ gradient contradicts this prediction.</w:t>
      </w:r>
    </w:p>
    <w:p>
      <w:pPr>
        <w:spacing w:after="160" w:line="276"/>
      </w:pPr>
      <w:r>
        <w:t xml:space="preserve">However, the contradiction is resolved by recognizing that a pH system with strong dissipation is not un-Hamiltonian—it is </w:t>
      </w:r>
      <w:r>
        <w:rPr>
          <w:b/>
          <w:bCs/>
        </w:rPr>
        <w:t xml:space="preserve">overdamped</w:t>
      </w:r>
      <w:r>
        <w:t xml:space="preserve">. The Hamiltonian still determines the phase-space paths; the trajectories are still structured by </w:t>
      </w:r>
      <w:r>
        <w:rPr>
          <w:rFonts w:ascii="Cambria Math" w:cs="Cambria Math" w:eastAsia="Cambria Math" w:hAnsi="Cambria Math"/>
          <w:i/>
          <w:iCs/>
          <w:sz w:val="24"/>
          <w:szCs w:val="24"/>
        </w:rPr>
        <w:t xml:space="preserve">J</w:t>
      </w:r>
      <w:r>
        <w:t xml:space="preserve">; but </w:t>
      </w:r>
      <w:r>
        <w:rPr>
          <w:rFonts w:ascii="Cambria Math" w:cs="Cambria Math" w:eastAsia="Cambria Math" w:hAnsi="Cambria Math"/>
          <w:i/>
          <w:iCs/>
          <w:sz w:val="24"/>
          <w:szCs w:val="24"/>
        </w:rPr>
        <w:t xml:space="preserve">R</w:t>
      </w:r>
      <w:r>
        <w:t xml:space="preserve"> causes the system to traverse those paths without oscillating, converging monotonically to its target. This is precisely what dorsal cortex needs: efficient, non-oscillatory convergence to motor plans and spatial targets. A reaching movement that oscillated would overshoot; a saccade that rang would miss its target.</w:t>
      </w:r>
    </w:p>
    <w:p>
      <w:pPr>
        <w:spacing w:after="160" w:line="276"/>
      </w:pPr>
      <w:r>
        <w:t xml:space="preserve">Conversely, ventral cortex’s high ρ reflects underdamped dynamics in which representations persist through oscillatory cycling. This is computationally appropriate for categorical recognition, where the system must maintain and compare multiple candidate interpretations before settling—a process naturally implemented by oscillatory competition between attractor basins (19,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20"/>
              <w:left w:type="dxa" w:w="180"/>
              <w:bottom w:type="dxa" w:w="120"/>
              <w:right w:type="dxa" w:w="180"/>
            </w:tcMar>
          </w:tcPr>
          <w:p>
            <w:pPr>
              <w:spacing w:after="80"/>
            </w:pPr>
            <w:r>
              <w:rPr>
                <w:b/>
                <w:bCs/>
                <w:color w:val="333333"/>
                <w:sz w:val="22"/>
                <w:szCs w:val="22"/>
              </w:rPr>
              <w:t xml:space="preserve">Figure 1 [placeholder]</w:t>
            </w:r>
          </w:p>
          <w:p>
            <w:pPr>
              <w:spacing w:after="40" w:line="260"/>
            </w:pPr>
            <w:r>
              <w:rPr>
                <w:color w:val="555555"/>
                <w:sz w:val="20"/>
                <w:szCs w:val="20"/>
              </w:rPr>
              <w:t xml:space="preserve">The port-Hamiltonian framework and the ρ gradient. (A) Schematic of the pH equation with cortical interpretation of each term. (B) The α gradient across the cortical surface, replacing discrete stream boundaries. (C) The relationship between J/R ratio and ρ: high J/R gives oscillatory dynamics (high ρ), high R/J gives convergent dynamics (low ρ). (D) Empirical ρ gradient from MEG data (ref. 15), with pH model fit overlaid.</w:t>
            </w:r>
          </w:p>
        </w:tc>
      </w:tr>
    </w:tbl>
    <w:p>
      <w:pPr>
        <w:spacing w:after="80"/>
      </w:pPr>
    </w:p>
    <w:p>
      <w:r>
        <w:br w:type="page"/>
      </w:r>
    </w:p>
    <w:p>
      <w:pPr>
        <w:pStyle w:val="Heading1"/>
      </w:pPr>
      <w:r>
        <w:rPr>
          <w:b/>
          <w:bCs/>
        </w:rPr>
        <w:t xml:space="preserve">Frequency-Dependent Dynamical Regimes</w:t>
      </w:r>
    </w:p>
    <w:p>
      <w:pPr>
        <w:spacing w:after="160" w:line="276"/>
      </w:pPr>
      <w:r>
        <w:t xml:space="preserve">The MEG data reveal a further subtlety: the dorsoventral ρ gradient is not uniform across the frequency spectrum (15). Slow rhythms (delta, theta) show dorsal predominance in rotational dynamics, while fast rhythms (beta, gamma) show ventral predominance. This frequency-specific reversal carries important implications for the pH framework.</w:t>
      </w:r>
    </w:p>
    <w:p>
      <w:pPr>
        <w:spacing w:after="160" w:line="276"/>
      </w:pPr>
      <w:r>
        <w:t xml:space="preserve">In pH terms, both </w:t>
      </w:r>
      <w:r>
        <w:rPr>
          <w:rFonts w:ascii="Cambria Math" w:cs="Cambria Math" w:eastAsia="Cambria Math" w:hAnsi="Cambria Math"/>
          <w:i/>
          <w:iCs/>
          <w:sz w:val="24"/>
          <w:szCs w:val="24"/>
        </w:rPr>
        <w:t xml:space="preserve">J</w:t>
      </w:r>
      <w:r>
        <w:t xml:space="preserve"> and </w:t>
      </w:r>
      <w:r>
        <w:rPr>
          <w:rFonts w:ascii="Cambria Math" w:cs="Cambria Math" w:eastAsia="Cambria Math" w:hAnsi="Cambria Math"/>
          <w:i/>
          <w:iCs/>
          <w:sz w:val="24"/>
          <w:szCs w:val="24"/>
        </w:rPr>
        <w:t xml:space="preserve">R</w:t>
      </w:r>
      <w:r>
        <w:t xml:space="preserve"> can be frequency-dependent—there is no requirement that dissipation be uniform across timescales. Biophysically, different frequency bands reflect different circuit mechanisms: slow rhythms arise from long-range corticocortical and thalamocortical loops, while fast rhythms reflect local excitatory-inhibitory interactions. The </w:t>
      </w:r>
      <w:r>
        <w:rPr>
          <w:rFonts w:ascii="Cambria Math" w:cs="Cambria Math" w:eastAsia="Cambria Math" w:hAnsi="Cambria Math"/>
          <w:i/>
          <w:iCs/>
          <w:sz w:val="24"/>
          <w:szCs w:val="24"/>
        </w:rPr>
        <w:t xml:space="preserve">J</w:t>
      </w:r>
      <w:r>
        <w:t xml:space="preserve"> and </w:t>
      </w:r>
      <w:r>
        <w:rPr>
          <w:rFonts w:ascii="Cambria Math" w:cs="Cambria Math" w:eastAsia="Cambria Math" w:hAnsi="Cambria Math"/>
          <w:i/>
          <w:iCs/>
          <w:sz w:val="24"/>
          <w:szCs w:val="24"/>
        </w:rPr>
        <w:t xml:space="preserve">R</w:t>
      </w:r>
      <w:r>
        <w:t xml:space="preserve"> matrices governing each band may have different spatial profiles.</w:t>
      </w:r>
    </w:p>
    <w:p>
      <w:pPr>
        <w:spacing w:after="160" w:line="276"/>
      </w:pPr>
      <w:r>
        <w:t xml:space="preserve">This motivates an extension of Eq. 5 to frequency-dependent dissipation:</w:t>
      </w:r>
    </w:p>
    <w:p>
      <w:pPr>
        <w:spacing w:before="120" w:after="120"/>
        <w:jc w:val="center"/>
      </w:pPr>
      <w:r>
        <w:rPr>
          <w:rFonts w:ascii="Cambria Math" w:cs="Cambria Math" w:eastAsia="Cambria Math" w:hAnsi="Cambria Math"/>
          <w:i/>
          <w:iCs/>
          <w:sz w:val="24"/>
          <w:szCs w:val="24"/>
        </w:rPr>
        <w:t xml:space="preserve">R(r, f) = R_0(f) + α(r) · ΔR(f)          [7]</w:t>
      </w:r>
    </w:p>
    <w:p>
      <w:pPr>
        <w:spacing w:after="160" w:line="276"/>
      </w:pPr>
      <w:r>
        <w:t xml:space="preserve">where the sign of </w:t>
      </w:r>
      <w:r>
        <w:rPr>
          <w:rFonts w:ascii="Cambria Math" w:cs="Cambria Math" w:eastAsia="Cambria Math" w:hAnsi="Cambria Math"/>
          <w:i/>
          <w:iCs/>
          <w:sz w:val="24"/>
          <w:szCs w:val="24"/>
        </w:rPr>
        <w:t xml:space="preserve">ΔR(f)</w:t>
      </w:r>
      <w:r>
        <w:t xml:space="preserve"> may reverse between low and high frequencies. This predicts that dorsal cortex operates in an underdamped regime at slow timescales (consistent with motor rhythm generation) but an overdamped regime at fast timescales (consistent with stable spatial representations), while ventral cortex shows the reverse pattern. The full regime map is thus two-dimensional: indexed by cortical position (</w:t>
      </w:r>
      <w:r>
        <w:rPr>
          <w:rFonts w:ascii="Cambria Math" w:cs="Cambria Math" w:eastAsia="Cambria Math" w:hAnsi="Cambria Math"/>
          <w:i/>
          <w:iCs/>
          <w:sz w:val="24"/>
          <w:szCs w:val="24"/>
        </w:rPr>
        <w:t xml:space="preserve">α</w:t>
      </w:r>
      <w:r>
        <w:t xml:space="preserve">) and frequency band (</w:t>
      </w:r>
      <w:r>
        <w:rPr>
          <w:rFonts w:ascii="Cambria Math" w:cs="Cambria Math" w:eastAsia="Cambria Math" w:hAnsi="Cambria Math"/>
          <w:i/>
          <w:iCs/>
          <w:sz w:val="24"/>
          <w:szCs w:val="24"/>
        </w:rPr>
        <w:t xml:space="preserve">f</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20"/>
              <w:left w:type="dxa" w:w="180"/>
              <w:bottom w:type="dxa" w:w="120"/>
              <w:right w:type="dxa" w:w="180"/>
            </w:tcMar>
          </w:tcPr>
          <w:p>
            <w:pPr>
              <w:spacing w:after="80"/>
            </w:pPr>
            <w:r>
              <w:rPr>
                <w:b/>
                <w:bCs/>
                <w:color w:val="333333"/>
                <w:sz w:val="22"/>
                <w:szCs w:val="22"/>
              </w:rPr>
              <w:t xml:space="preserve">Figure 2 [placeholder]</w:t>
            </w:r>
          </w:p>
          <w:p>
            <w:pPr>
              <w:spacing w:after="40" w:line="260"/>
            </w:pPr>
            <w:r>
              <w:rPr>
                <w:color w:val="555555"/>
                <w:sz w:val="20"/>
                <w:szCs w:val="20"/>
              </w:rPr>
              <w:t xml:space="preserve">Frequency-dependent regime map. (A) ρ as a function of cortical position (α) and frequency band, showing the crossover. (B) Schematic of circuit mechanisms: slow rhythms governed by long-range loops (J-dominated in dorsal cortex), fast rhythms governed by local E-I circuits (J-dominated in ventral cortex). (C) Predicted and observed ρ values across the (position × frequency) space.</w:t>
            </w:r>
          </w:p>
        </w:tc>
      </w:tr>
    </w:tbl>
    <w:p>
      <w:pPr>
        <w:spacing w:after="80"/>
      </w:pPr>
    </w:p>
    <w:p>
      <w:r>
        <w:br w:type="page"/>
      </w:r>
    </w:p>
    <w:p>
      <w:pPr>
        <w:pStyle w:val="Heading1"/>
      </w:pPr>
      <w:r>
        <w:rPr>
          <w:b/>
          <w:bCs/>
        </w:rPr>
        <w:t xml:space="preserve">Relationship to Existing Frameworks</w:t>
      </w:r>
    </w:p>
    <w:p>
      <w:pPr>
        <w:pStyle w:val="Heading2"/>
      </w:pPr>
      <w:r>
        <w:rPr>
          <w:b/>
          <w:bCs/>
        </w:rPr>
        <w:t xml:space="preserve">Predictive coding and the free energy principle</w:t>
      </w:r>
    </w:p>
    <w:p>
      <w:pPr>
        <w:spacing w:after="160" w:line="276"/>
      </w:pPr>
      <w:r>
        <w:t xml:space="preserve">The free energy principle (FEP) proposes that the brain minimizes variational free energy—an upper bound on surprise—through both perception (updating internal models) and action (changing sensory input) (18). Our framework is compatible with but distinct from the FEP in several respects. Both frameworks invoke information-theoretic quantities: the FEP uses variational free energy; we use Fisher information as the Hamiltonian. Both predict that cortical dynamics are constrained by information-processing principles rather than arbitrary. But the FEP is formulated as a global objective, while the pH framework specifies </w:t>
      </w:r>
      <w:r>
        <w:rPr>
          <w:i/>
          <w:iCs/>
        </w:rPr>
        <w:t xml:space="preserve">local dynamics</w:t>
      </w:r>
      <w:r>
        <w:t xml:space="preserve">—the spatial distribution of </w:t>
      </w:r>
      <w:r>
        <w:rPr>
          <w:rFonts w:ascii="Cambria Math" w:cs="Cambria Math" w:eastAsia="Cambria Math" w:hAnsi="Cambria Math"/>
          <w:i/>
          <w:iCs/>
          <w:sz w:val="24"/>
          <w:szCs w:val="24"/>
        </w:rPr>
        <w:t xml:space="preserve">J</w:t>
      </w:r>
      <w:r>
        <w:t xml:space="preserve"> and </w:t>
      </w:r>
      <w:r>
        <w:rPr>
          <w:rFonts w:ascii="Cambria Math" w:cs="Cambria Math" w:eastAsia="Cambria Math" w:hAnsi="Cambria Math"/>
          <w:i/>
          <w:iCs/>
          <w:sz w:val="24"/>
          <w:szCs w:val="24"/>
        </w:rPr>
        <w:t xml:space="preserve">R</w:t>
      </w:r>
      <w:r>
        <w:t xml:space="preserve">—from which global behavior emerges. The pH framework is thus mechanistically more specific: it predicts not just </w:t>
      </w:r>
      <w:r>
        <w:rPr>
          <w:i/>
          <w:iCs/>
        </w:rPr>
        <w:t xml:space="preserve">that</w:t>
      </w:r>
      <w:r>
        <w:t xml:space="preserve"> the brain minimizes an information-theoretic quantity, but </w:t>
      </w:r>
      <w:r>
        <w:rPr>
          <w:i/>
          <w:iCs/>
        </w:rPr>
        <w:t xml:space="preserve">how</w:t>
      </w:r>
      <w:r>
        <w:t xml:space="preserve"> different cortical regions contribute to that process through their distinct dynamical regimes.</w:t>
      </w:r>
    </w:p>
    <w:p>
      <w:pPr>
        <w:pStyle w:val="Heading2"/>
      </w:pPr>
      <w:r>
        <w:rPr>
          <w:b/>
          <w:bCs/>
        </w:rPr>
        <w:t xml:space="preserve">Hamiltonian Monte Carlo in neural circuits</w:t>
      </w:r>
    </w:p>
    <w:p>
      <w:pPr>
        <w:spacing w:after="160" w:line="276"/>
      </w:pPr>
      <w:r>
        <w:t xml:space="preserve">Orbán and colleagues (21) showed that excitatory-inhibitory neural circuits can implement Hamiltonian Monte Carlo (HMC), a powerful sampling algorithm that uses Hamiltonian dynamics to explore probability distributions efficiently. Their model produces oscillations and transients resembling those observed in cortex, and achieves an order-of-magnitude speedup over simpler sampling methods. Our framework is structurally related: the </w:t>
      </w:r>
      <w:r>
        <w:rPr>
          <w:rFonts w:ascii="Cambria Math" w:cs="Cambria Math" w:eastAsia="Cambria Math" w:hAnsi="Cambria Math"/>
          <w:i/>
          <w:iCs/>
          <w:sz w:val="24"/>
          <w:szCs w:val="24"/>
        </w:rPr>
        <w:t xml:space="preserve">J</w:t>
      </w:r>
      <w:r>
        <w:t xml:space="preserve"> matrix in the pH system plays the same role as the Hamiltonian dynamics in HMC—it generates energy-preserving rotations that allow the system to explore state space efficiently. The </w:t>
      </w:r>
      <w:r>
        <w:rPr>
          <w:rFonts w:ascii="Cambria Math" w:cs="Cambria Math" w:eastAsia="Cambria Math" w:hAnsi="Cambria Math"/>
          <w:i/>
          <w:iCs/>
          <w:sz w:val="24"/>
          <w:szCs w:val="24"/>
        </w:rPr>
        <w:t xml:space="preserve">R</w:t>
      </w:r>
      <w:r>
        <w:t xml:space="preserve"> matrix plays the role of the “friction” that prevents the Hamiltonian dynamics from running indefinitely. The spatial gradient in </w:t>
      </w:r>
      <w:r>
        <w:rPr>
          <w:rFonts w:ascii="Cambria Math" w:cs="Cambria Math" w:eastAsia="Cambria Math" w:hAnsi="Cambria Math"/>
          <w:i/>
          <w:iCs/>
          <w:sz w:val="24"/>
          <w:szCs w:val="24"/>
        </w:rPr>
        <w:t xml:space="preserve">J/R</w:t>
      </w:r>
      <w:r>
        <w:t xml:space="preserve"> thus corresponds to a gradient in sampling efficiency across cortex: ventral regions (low </w:t>
      </w:r>
      <w:r>
        <w:rPr>
          <w:rFonts w:ascii="Cambria Math" w:cs="Cambria Math" w:eastAsia="Cambria Math" w:hAnsi="Cambria Math"/>
          <w:i/>
          <w:iCs/>
          <w:sz w:val="24"/>
          <w:szCs w:val="24"/>
        </w:rPr>
        <w:t xml:space="preserve">R</w:t>
      </w:r>
      <w:r>
        <w:t xml:space="preserve">) sample more extensively from the posterior distribution (appropriate for uncertain categorical judgments), while dorsal regions (high </w:t>
      </w:r>
      <w:r>
        <w:rPr>
          <w:rFonts w:ascii="Cambria Math" w:cs="Cambria Math" w:eastAsia="Cambria Math" w:hAnsi="Cambria Math"/>
          <w:i/>
          <w:iCs/>
          <w:sz w:val="24"/>
          <w:szCs w:val="24"/>
        </w:rPr>
        <w:t xml:space="preserve">R</w:t>
      </w:r>
      <w:r>
        <w:t xml:space="preserve">) converge rapidly to point estimates (appropriate for precise spatial localization).</w:t>
      </w:r>
    </w:p>
    <w:p>
      <w:pPr>
        <w:pStyle w:val="Heading2"/>
      </w:pPr>
      <w:r>
        <w:rPr>
          <w:b/>
          <w:bCs/>
        </w:rPr>
        <w:t xml:space="preserve">Topological funneling and attractor dynamics</w:t>
      </w:r>
    </w:p>
    <w:p>
      <w:pPr>
        <w:spacing w:after="160" w:line="276"/>
      </w:pPr>
      <w:r>
        <w:t xml:space="preserve">Recent connectomic evidence challenges the classical Hopfield model of attractor dynamics: neurons participating in reproducible firing patterns show no preferential mutual connectivity or enriched recurrent motifs (22). Instead, reproducible population events emerge from </w:t>
      </w:r>
      <w:r>
        <w:rPr>
          <w:b/>
          <w:bCs/>
        </w:rPr>
        <w:t xml:space="preserve">topological funneling</w:t>
      </w:r>
      <w:r>
        <w:t xml:space="preserve"> through hierarchically modular networks, where core neurons sit at convergent-divergent bottlenecks (bow-tie motifs). This finding is compatible with the pH framework. The </w:t>
      </w:r>
      <w:r>
        <w:rPr>
          <w:rFonts w:ascii="Cambria Math" w:cs="Cambria Math" w:eastAsia="Cambria Math" w:hAnsi="Cambria Math"/>
          <w:i/>
          <w:iCs/>
          <w:sz w:val="24"/>
          <w:szCs w:val="24"/>
        </w:rPr>
        <w:t xml:space="preserve">J</w:t>
      </w:r>
      <w:r>
        <w:t xml:space="preserve"> matrix naturally describes the routing of activity through such bottlenecks—skew-symmetric interconnections redistribute energy without creating or destroying it, which is precisely what convergent-divergent funneling does. The pH model thus provides an effective macroscopic description of dynamics whose microscopic mechanism is topological rather than Hebbian.</w:t>
      </w:r>
    </w:p>
    <w:p>
      <w:r>
        <w:br w:type="page"/>
      </w:r>
    </w:p>
    <w:p>
      <w:pPr>
        <w:pStyle w:val="Heading1"/>
      </w:pPr>
      <w:r>
        <w:rPr>
          <w:b/>
          <w:bCs/>
        </w:rPr>
        <w:t xml:space="preserve">Predictions</w:t>
      </w:r>
    </w:p>
    <w:p>
      <w:pPr>
        <w:spacing w:after="160" w:line="276"/>
      </w:pPr>
      <w:r>
        <w:t xml:space="preserve">The framework generates five testable predictions:</w:t>
      </w:r>
    </w:p>
    <w:p>
      <w:pPr>
        <w:spacing w:after="160" w:line="276"/>
      </w:pPr>
      <w:r>
        <w:rPr>
          <w:b/>
          <w:bCs/>
        </w:rPr>
        <w:t xml:space="preserve">Prediction 1: Alzheimer’s disease disrupts the ρ gradient.</w:t>
      </w:r>
      <w:r>
        <w:t xml:space="preserve"> AD pathology follows a stereotyped anatomical progression, beginning in entorhinal and inferior temporal cortex (ventral, high-ρ regions) before spreading to parietal and eventually dorsal cortex (23). The pH framework predicts that early AD should </w:t>
      </w:r>
      <w:r>
        <w:rPr>
          <w:i/>
          <w:iCs/>
        </w:rPr>
        <w:t xml:space="preserve">selectively reduce ρ in ventral regions</w:t>
      </w:r>
      <w:r>
        <w:t xml:space="preserve"> (increasing local dissipation as circuits degrade), producing a flattened or inverted dorsoventral gradient. As disease progresses and dorsal regions are affected, the gradient should further collapse. If measurable from scalp EEG using autoregressive methods, the ρ gradient could serve as a non-invasive functional biomarker for disease staging—complementing amyloid PET and fluid biomarkers with a measure of dynamical health.</w:t>
      </w:r>
    </w:p>
    <w:p>
      <w:pPr>
        <w:spacing w:after="160" w:line="276"/>
      </w:pPr>
      <w:r>
        <w:rPr>
          <w:b/>
          <w:bCs/>
        </w:rPr>
        <w:t xml:space="preserve">Prediction 2: TMS produces regime-dependent responses.</w:t>
      </w:r>
      <w:r>
        <w:t xml:space="preserve"> A brief TMS pulse delivers a standardized perturbation to cortical circuits. The pH framework predicts qualitatively different responses depending on the local </w:t>
      </w:r>
      <w:r>
        <w:rPr>
          <w:rFonts w:ascii="Cambria Math" w:cs="Cambria Math" w:eastAsia="Cambria Math" w:hAnsi="Cambria Math"/>
          <w:i/>
          <w:iCs/>
          <w:sz w:val="24"/>
          <w:szCs w:val="24"/>
        </w:rPr>
        <w:t xml:space="preserve">J/R</w:t>
      </w:r>
      <w:r>
        <w:t xml:space="preserve"> ratio. Dorsal (high-</w:t>
      </w:r>
      <w:r>
        <w:rPr>
          <w:rFonts w:ascii="Cambria Math" w:cs="Cambria Math" w:eastAsia="Cambria Math" w:hAnsi="Cambria Math"/>
          <w:i/>
          <w:iCs/>
          <w:sz w:val="24"/>
          <w:szCs w:val="24"/>
        </w:rPr>
        <w:t xml:space="preserve">R</w:t>
      </w:r>
      <w:r>
        <w:t xml:space="preserve">) regions should show rapid, monotonic return to baseline—the perturbation decays without ringing. Ventral (high-</w:t>
      </w:r>
      <w:r>
        <w:rPr>
          <w:rFonts w:ascii="Cambria Math" w:cs="Cambria Math" w:eastAsia="Cambria Math" w:hAnsi="Cambria Math"/>
          <w:i/>
          <w:iCs/>
          <w:sz w:val="24"/>
          <w:szCs w:val="24"/>
        </w:rPr>
        <w:t xml:space="preserve">J</w:t>
      </w:r>
      <w:r>
        <w:t xml:space="preserve">) regions should show oscillatory responses—the perturbation triggers rotational dynamics that ring down over multiple cycles. TMS-EEG experiments targeting dorsal versus ventral sites at matched stimulation intensities can directly test this prediction.</w:t>
      </w:r>
    </w:p>
    <w:p>
      <w:pPr>
        <w:spacing w:after="160" w:line="276"/>
      </w:pPr>
      <w:r>
        <w:rPr>
          <w:b/>
          <w:bCs/>
        </w:rPr>
        <w:t xml:space="preserve">Prediction 3: Task demands modulate the effective α profile.</w:t>
      </w:r>
      <w:r>
        <w:t xml:space="preserve"> If the </w:t>
      </w:r>
      <w:r>
        <w:rPr>
          <w:rFonts w:ascii="Cambria Math" w:cs="Cambria Math" w:eastAsia="Cambria Math" w:hAnsi="Cambria Math"/>
          <w:i/>
          <w:iCs/>
          <w:sz w:val="24"/>
          <w:szCs w:val="24"/>
        </w:rPr>
        <w:t xml:space="preserve">α</w:t>
      </w:r>
      <w:r>
        <w:t xml:space="preserve"> gradient is not purely anatomical but also reflects functional state, then task demands should dynamically shift the effective </w:t>
      </w:r>
      <w:r>
        <w:rPr>
          <w:rFonts w:ascii="Cambria Math" w:cs="Cambria Math" w:eastAsia="Cambria Math" w:hAnsi="Cambria Math"/>
          <w:i/>
          <w:iCs/>
          <w:sz w:val="24"/>
          <w:szCs w:val="24"/>
        </w:rPr>
        <w:t xml:space="preserve">J/R</w:t>
      </w:r>
      <w:r>
        <w:t xml:space="preserve"> balance. During demanding spatial working memory tasks, dorsal regions should transiently decrease their dissipation (increase ρ) to sustain spatial representations. During rapid object categorization under time pressure, ventral regions should transiently increase dissipation (decrease ρ) to speed convergence. These shifts should be detectable as task-dependent changes in ρ within individual cortical regions.</w:t>
      </w:r>
    </w:p>
    <w:p>
      <w:pPr>
        <w:spacing w:after="160" w:line="276"/>
      </w:pPr>
      <w:r>
        <w:rPr>
          <w:b/>
          <w:bCs/>
        </w:rPr>
        <w:t xml:space="preserve">Prediction 4: The τ-ρ anticorrelation reflects a biophysical constraint.</w:t>
      </w:r>
      <w:r>
        <w:t xml:space="preserve"> The observed anticorrelation between intrinsic timescale (τ) and rotational persistence (ρ) after controlling for spatial position (</w:t>
      </w:r>
      <w:r>
        <w:rPr>
          <w:i/>
          <w:iCs/>
        </w:rPr>
        <w:t xml:space="preserve">r</w:t>
      </w:r>
      <w:r>
        <w:t xml:space="preserve"> = −0.62) suggests that local circuit architecture constrains which regions of the (τ, ρ) parameter space are biologically accessible. In pH terms, the damping coefficient and the natural frequency of the system are both determined by the same circuit elements (excitatory-inhibitory coupling strengths, membrane time constants, NMDA/AMPA ratios). A circuit model implementing Eq. 1 should reproduce this constraint without additional assumptions—the anticorrelation should emerge from the biophysics.</w:t>
      </w:r>
    </w:p>
    <w:p>
      <w:pPr>
        <w:spacing w:after="160" w:line="276"/>
      </w:pPr>
      <w:r>
        <w:rPr>
          <w:b/>
          <w:bCs/>
        </w:rPr>
        <w:t xml:space="preserve">Prediction 5: The gradient has a developmental trajectory.</w:t>
      </w:r>
      <w:r>
        <w:t xml:space="preserve"> If the </w:t>
      </w:r>
      <w:r>
        <w:rPr>
          <w:rFonts w:ascii="Cambria Math" w:cs="Cambria Math" w:eastAsia="Cambria Math" w:hAnsi="Cambria Math"/>
          <w:i/>
          <w:iCs/>
          <w:sz w:val="24"/>
          <w:szCs w:val="24"/>
        </w:rPr>
        <w:t xml:space="preserve">J/R</w:t>
      </w:r>
      <w:r>
        <w:t xml:space="preserve"> balance reflects synaptic maturation, myelination, and the establishment of long-range connectivity, then the ρ gradient should not be fully present at birth but should emerge over development, reaching its adult form by adolescence. Longitudinal EEG studies in children and adolescents should reveal a progressive steepening of the dorsoventral ρ gradient with age, paralleling the known developmental trajectory of cortical myelination and the principal connectivity gradient.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20"/>
              <w:left w:type="dxa" w:w="180"/>
              <w:bottom w:type="dxa" w:w="120"/>
              <w:right w:type="dxa" w:w="180"/>
            </w:tcMar>
          </w:tcPr>
          <w:p>
            <w:pPr>
              <w:spacing w:after="80"/>
            </w:pPr>
            <w:r>
              <w:rPr>
                <w:b/>
                <w:bCs/>
                <w:color w:val="333333"/>
                <w:sz w:val="22"/>
                <w:szCs w:val="22"/>
              </w:rPr>
              <w:t xml:space="preserve">Figure 3 [placeholder]</w:t>
            </w:r>
          </w:p>
          <w:p>
            <w:pPr>
              <w:spacing w:after="40" w:line="260"/>
            </w:pPr>
            <w:r>
              <w:rPr>
                <w:color w:val="555555"/>
                <w:sz w:val="20"/>
                <w:szCs w:val="20"/>
              </w:rPr>
              <w:t xml:space="preserve">Testable predictions. (A) Predicted ρ gradient in healthy aging, early AD, and late AD: progressive flattening and eventual inversion. (B) Predicted TMS-evoked responses in dorsal (monotonic decay) versus ventral (oscillatory ring-down) cortex. (C) Predicted task-dependent modulation of local ρ values. (D) Predicted developmental trajectory of the DV gradient from childhood to adulthood.</w:t>
            </w:r>
          </w:p>
        </w:tc>
      </w:tr>
    </w:tbl>
    <w:p>
      <w:pPr>
        <w:spacing w:after="80"/>
      </w:pPr>
    </w:p>
    <w:p>
      <w:r>
        <w:br w:type="page"/>
      </w:r>
    </w:p>
    <w:p>
      <w:pPr>
        <w:pStyle w:val="Heading1"/>
      </w:pPr>
      <w:r>
        <w:rPr>
          <w:b/>
          <w:bCs/>
        </w:rPr>
        <w:t xml:space="preserve">Discussion</w:t>
      </w:r>
    </w:p>
    <w:p>
      <w:pPr>
        <w:spacing w:after="160" w:line="276"/>
      </w:pPr>
      <w:r>
        <w:t xml:space="preserve">We have proposed that the human cortex is a spatially distributed port-Hamiltonian system whose dissipation structure varies continuously along the dorsoventral axis, with Fisher information as the Hamiltonian. This framework replaces the categorical dorsal/ventral distinction with a graded parameter </w:t>
      </w:r>
      <w:r>
        <w:rPr>
          <w:rFonts w:ascii="Cambria Math" w:cs="Cambria Math" w:eastAsia="Cambria Math" w:hAnsi="Cambria Math"/>
          <w:i/>
          <w:iCs/>
          <w:sz w:val="24"/>
          <w:szCs w:val="24"/>
        </w:rPr>
        <w:t xml:space="preserve">α</w:t>
      </w:r>
      <w:r>
        <w:t xml:space="preserve"> that indexes the local balance between information-preserving (oscillatory) and information-dissipating (convergent) dynamics. The recently discovered ρ gradient from MEG provides the first empirical constraint on this structure, and the framework generates specific, falsifiable predictions for disease, perturbation, task modulation, biophysical constraints, and development.</w:t>
      </w:r>
    </w:p>
    <w:p>
      <w:pPr>
        <w:spacing w:after="160" w:line="276"/>
      </w:pPr>
      <w:r>
        <w:rPr>
          <w:b/>
          <w:bCs/>
        </w:rPr>
        <w:t xml:space="preserve">Why port-Hamiltonian?</w:t>
      </w:r>
      <w:r>
        <w:t xml:space="preserve"> One might ask why the pH formalism is needed rather than a more generic dynamical systems description. Three properties distinguish pH systems from arbitrary dynamical systems and make them particularly suited to cortical modeling. First, </w:t>
      </w:r>
      <w:r>
        <w:rPr>
          <w:b/>
          <w:bCs/>
        </w:rPr>
        <w:t xml:space="preserve">stability is structural</w:t>
      </w:r>
      <w:r>
        <w:t xml:space="preserve">: the dissipation inequality (Eq. 2) guarantees that the system cannot spontaneously generate energy. This is not a tuning requirement—it follows directly from the skew-symmetry of </w:t>
      </w:r>
      <w:r>
        <w:rPr>
          <w:rFonts w:ascii="Cambria Math" w:cs="Cambria Math" w:eastAsia="Cambria Math" w:hAnsi="Cambria Math"/>
          <w:i/>
          <w:iCs/>
          <w:sz w:val="24"/>
          <w:szCs w:val="24"/>
        </w:rPr>
        <w:t xml:space="preserve">J</w:t>
      </w:r>
      <w:r>
        <w:t xml:space="preserve"> and the positive semidefiniteness of </w:t>
      </w:r>
      <w:r>
        <w:rPr>
          <w:rFonts w:ascii="Cambria Math" w:cs="Cambria Math" w:eastAsia="Cambria Math" w:hAnsi="Cambria Math"/>
          <w:i/>
          <w:iCs/>
          <w:sz w:val="24"/>
          <w:szCs w:val="24"/>
        </w:rPr>
        <w:t xml:space="preserve">R</w:t>
      </w:r>
      <w:r>
        <w:t xml:space="preserve">. Cortical circuits must be stable despite operating near the edge of criticality; pH structure provides this guarantee. Second, </w:t>
      </w:r>
      <w:r>
        <w:rPr>
          <w:b/>
          <w:bCs/>
        </w:rPr>
        <w:t xml:space="preserve">compositionality is built in</w:t>
      </w:r>
      <w:r>
        <w:t xml:space="preserve">: pH systems couple through ports, and the coupled system is itself pH. This mirrors cortical architecture, where regions connect through well-defined anatomical projections that preserve the overall stability of the network. Third, </w:t>
      </w:r>
      <w:r>
        <w:rPr>
          <w:b/>
          <w:bCs/>
        </w:rPr>
        <w:t xml:space="preserve">the separation of conservative and dissipative forces is explicit</w:t>
      </w:r>
      <w:r>
        <w:t xml:space="preserve">: </w:t>
      </w:r>
      <w:r>
        <w:rPr>
          <w:rFonts w:ascii="Cambria Math" w:cs="Cambria Math" w:eastAsia="Cambria Math" w:hAnsi="Cambria Math"/>
          <w:i/>
          <w:iCs/>
          <w:sz w:val="24"/>
          <w:szCs w:val="24"/>
        </w:rPr>
        <w:t xml:space="preserve">J</w:t>
      </w:r>
      <w:r>
        <w:t xml:space="preserve"> and </w:t>
      </w:r>
      <w:r>
        <w:rPr>
          <w:rFonts w:ascii="Cambria Math" w:cs="Cambria Math" w:eastAsia="Cambria Math" w:hAnsi="Cambria Math"/>
          <w:i/>
          <w:iCs/>
          <w:sz w:val="24"/>
          <w:szCs w:val="24"/>
        </w:rPr>
        <w:t xml:space="preserve">R</w:t>
      </w:r>
      <w:r>
        <w:t xml:space="preserve"> are mathematically distinct objects with different symmetry properties. This separation corresponds to a real biological distinction—the recurrent connections that generate oscillatory dynamics (</w:t>
      </w:r>
      <w:r>
        <w:rPr>
          <w:rFonts w:ascii="Cambria Math" w:cs="Cambria Math" w:eastAsia="Cambria Math" w:hAnsi="Cambria Math"/>
          <w:i/>
          <w:iCs/>
          <w:sz w:val="24"/>
          <w:szCs w:val="24"/>
        </w:rPr>
        <w:t xml:space="preserve">J</w:t>
      </w:r>
      <w:r>
        <w:t xml:space="preserve">) and the noise, adaptation, and metabolic constraints that degrade them (</w:t>
      </w:r>
      <w:r>
        <w:rPr>
          <w:rFonts w:ascii="Cambria Math" w:cs="Cambria Math" w:eastAsia="Cambria Math" w:hAnsi="Cambria Math"/>
          <w:i/>
          <w:iCs/>
          <w:sz w:val="24"/>
          <w:szCs w:val="24"/>
        </w:rPr>
        <w:t xml:space="preserve">R</w:t>
      </w:r>
      <w:r>
        <w:t xml:space="preserve">) are implemented by different biophysical mechanisms.</w:t>
      </w:r>
    </w:p>
    <w:p>
      <w:pPr>
        <w:spacing w:after="160" w:line="276"/>
      </w:pPr>
      <w:r>
        <w:rPr>
          <w:b/>
          <w:bCs/>
        </w:rPr>
        <w:t xml:space="preserve">Limitations.</w:t>
      </w:r>
      <w:r>
        <w:t xml:space="preserve"> The framework as presented is a macroscopic effective theory. It does not specify the microscopic circuitry that implements </w:t>
      </w:r>
      <w:r>
        <w:rPr>
          <w:rFonts w:ascii="Cambria Math" w:cs="Cambria Math" w:eastAsia="Cambria Math" w:hAnsi="Cambria Math"/>
          <w:i/>
          <w:iCs/>
          <w:sz w:val="24"/>
          <w:szCs w:val="24"/>
        </w:rPr>
        <w:t xml:space="preserve">J</w:t>
      </w:r>
      <w:r>
        <w:t xml:space="preserve"> and </w:t>
      </w:r>
      <w:r>
        <w:rPr>
          <w:rFonts w:ascii="Cambria Math" w:cs="Cambria Math" w:eastAsia="Cambria Math" w:hAnsi="Cambria Math"/>
          <w:i/>
          <w:iCs/>
          <w:sz w:val="24"/>
          <w:szCs w:val="24"/>
        </w:rPr>
        <w:t xml:space="preserve">R</w:t>
      </w:r>
      <w:r>
        <w:t xml:space="preserve"> at each cortical location, though recent connectomic work on bow-tie motifs and distance-dependent connectivity (22) points toward plausible mechanisms. The Fisher information Hamiltonian is defined abstractly; in practice, estimating it from neural data requires specifying what variable </w:t>
      </w:r>
      <w:r>
        <w:rPr>
          <w:rFonts w:ascii="Cambria Math" w:cs="Cambria Math" w:eastAsia="Cambria Math" w:hAnsi="Cambria Math"/>
          <w:i/>
          <w:iCs/>
          <w:sz w:val="24"/>
          <w:szCs w:val="24"/>
        </w:rPr>
        <w:t xml:space="preserve">θ</w:t>
      </w:r>
      <w:r>
        <w:t xml:space="preserve"> the population encodes, which may vary across regions and tasks. The framework is deterministic; a stochastic extension incorporating neural noise would be more biologically realistic, and recent work on stochastic pH systems (24) provides the mathematical tools for this. Finally, the current empirical constraint (the ρ gradient) is derived from resting-state MEG. Task-dependent changes in ρ, and its sensitivity to disease, remain to be demonstrated.</w:t>
      </w:r>
    </w:p>
    <w:p>
      <w:pPr>
        <w:spacing w:after="160" w:line="276"/>
      </w:pPr>
      <w:r>
        <w:rPr>
          <w:b/>
          <w:bCs/>
        </w:rPr>
        <w:t xml:space="preserve">Outlook.</w:t>
      </w:r>
      <w:r>
        <w:t xml:space="preserve"> If the predictions outlined here are confirmed—particularly Prediction 1, that the ρ gradient is disrupted in Alzheimer’s disease—the pH framework would provide not only a theory of cortical computation but a clinical tool. A non-invasive biomarker derived from a principled dynamical theory, measurable from a resting-state EEG recording, applicable in any memory clinic globally—this is the translational potential of understanding the cortex as an energy system.</w:t>
      </w:r>
    </w:p>
    <w:p>
      <w:r>
        <w:br w:type="page"/>
      </w:r>
    </w:p>
    <w:p>
      <w:pPr>
        <w:pStyle w:val="Heading1"/>
      </w:pPr>
      <w:r>
        <w:rPr>
          <w:b/>
          <w:bCs/>
        </w:rPr>
        <w:t xml:space="preserve">References</w:t>
      </w:r>
    </w:p>
    <w:p>
      <w:pPr>
        <w:spacing w:after="80"/>
      </w:pPr>
      <w:r>
        <w:t xml:space="preserve">1. Margulies DS, et al. (2016) Situating the default-mode network along a principal gradient of macroscale cortical organization. </w:t>
      </w:r>
      <w:r>
        <w:rPr>
          <w:i/>
          <w:iCs/>
        </w:rPr>
        <w:t xml:space="preserve">Proc Natl Acad Sci USA</w:t>
      </w:r>
      <w:r>
        <w:t xml:space="preserve"> 113:12574–12579.</w:t>
      </w:r>
    </w:p>
    <w:p>
      <w:pPr>
        <w:spacing w:after="80"/>
      </w:pPr>
      <w:r>
        <w:t xml:space="preserve">2. Murray JD, et al. (2014) A hierarchy of intrinsic timescales across primate cortex. </w:t>
      </w:r>
      <w:r>
        <w:rPr>
          <w:i/>
          <w:iCs/>
        </w:rPr>
        <w:t xml:space="preserve">Nat Neurosci</w:t>
      </w:r>
      <w:r>
        <w:t xml:space="preserve"> 17:1661–1663.</w:t>
      </w:r>
    </w:p>
    <w:p>
      <w:pPr>
        <w:spacing w:after="80"/>
      </w:pPr>
      <w:r>
        <w:t xml:space="preserve">3. Honey CJ, et al. (2012) Slow cortical dynamics and the accumulation of information over long timescales. </w:t>
      </w:r>
      <w:r>
        <w:rPr>
          <w:i/>
          <w:iCs/>
        </w:rPr>
        <w:t xml:space="preserve">Neuron</w:t>
      </w:r>
      <w:r>
        <w:t xml:space="preserve"> 76:423–434.</w:t>
      </w:r>
    </w:p>
    <w:p>
      <w:pPr>
        <w:spacing w:after="80"/>
      </w:pPr>
      <w:r>
        <w:t xml:space="preserve">4. Glasser MF, Van Essen DC (2011) Mapping human cortical areas in vivo based on myelin content as revealed by T1- and T2-weighted MRI. </w:t>
      </w:r>
      <w:r>
        <w:rPr>
          <w:i/>
          <w:iCs/>
        </w:rPr>
        <w:t xml:space="preserve">J Neurosci</w:t>
      </w:r>
      <w:r>
        <w:t xml:space="preserve"> 31:11597–11616.</w:t>
      </w:r>
    </w:p>
    <w:p>
      <w:pPr>
        <w:spacing w:after="80"/>
      </w:pPr>
      <w:r>
        <w:t xml:space="preserve">5. Burt JB, et al. (2018) Hierarchy of transcriptomic specialization across human cortex captured by structural connectivity. </w:t>
      </w:r>
      <w:r>
        <w:rPr>
          <w:i/>
          <w:iCs/>
        </w:rPr>
        <w:t xml:space="preserve">Nat Neurosci</w:t>
      </w:r>
      <w:r>
        <w:t xml:space="preserve"> 21:1251–1259.</w:t>
      </w:r>
    </w:p>
    <w:p>
      <w:pPr>
        <w:spacing w:after="80"/>
      </w:pPr>
      <w:r>
        <w:t xml:space="preserve">6. Huntenburg JM, Bazin P-L, Margulies DS (2018) Large-scale gradients in human cortical organization. </w:t>
      </w:r>
      <w:r>
        <w:rPr>
          <w:i/>
          <w:iCs/>
        </w:rPr>
        <w:t xml:space="preserve">Trends Cogn Sci</w:t>
      </w:r>
      <w:r>
        <w:t xml:space="preserve"> 22:21–31.</w:t>
      </w:r>
    </w:p>
    <w:p>
      <w:pPr>
        <w:spacing w:after="80"/>
      </w:pPr>
      <w:r>
        <w:t xml:space="preserve">7. Ungerleider LG, Mishkin M (1982) Two cortical visual systems. In </w:t>
      </w:r>
      <w:r>
        <w:rPr>
          <w:i/>
          <w:iCs/>
        </w:rPr>
        <w:t xml:space="preserve">Analysis of Visual Behavior</w:t>
      </w:r>
      <w:r>
        <w:t xml:space="preserve">, eds Ingle DJ, Goodale MA, Mansfield RJW (MIT Press, Cambridge, MA), pp 549–586.</w:t>
      </w:r>
    </w:p>
    <w:p>
      <w:pPr>
        <w:spacing w:after="80"/>
      </w:pPr>
      <w:r>
        <w:t xml:space="preserve">8. Goodale MA, Milner AD (1992) Separate visual pathways for perception and action. </w:t>
      </w:r>
      <w:r>
        <w:rPr>
          <w:i/>
          <w:iCs/>
        </w:rPr>
        <w:t xml:space="preserve">Trends Neurosci</w:t>
      </w:r>
      <w:r>
        <w:t xml:space="preserve"> 15:20–25.</w:t>
      </w:r>
    </w:p>
    <w:p>
      <w:pPr>
        <w:spacing w:after="80"/>
      </w:pPr>
      <w:r>
        <w:t xml:space="preserve">9. Kravitz DJ, Saleem KS, Baker CI, Ungerleider LG, Mishkin M (2013) The ventral visual pathway: an expanded neural framework for the processing of object quality. </w:t>
      </w:r>
      <w:r>
        <w:rPr>
          <w:i/>
          <w:iCs/>
        </w:rPr>
        <w:t xml:space="preserve">Trends Cogn Sci</w:t>
      </w:r>
      <w:r>
        <w:t xml:space="preserve"> 17:26–49.</w:t>
      </w:r>
    </w:p>
    <w:p>
      <w:pPr>
        <w:spacing w:after="80"/>
      </w:pPr>
      <w:r>
        <w:t xml:space="preserve">10. de Haan EHF, Cowey A (2011) On the usefulness of ‘what’ and ‘where’ pathways in vision. </w:t>
      </w:r>
      <w:r>
        <w:rPr>
          <w:i/>
          <w:iCs/>
        </w:rPr>
        <w:t xml:space="preserve">Trends Cogn Sci</w:t>
      </w:r>
      <w:r>
        <w:t xml:space="preserve"> 15:460–466.</w:t>
      </w:r>
    </w:p>
    <w:p>
      <w:pPr>
        <w:spacing w:after="80"/>
      </w:pPr>
      <w:r>
        <w:t xml:space="preserve">11. van der Schaft AJ, Jeltsema D (2014) Port-Hamiltonian systems theory: An introductory overview. </w:t>
      </w:r>
      <w:r>
        <w:rPr>
          <w:i/>
          <w:iCs/>
        </w:rPr>
        <w:t xml:space="preserve">Found Trends Syst Control</w:t>
      </w:r>
      <w:r>
        <w:t xml:space="preserve"> 1:173–378.</w:t>
      </w:r>
    </w:p>
    <w:p>
      <w:pPr>
        <w:spacing w:after="80"/>
      </w:pPr>
      <w:r>
        <w:t xml:space="preserve">12. Duindam V, Macchelli A, Stramigioli S, Bruyninckx H, eds (2009) </w:t>
      </w:r>
      <w:r>
        <w:rPr>
          <w:i/>
          <w:iCs/>
        </w:rPr>
        <w:t xml:space="preserve">Modeling and Control of Complex Physical Systems: The Port-Hamiltonian Approach</w:t>
      </w:r>
      <w:r>
        <w:t xml:space="preserve"> (Springer, Berlin).</w:t>
      </w:r>
    </w:p>
    <w:p>
      <w:pPr>
        <w:spacing w:after="80"/>
      </w:pPr>
      <w:r>
        <w:t xml:space="preserve">13. Fisher RA (1925) Theory of statistical estimation. </w:t>
      </w:r>
      <w:r>
        <w:rPr>
          <w:i/>
          <w:iCs/>
        </w:rPr>
        <w:t xml:space="preserve">Math Proc Cambridge Philos Soc</w:t>
      </w:r>
      <w:r>
        <w:t xml:space="preserve"> 22:700–725.</w:t>
      </w:r>
    </w:p>
    <w:p>
      <w:pPr>
        <w:spacing w:after="80"/>
      </w:pPr>
      <w:r>
        <w:t xml:space="preserve">14. Brunel N, Nadal J-P (1998) Mutual information, Fisher information, and population coding. </w:t>
      </w:r>
      <w:r>
        <w:rPr>
          <w:i/>
          <w:iCs/>
        </w:rPr>
        <w:t xml:space="preserve">Neural Comput</w:t>
      </w:r>
      <w:r>
        <w:t xml:space="preserve"> 10:1731–1757.</w:t>
      </w:r>
    </w:p>
    <w:p>
      <w:pPr>
        <w:spacing w:after="80"/>
      </w:pPr>
      <w:r>
        <w:t xml:space="preserve">15. Salardini A, et al. (2026) A dorsoventral gradient of rotational dynamics in human cortex. </w:t>
      </w:r>
      <w:r>
        <w:rPr>
          <w:i/>
          <w:iCs/>
        </w:rPr>
        <w:t xml:space="preserve">Nature Neuroscience</w:t>
      </w:r>
      <w:r>
        <w:t xml:space="preserve"> [submitted].</w:t>
      </w:r>
    </w:p>
    <w:p>
      <w:pPr>
        <w:spacing w:after="80"/>
      </w:pPr>
      <w:r>
        <w:t xml:space="preserve">16. Ma WJ, Beck JM, Latham PE, Pouget A (2006) Bayesian inference with probabilistic population codes. </w:t>
      </w:r>
      <w:r>
        <w:rPr>
          <w:i/>
          <w:iCs/>
        </w:rPr>
        <w:t xml:space="preserve">Nat Neurosci</w:t>
      </w:r>
      <w:r>
        <w:t xml:space="preserve"> 9:1432–1438.</w:t>
      </w:r>
    </w:p>
    <w:p>
      <w:pPr>
        <w:spacing w:after="80"/>
      </w:pPr>
      <w:r>
        <w:t xml:space="preserve">17. Pouget A, Beck JM, Ma WJ, Latham PE (2013) Probabilistic brains: knowns and unknowns. </w:t>
      </w:r>
      <w:r>
        <w:rPr>
          <w:i/>
          <w:iCs/>
        </w:rPr>
        <w:t xml:space="preserve">Nat Neurosci</w:t>
      </w:r>
      <w:r>
        <w:t xml:space="preserve"> 16:1170–1178.</w:t>
      </w:r>
    </w:p>
    <w:p>
      <w:pPr>
        <w:spacing w:after="80"/>
      </w:pPr>
      <w:r>
        <w:t xml:space="preserve">18. Friston K (2010) The free-energy principle: a unified brain theory? </w:t>
      </w:r>
      <w:r>
        <w:rPr>
          <w:i/>
          <w:iCs/>
        </w:rPr>
        <w:t xml:space="preserve">Nat Rev Neurosci</w:t>
      </w:r>
      <w:r>
        <w:t xml:space="preserve"> 11:127–138.</w:t>
      </w:r>
    </w:p>
    <w:p>
      <w:pPr>
        <w:spacing w:after="80"/>
      </w:pPr>
      <w:r>
        <w:t xml:space="preserve">19. Singer W, Gray CM (1995) Visual feature integration and the temporal correlation hypothesis. </w:t>
      </w:r>
      <w:r>
        <w:rPr>
          <w:i/>
          <w:iCs/>
        </w:rPr>
        <w:t xml:space="preserve">Annu Rev Neurosci</w:t>
      </w:r>
      <w:r>
        <w:t xml:space="preserve"> 18:555–586.</w:t>
      </w:r>
    </w:p>
    <w:p>
      <w:pPr>
        <w:spacing w:after="80"/>
      </w:pPr>
      <w:r>
        <w:t xml:space="preserve">20. Fries P (2015) Rhythms for cognition: communication through coherence. </w:t>
      </w:r>
      <w:r>
        <w:rPr>
          <w:i/>
          <w:iCs/>
        </w:rPr>
        <w:t xml:space="preserve">Neuron</w:t>
      </w:r>
      <w:r>
        <w:t xml:space="preserve"> 88:220–235.</w:t>
      </w:r>
    </w:p>
    <w:p>
      <w:pPr>
        <w:spacing w:after="80"/>
      </w:pPr>
      <w:r>
        <w:t xml:space="preserve">21. Orbán G, Berkes P, Fiser J, Lengyel M (2016) Neural variability and sampling-based probabilistic representations in the visual cortex. </w:t>
      </w:r>
      <w:r>
        <w:rPr>
          <w:i/>
          <w:iCs/>
        </w:rPr>
        <w:t xml:space="preserve">Neuron</w:t>
      </w:r>
      <w:r>
        <w:t xml:space="preserve"> 92:530–543. See also: Echeveste R, Aitchison L, Hennequin G, Lengyel M (2020) Cortical-like dynamics in recurrent circuits optimized for sampling-based probabilistic inference. </w:t>
      </w:r>
      <w:r>
        <w:rPr>
          <w:i/>
          <w:iCs/>
        </w:rPr>
        <w:t xml:space="preserve">Nat Neurosci</w:t>
      </w:r>
      <w:r>
        <w:t xml:space="preserve"> 23:1138–1149.</w:t>
      </w:r>
    </w:p>
    <w:p>
      <w:pPr>
        <w:spacing w:after="80"/>
      </w:pPr>
      <w:r>
        <w:t xml:space="preserve">22. Guarino D, et al. (2023) Reproducible cortical firing patterns emerge without strong recurrent connectivity. </w:t>
      </w:r>
      <w:r>
        <w:rPr>
          <w:i/>
          <w:iCs/>
        </w:rPr>
        <w:t xml:space="preserve">Nature</w:t>
      </w:r>
      <w:r>
        <w:t xml:space="preserve"> [see text for discussion].</w:t>
      </w:r>
    </w:p>
    <w:p>
      <w:pPr>
        <w:spacing w:after="80"/>
      </w:pPr>
      <w:r>
        <w:t xml:space="preserve">23. Braak H, Braak E (1991) Neuropathological stageing of Alzheimer-related changes. </w:t>
      </w:r>
      <w:r>
        <w:rPr>
          <w:i/>
          <w:iCs/>
        </w:rPr>
        <w:t xml:space="preserve">Acta Neuropathol</w:t>
      </w:r>
      <w:r>
        <w:t xml:space="preserve"> 82:239–259.</w:t>
      </w:r>
    </w:p>
    <w:p>
      <w:pPr>
        <w:spacing w:after="80"/>
      </w:pPr>
      <w:r>
        <w:t xml:space="preserve">24. Cordoni F, Di Persio L, Muradore R (2022) Stochastic port-Hamiltonian systems. </w:t>
      </w:r>
      <w:r>
        <w:rPr>
          <w:i/>
          <w:iCs/>
        </w:rPr>
        <w:t xml:space="preserve">J Nonlinear Sci</w:t>
      </w:r>
      <w:r>
        <w:t xml:space="preserve"> 32:65.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00000"/>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2026-02-23T18:20:20.188Z</dcterms:created>
  <dcterms:modified xsi:type="dcterms:W3CDTF">2026-02-23T18:20:20.189Z</dcterms:modified>
</cp:coreProperties>
</file>

<file path=docProps/custom.xml><?xml version="1.0" encoding="utf-8"?>
<Properties xmlns="http://schemas.openxmlformats.org/officeDocument/2006/custom-properties" xmlns:vt="http://schemas.openxmlformats.org/officeDocument/2006/docPropsVTypes"/>
</file>