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March 4, 2026</w:t>
      </w:r>
    </w:p>
    <w:p>
      <w:pPr>
        <w:spacing w:after="100"/>
      </w:pP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Editor-in-Chief</w:t>
      </w:r>
    </w:p>
    <w:p>
      <w:pPr>
        <w:spacing w:after="200" w:line="276"/>
        <w:jc w:val="lef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Alzheimer’s &amp; Dementia: Diagnosis, Assessment &amp; Disease Monitoring</w:t>
      </w:r>
    </w:p>
    <w:p>
      <w:pPr>
        <w:spacing w:after="200"/>
      </w:pP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Dear Editor,</w:t>
      </w:r>
    </w:p>
    <w:p>
      <w:pPr>
        <w:spacing w:after="100"/>
      </w:pP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We submit for your consideration our manuscript entitled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“A Port-Hamiltonian Framework Reveals Dorsoventral Gradient Disruption as an Early Signature of Alzheimer’s Disease.”</w:t>
      </w:r>
      <w:r>
        <w:rPr>
          <w:rFonts w:ascii="Arial" w:cs="Arial" w:eastAsia="Arial" w:hAnsi="Arial"/>
          <w:sz w:val="24"/>
          <w:szCs w:val="24"/>
        </w:rPr>
        <w:t xml:space="preserve"> We believe this work is well suited to DADM’s mission of publishing advances in biomarker discovery, validation, and tools for early identification of at-risk individuals.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We apply port-Hamiltonian systems theory—a mathematical framework from control engineering for modeling energy-exchanging systems—to resting-state EEG from three cohorts: a discovery sample (36 AD, 23 FTD, 29 controls), a within-subject condition replication (same subjects, eyes-open photic stimulation), and an independent preclinical validation cohort from the Antioquia, Colombia PSEN1 E280A kindred (27 presymptomatic carriers, 16 non-carrier family members). We introduce the AR(2) eigenvalue modulus (ρ), which we prove analytically indexes the balance of conservative (oscillatory) and dissipative dynamics in cortical circuits, as a novel EEG biomarker.</w:t>
      </w:r>
    </w:p>
    <w:p>
      <w:pPr>
        <w:spacing w:after="200" w:line="276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findings. </w:t>
      </w:r>
      <w:r>
        <w:rPr>
          <w:rFonts w:ascii="Arial" w:cs="Arial" w:eastAsia="Arial" w:hAnsi="Arial"/>
          <w:sz w:val="24"/>
          <w:szCs w:val="24"/>
        </w:rPr>
        <w:t xml:space="preserve">(1) Healthy controls show a robust dorsoventral gradient in ρ from scalp EEG, with frequency-specific organization replicating patterns from source-reconstructed MEG. (2) Alzheimer’s disease profoundly flattens this gradient (alpha band: Cohen’s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d</w:t>
      </w:r>
      <w:r>
        <w:rPr>
          <w:rFonts w:ascii="Arial" w:cs="Arial" w:eastAsia="Arial" w:hAnsi="Arial"/>
          <w:sz w:val="24"/>
          <w:szCs w:val="24"/>
        </w:rPr>
        <w:t xml:space="preserve"> = 1.175,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p</w:t>
      </w:r>
      <w:r>
        <w:rPr>
          <w:rFonts w:ascii="Arial" w:cs="Arial" w:eastAsia="Arial" w:hAnsi="Arial"/>
          <w:sz w:val="24"/>
          <w:szCs w:val="24"/>
        </w:rPr>
        <w:t xml:space="preserve"> &lt; 0.0001), an effect that is stable across recording conditions (eyes-open: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d</w:t>
      </w:r>
      <w:r>
        <w:rPr>
          <w:rFonts w:ascii="Arial" w:cs="Arial" w:eastAsia="Arial" w:hAnsi="Arial"/>
          <w:sz w:val="24"/>
          <w:szCs w:val="24"/>
        </w:rPr>
        <w:t xml:space="preserve"> = 0.610). (3) The gradient tracks cognitive severity across the diagnostic spectrum (ρ</w:t>
      </w:r>
      <w:r>
        <w:rPr>
          <w:rFonts w:ascii="Arial" w:cs="Arial" w:eastAsia="Arial" w:hAnsi="Arial"/>
          <w:sz w:val="24"/>
          <w:szCs w:val="24"/>
          <w:vertAlign w:val="superscript"/>
        </w:rPr>
        <w:t xml:space="preserve">s</w:t>
      </w:r>
      <w:r>
        <w:rPr>
          <w:rFonts w:ascii="Arial" w:cs="Arial" w:eastAsia="Arial" w:hAnsi="Arial"/>
          <w:sz w:val="24"/>
          <w:szCs w:val="24"/>
        </w:rPr>
        <w:t xml:space="preserve"> = −0.434 vs. MMSE). (4) A single scalar feature—the alpha DV gradient—classifies AD versus controls with AUC = 0.825 (72% sensitivity, 90% specificity) in 5-fold cross-validation. (5) Presymptomatic PSEN1 carriers show globally elevated delta-band ρ (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d</w:t>
      </w:r>
      <w:r>
        <w:rPr>
          <w:rFonts w:ascii="Arial" w:cs="Arial" w:eastAsia="Arial" w:hAnsi="Arial"/>
          <w:sz w:val="24"/>
          <w:szCs w:val="24"/>
        </w:rPr>
        <w:t xml:space="preserve"> = 0.917) while the topographic gradient remains intact, suggesting global dissipative imbalance precedes regional gradient disruption by approximately two decades.</w:t>
      </w:r>
    </w:p>
    <w:p>
      <w:pPr>
        <w:spacing w:after="200" w:line="276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Novelty. </w:t>
      </w:r>
      <w:r>
        <w:rPr>
          <w:rFonts w:ascii="Arial" w:cs="Arial" w:eastAsia="Arial" w:hAnsi="Arial"/>
          <w:sz w:val="24"/>
          <w:szCs w:val="24"/>
        </w:rPr>
        <w:t xml:space="preserve">The EEG-AD biomarker literature is dominated by spectral power, coherence, and entropy measures. The eigenvalue modulus ρ is a fundamentally different observable: it indexes not how much power is in a frequency band, but how the underlying dynamical system balances energy-preserving oscillation against dissipation. We provide a closed-form analytical proof linking ρ to the port-Hamiltonian J/R decomposition (||Ĵ||</w:t>
      </w:r>
      <w:r>
        <w:rPr>
          <w:rFonts w:ascii="Arial" w:cs="Arial" w:eastAsia="Arial" w:hAnsi="Arial"/>
          <w:sz w:val="24"/>
          <w:szCs w:val="24"/>
          <w:vertAlign w:val="superscript"/>
        </w:rPr>
        <w:t xml:space="preserve">F</w:t>
      </w:r>
      <w:r>
        <w:rPr>
          <w:rFonts w:ascii="Arial" w:cs="Arial" w:eastAsia="Arial" w:hAnsi="Arial"/>
          <w:sz w:val="24"/>
          <w:szCs w:val="24"/>
        </w:rPr>
        <w:t xml:space="preserve"> = (1 + ρ²)/√2), validate it with an E-I circuit toy model (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r</w:t>
      </w:r>
      <w:r>
        <w:rPr>
          <w:rFonts w:ascii="Arial" w:cs="Arial" w:eastAsia="Arial" w:hAnsi="Arial"/>
          <w:sz w:val="24"/>
          <w:szCs w:val="24"/>
        </w:rPr>
        <w:t xml:space="preserve"> = −0.998), and demonstrate that the resulting dissipation gradient is disrupted in clinical AD and globally perturbed in presymptomatic genetic carriers. No prior work has applied port-Hamiltonian theory to macroscopic cortical organization or used ρ as a disease biomarker.</w:t>
      </w:r>
    </w:p>
    <w:p>
      <w:pPr>
        <w:spacing w:after="200" w:line="276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Relationship to companion work. </w:t>
      </w:r>
      <w:r>
        <w:rPr>
          <w:rFonts w:ascii="Arial" w:cs="Arial" w:eastAsia="Arial" w:hAnsi="Arial"/>
          <w:sz w:val="24"/>
          <w:szCs w:val="24"/>
        </w:rPr>
        <w:t xml:space="preserve">A related manuscript (Salardini et al., “A dorsoventral gradient of rotational dynamics in human cortex,” currently under review at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Nature Neuroscience</w:t>
      </w:r>
      <w:r>
        <w:rPr>
          <w:rFonts w:ascii="Arial" w:cs="Arial" w:eastAsia="Arial" w:hAnsi="Arial"/>
          <w:sz w:val="24"/>
          <w:szCs w:val="24"/>
        </w:rPr>
        <w:t xml:space="preserve">) establishes the ρ gradient in source-reconstructed MEG from 204 healthy subjects. The present paper is distinct in three respects: (a) it demonstrates that the gradient is recoverable from routine 19-channel clinical EEG despite volume conduction; (b) it provides the first evidence that the gradient is disrupted by disease, tracks cognition, and is detectable presymptomatically; and (c) it introduces the port-Hamiltonian analytical framework linking ρ to dissipation structure, which the MEG paper does not develop. We disclose this companion manuscript in compliance with editorial policy and will provide a copy upon request.</w:t>
      </w:r>
    </w:p>
    <w:p>
      <w:pPr>
        <w:spacing w:after="200" w:line="276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Clinical significance. </w:t>
      </w:r>
      <w:r>
        <w:rPr>
          <w:rFonts w:ascii="Arial" w:cs="Arial" w:eastAsia="Arial" w:hAnsi="Arial"/>
          <w:sz w:val="24"/>
          <w:szCs w:val="24"/>
        </w:rPr>
        <w:t xml:space="preserve">If validated in larger cohorts, the ρ gradient offers a theoretically grounded, non-invasive biomarker measurable from a 5-minute resting-state recording on equipment available in virtually any clinic worldwide. The 90% specificity suggests potential utility as a screening tool. The presymptomatic signal in PSEN1 carriers opens a window for deployment in prevention trials targeting the earliest stages of AD pathophysiology.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All three EEG datasets are publicly available on OpenNeuro (ds004504, ds006036, ds007427). Analysis code and data are available in a public GitHub repository. We have no conflicts of interest to declare.</w:t>
      </w:r>
    </w:p>
    <w:p>
      <w:pPr>
        <w:spacing w:after="100"/>
      </w:pP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Sincerely,</w:t>
      </w:r>
    </w:p>
    <w:p>
      <w:pPr>
        <w:spacing w:after="100"/>
      </w:pPr>
    </w:p>
    <w:p>
      <w:pPr>
        <w:spacing w:after="200" w:line="276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Arash Salardini, MD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Division of Cognitive and Behavioral Neurology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Glenn Biggs Institute for Alzheimer’s &amp; Neurodegenerative Diseases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UT Health San Antonio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2026-03-04T06:19:34.797Z</dcterms:created>
  <dcterms:modified xsi:type="dcterms:W3CDTF">2026-03-04T06:19:34.797Z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