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80" w:line="360"/>
        <w:jc w:val="center"/>
      </w:pPr>
      <w:r>
        <w:rPr>
          <w:rFonts w:ascii="Times New Roman" w:cs="Times New Roman" w:eastAsia="Times New Roman" w:hAnsi="Times New Roman"/>
          <w:b/>
          <w:bCs/>
          <w:sz w:val="28"/>
          <w:szCs w:val="28"/>
        </w:rPr>
        <w:t xml:space="preserve">Figure Captions</w:t>
      </w:r>
    </w:p>
    <w:p>
      <w:pPr>
        <w:spacing w:after="120" w:line="360"/>
      </w:pPr>
    </w:p>
    <w:p>
      <w:pPr>
        <w:spacing w:after="200" w:line="360"/>
      </w:pPr>
      <w:r>
        <w:rPr>
          <w:rFonts w:ascii="Times New Roman" w:cs="Times New Roman" w:eastAsia="Times New Roman" w:hAnsi="Times New Roman"/>
          <w:b/>
          <w:bCs/>
          <w:sz w:val="24"/>
          <w:szCs w:val="24"/>
        </w:rPr>
        <w:t xml:space="preserve">Figure 1. A linearized excitatory–inhibitory circuit as a port-Hamiltonian system: </w:t>
      </w:r>
      <w:r>
        <w:rPr>
          <w:rFonts w:ascii="Times New Roman" w:cs="Times New Roman" w:eastAsia="Times New Roman" w:hAnsi="Times New Roman"/>
          <w:b/>
          <w:bCs/>
          <w:i/>
          <w:iCs/>
          <w:sz w:val="24"/>
          <w:szCs w:val="24"/>
        </w:rPr>
        <w:t xml:space="preserve">ρ</w:t>
      </w:r>
      <w:r>
        <w:rPr>
          <w:rFonts w:ascii="Times New Roman" w:cs="Times New Roman" w:eastAsia="Times New Roman" w:hAnsi="Times New Roman"/>
          <w:b/>
          <w:bCs/>
          <w:sz w:val="24"/>
          <w:szCs w:val="24"/>
        </w:rPr>
        <w:t xml:space="preserve"> reflects the effective dissipation rate of local cortical dynamics.</w:t>
      </w:r>
    </w:p>
    <w:p>
      <w:pPr>
        <w:spacing w:after="200" w:line="360"/>
      </w:pPr>
      <w:r>
        <w:rPr>
          <w:rFonts w:ascii="Times New Roman" w:cs="Times New Roman" w:eastAsia="Times New Roman" w:hAnsi="Times New Roman"/>
          <w:b/>
          <w:bCs/>
          <w:sz w:val="24"/>
          <w:szCs w:val="24"/>
        </w:rPr>
        <w:t xml:space="preserve">(A)</w:t>
      </w:r>
      <w:r>
        <w:rPr>
          <w:rFonts w:ascii="Times New Roman" w:cs="Times New Roman" w:eastAsia="Times New Roman" w:hAnsi="Times New Roman"/>
          <w:sz w:val="24"/>
          <w:szCs w:val="24"/>
        </w:rPr>
        <w:t xml:space="preserve"> Conceptual schematic. A local field potential time series is embedded in a delay-coordinate state space, and a linear dynamical system is fitted to the resulting trajectory. The eigenvalue modulus </w:t>
      </w:r>
      <w:r>
        <w:rPr>
          <w:rFonts w:ascii="Times New Roman" w:cs="Times New Roman" w:eastAsia="Times New Roman" w:hAnsi="Times New Roman"/>
          <w:i/>
          <w:iCs/>
          <w:sz w:val="24"/>
          <w:szCs w:val="24"/>
        </w:rPr>
        <w:t xml:space="preserve">ρ</w:t>
      </w:r>
      <w:r>
        <w:rPr>
          <w:rFonts w:ascii="Times New Roman" w:cs="Times New Roman" w:eastAsia="Times New Roman" w:hAnsi="Times New Roman"/>
          <w:sz w:val="24"/>
          <w:szCs w:val="24"/>
        </w:rPr>
        <w:t xml:space="preserve"> of the fitted companion matrix quantifies the prevalence of rotational (oscillatory) dynamics: values near 1 indicate persistent oscillation, lower values indicate rapid decay.</w:t>
      </w:r>
    </w:p>
    <w:p>
      <w:pPr>
        <w:spacing w:after="200" w:line="360"/>
      </w:pPr>
      <w:r>
        <w:rPr>
          <w:rFonts w:ascii="Times New Roman" w:cs="Times New Roman" w:eastAsia="Times New Roman" w:hAnsi="Times New Roman"/>
          <w:b/>
          <w:bCs/>
          <w:sz w:val="24"/>
          <w:szCs w:val="24"/>
        </w:rPr>
        <w:t xml:space="preserve">(B)</w:t>
      </w:r>
      <w:r>
        <w:rPr>
          <w:rFonts w:ascii="Times New Roman" w:cs="Times New Roman" w:eastAsia="Times New Roman" w:hAnsi="Times New Roman"/>
          <w:sz w:val="24"/>
          <w:szCs w:val="24"/>
        </w:rPr>
        <w:t xml:space="preserve"> Parameter sweep of a two-population E–I circuit. ρ (eigenvalue modulus of the discretized system matrix) increases monotonically with the excitatory time constant τ_E across four levels of E–I coupling strength </w:t>
      </w:r>
      <w:r>
        <w:rPr>
          <w:rFonts w:ascii="Times New Roman" w:cs="Times New Roman" w:eastAsia="Times New Roman" w:hAnsi="Times New Roman"/>
          <w:i/>
          <w:iCs/>
          <w:sz w:val="24"/>
          <w:szCs w:val="24"/>
        </w:rPr>
        <w:t xml:space="preserve">w</w:t>
      </w:r>
      <w:r>
        <w:rPr>
          <w:rFonts w:ascii="Times New Roman" w:cs="Times New Roman" w:eastAsia="Times New Roman" w:hAnsi="Times New Roman"/>
          <w:sz w:val="24"/>
          <w:szCs w:val="24"/>
        </w:rPr>
        <w:t xml:space="preserve"> (20–80). Ventral-like parameterizations (long τ_E, high </w:t>
      </w:r>
      <w:r>
        <w:rPr>
          <w:rFonts w:ascii="Times New Roman" w:cs="Times New Roman" w:eastAsia="Times New Roman" w:hAnsi="Times New Roman"/>
          <w:i/>
          <w:iCs/>
          <w:sz w:val="24"/>
          <w:szCs w:val="24"/>
        </w:rPr>
        <w:t xml:space="preserve">w</w:t>
      </w:r>
      <w:r>
        <w:rPr>
          <w:rFonts w:ascii="Times New Roman" w:cs="Times New Roman" w:eastAsia="Times New Roman" w:hAnsi="Times New Roman"/>
          <w:sz w:val="24"/>
          <w:szCs w:val="24"/>
        </w:rPr>
        <w:t xml:space="preserve">) yield high ρ (slow decay); dorsal-like parameterizations (short τ_E, low </w:t>
      </w:r>
      <w:r>
        <w:rPr>
          <w:rFonts w:ascii="Times New Roman" w:cs="Times New Roman" w:eastAsia="Times New Roman" w:hAnsi="Times New Roman"/>
          <w:i/>
          <w:iCs/>
          <w:sz w:val="24"/>
          <w:szCs w:val="24"/>
        </w:rPr>
        <w:t xml:space="preserve">w</w:t>
      </w:r>
      <w:r>
        <w:rPr>
          <w:rFonts w:ascii="Times New Roman" w:cs="Times New Roman" w:eastAsia="Times New Roman" w:hAnsi="Times New Roman"/>
          <w:sz w:val="24"/>
          <w:szCs w:val="24"/>
        </w:rPr>
        <w:t xml:space="preserve">) yield low </w:t>
      </w:r>
      <w:r>
        <w:rPr>
          <w:rFonts w:ascii="Times New Roman" w:cs="Times New Roman" w:eastAsia="Times New Roman" w:hAnsi="Times New Roman"/>
          <w:i/>
          <w:iCs/>
          <w:sz w:val="24"/>
          <w:szCs w:val="24"/>
        </w:rPr>
        <w:t xml:space="preserve">ρ</w:t>
      </w:r>
      <w:r>
        <w:rPr>
          <w:rFonts w:ascii="Times New Roman" w:cs="Times New Roman" w:eastAsia="Times New Roman" w:hAnsi="Times New Roman"/>
          <w:sz w:val="24"/>
          <w:szCs w:val="24"/>
        </w:rPr>
        <w:t xml:space="preserve"> (fast decay).</w:t>
      </w:r>
    </w:p>
    <w:p>
      <w:pPr>
        <w:spacing w:after="200" w:line="360"/>
      </w:pPr>
      <w:r>
        <w:rPr>
          <w:rFonts w:ascii="Times New Roman" w:cs="Times New Roman" w:eastAsia="Times New Roman" w:hAnsi="Times New Roman"/>
          <w:b/>
          <w:bCs/>
          <w:sz w:val="24"/>
          <w:szCs w:val="24"/>
        </w:rPr>
        <w:t xml:space="preserve">(C)</w:t>
      </w:r>
      <w:r>
        <w:rPr>
          <w:rFonts w:ascii="Times New Roman" w:cs="Times New Roman" w:eastAsia="Times New Roman" w:hAnsi="Times New Roman"/>
          <w:sz w:val="24"/>
          <w:szCs w:val="24"/>
        </w:rPr>
        <w:t xml:space="preserve"> ρ maps near-perfectly onto the dissipation rate of the continuous-time system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−0.998). Each point represents one (τ_E, </w:t>
      </w:r>
      <w:r>
        <w:rPr>
          <w:rFonts w:ascii="Times New Roman" w:cs="Times New Roman" w:eastAsia="Times New Roman" w:hAnsi="Times New Roman"/>
          <w:i/>
          <w:iCs/>
          <w:sz w:val="24"/>
          <w:szCs w:val="24"/>
        </w:rPr>
        <w:t xml:space="preserve">w</w:t>
      </w:r>
      <w:r>
        <w:rPr>
          <w:rFonts w:ascii="Times New Roman" w:cs="Times New Roman" w:eastAsia="Times New Roman" w:hAnsi="Times New Roman"/>
          <w:sz w:val="24"/>
          <w:szCs w:val="24"/>
        </w:rPr>
        <w:t xml:space="preserve">) parameterization; color encodes the quality factor </w:t>
      </w:r>
      <w:r>
        <w:rPr>
          <w:rFonts w:ascii="Times New Roman" w:cs="Times New Roman" w:eastAsia="Times New Roman" w:hAnsi="Times New Roman"/>
          <w:i/>
          <w:iCs/>
          <w:sz w:val="24"/>
          <w:szCs w:val="24"/>
        </w:rPr>
        <w:t xml:space="preserve">Q</w:t>
      </w:r>
      <w:r>
        <w:rPr>
          <w:rFonts w:ascii="Times New Roman" w:cs="Times New Roman" w:eastAsia="Times New Roman" w:hAnsi="Times New Roman"/>
          <w:sz w:val="24"/>
          <w:szCs w:val="24"/>
        </w:rPr>
        <w:t xml:space="preserve"> = |Im(λ)| / |Re(λ)|. Low-dissipation (ventral) parameterizations cluster at high ρ; high-dissipation (dorsal) parameterizations at low ρ.</w:t>
      </w:r>
    </w:p>
    <w:p>
      <w:pPr>
        <w:spacing w:after="200" w:line="360"/>
      </w:pPr>
      <w:r>
        <w:rPr>
          <w:rFonts w:ascii="Times New Roman" w:cs="Times New Roman" w:eastAsia="Times New Roman" w:hAnsi="Times New Roman"/>
          <w:b/>
          <w:bCs/>
          <w:sz w:val="24"/>
          <w:szCs w:val="24"/>
        </w:rPr>
        <w:t xml:space="preserve">(D)</w:t>
      </w:r>
      <w:r>
        <w:rPr>
          <w:rFonts w:ascii="Times New Roman" w:cs="Times New Roman" w:eastAsia="Times New Roman" w:hAnsi="Times New Roman"/>
          <w:sz w:val="24"/>
          <w:szCs w:val="24"/>
        </w:rPr>
        <w:t xml:space="preserve"> Phase portraits of the E–I system across dynamical regimes. Three representative parameterizations are shown: dorsal-like (τ_E = 10 ms, </w:t>
      </w:r>
      <w:r>
        <w:rPr>
          <w:rFonts w:ascii="Times New Roman" w:cs="Times New Roman" w:eastAsia="Times New Roman" w:hAnsi="Times New Roman"/>
          <w:i/>
          <w:iCs/>
          <w:sz w:val="24"/>
          <w:szCs w:val="24"/>
        </w:rPr>
        <w:t xml:space="preserve">w</w:t>
      </w:r>
      <w:r>
        <w:rPr>
          <w:rFonts w:ascii="Times New Roman" w:cs="Times New Roman" w:eastAsia="Times New Roman" w:hAnsi="Times New Roman"/>
          <w:sz w:val="24"/>
          <w:szCs w:val="24"/>
        </w:rPr>
        <w:t xml:space="preserve"> = 20, ρ = 0.677), intermediate (τ_E = 20 ms, </w:t>
      </w:r>
      <w:r>
        <w:rPr>
          <w:rFonts w:ascii="Times New Roman" w:cs="Times New Roman" w:eastAsia="Times New Roman" w:hAnsi="Times New Roman"/>
          <w:i/>
          <w:iCs/>
          <w:sz w:val="24"/>
          <w:szCs w:val="24"/>
        </w:rPr>
        <w:t xml:space="preserve">w</w:t>
      </w:r>
      <w:r>
        <w:rPr>
          <w:rFonts w:ascii="Times New Roman" w:cs="Times New Roman" w:eastAsia="Times New Roman" w:hAnsi="Times New Roman"/>
          <w:sz w:val="24"/>
          <w:szCs w:val="24"/>
        </w:rPr>
        <w:t xml:space="preserve"> = 40, ρ = 0.746), and ventral-like (τ_E = 40 ms, </w:t>
      </w:r>
      <w:r>
        <w:rPr>
          <w:rFonts w:ascii="Times New Roman" w:cs="Times New Roman" w:eastAsia="Times New Roman" w:hAnsi="Times New Roman"/>
          <w:i/>
          <w:iCs/>
          <w:sz w:val="24"/>
          <w:szCs w:val="24"/>
        </w:rPr>
        <w:t xml:space="preserve">w</w:t>
      </w:r>
      <w:r>
        <w:rPr>
          <w:rFonts w:ascii="Times New Roman" w:cs="Times New Roman" w:eastAsia="Times New Roman" w:hAnsi="Times New Roman"/>
          <w:sz w:val="24"/>
          <w:szCs w:val="24"/>
        </w:rPr>
        <w:t xml:space="preserve"> = 60, ρ = 0.783). Higher ρ corresponds to larger-amplitude limit-cycle oscillations in the excitatory–inhibitory phase plane.</w:t>
      </w:r>
    </w:p>
    <w:p>
      <w:pPr>
        <w:spacing w:after="400" w:line="360"/>
      </w:pPr>
      <w:r>
        <w:rPr>
          <w:rFonts w:ascii="Times New Roman" w:cs="Times New Roman" w:eastAsia="Times New Roman" w:hAnsi="Times New Roman"/>
          <w:b/>
          <w:bCs/>
          <w:sz w:val="24"/>
          <w:szCs w:val="24"/>
        </w:rPr>
        <w:t xml:space="preserve">(E)</w:t>
      </w:r>
      <w:r>
        <w:rPr>
          <w:rFonts w:ascii="Times New Roman" w:cs="Times New Roman" w:eastAsia="Times New Roman" w:hAnsi="Times New Roman"/>
          <w:sz w:val="24"/>
          <w:szCs w:val="24"/>
        </w:rPr>
        <w:t xml:space="preserve"> Discrete-time eigenvalue spectrum. Each point is a dominant eigenvalue from one model parameterization, plotted in the complex plane; color encodes ρ. High-ρ (ventral) eigenvalues cluster near the unit circle with large imaginary components (oscillatory modes), while low-ρ (dorsal) eigenvalues lie closer to the real axis and farther from the unit circle (overdamped, fast-decaying modes).</w:t>
      </w:r>
    </w:p>
    <w:p>
      <w:pPr>
        <w:spacing w:after="200" w:line="360"/>
      </w:pPr>
      <w:r>
        <w:rPr>
          <w:rFonts w:ascii="Times New Roman" w:cs="Times New Roman" w:eastAsia="Times New Roman" w:hAnsi="Times New Roman"/>
          <w:b/>
          <w:bCs/>
          <w:sz w:val="24"/>
          <w:szCs w:val="24"/>
        </w:rPr>
        <w:t xml:space="preserve">Figure 2. Extracting rotational persistence (</w:t>
      </w:r>
      <w:r>
        <w:rPr>
          <w:rFonts w:ascii="Times New Roman" w:cs="Times New Roman" w:eastAsia="Times New Roman" w:hAnsi="Times New Roman"/>
          <w:b/>
          <w:bCs/>
          <w:i/>
          <w:iCs/>
          <w:sz w:val="24"/>
          <w:szCs w:val="24"/>
        </w:rPr>
        <w:t xml:space="preserve">ρ</w:t>
      </w:r>
      <w:r>
        <w:rPr>
          <w:rFonts w:ascii="Times New Roman" w:cs="Times New Roman" w:eastAsia="Times New Roman" w:hAnsi="Times New Roman"/>
          <w:b/>
          <w:bCs/>
          <w:sz w:val="24"/>
          <w:szCs w:val="24"/>
        </w:rPr>
        <w:t xml:space="preserve">) from scalp EEG reveals a dorsoventral gradient.</w:t>
      </w:r>
    </w:p>
    <w:p>
      <w:pPr>
        <w:spacing w:after="200" w:line="360"/>
      </w:pPr>
      <w:r>
        <w:rPr>
          <w:rFonts w:ascii="Times New Roman" w:cs="Times New Roman" w:eastAsia="Times New Roman" w:hAnsi="Times New Roman"/>
          <w:b/>
          <w:bCs/>
          <w:sz w:val="24"/>
          <w:szCs w:val="24"/>
        </w:rPr>
        <w:t xml:space="preserve">(A)</w:t>
      </w:r>
      <w:r>
        <w:rPr>
          <w:rFonts w:ascii="Times New Roman" w:cs="Times New Roman" w:eastAsia="Times New Roman" w:hAnsi="Times New Roman"/>
          <w:sz w:val="24"/>
          <w:szCs w:val="24"/>
        </w:rPr>
        <w:t xml:space="preserve"> AR(2) method. ρ (eigenvalue modulus of a second-order autoregressive model) plotted against dorsoventral (DV) electrode position for the discovery cohort (OpenNeuro ds004504;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 88). Each point is one channel from one subject, colored by DV position; the regression line shows a strong negative gradient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² = 0.953,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3.3 × 10⁻⁴⁰). Ventral electrodes exhibit higher </w:t>
      </w:r>
      <w:r>
        <w:rPr>
          <w:rFonts w:ascii="Times New Roman" w:cs="Times New Roman" w:eastAsia="Times New Roman" w:hAnsi="Times New Roman"/>
          <w:i/>
          <w:iCs/>
          <w:sz w:val="24"/>
          <w:szCs w:val="24"/>
        </w:rPr>
        <w:t xml:space="preserve">ρ</w:t>
      </w:r>
      <w:r>
        <w:rPr>
          <w:rFonts w:ascii="Times New Roman" w:cs="Times New Roman" w:eastAsia="Times New Roman" w:hAnsi="Times New Roman"/>
          <w:sz w:val="24"/>
          <w:szCs w:val="24"/>
        </w:rPr>
        <w:t xml:space="preserve"> (more oscillatory) and dorsal electrodes lower </w:t>
      </w:r>
      <w:r>
        <w:rPr>
          <w:rFonts w:ascii="Times New Roman" w:cs="Times New Roman" w:eastAsia="Times New Roman" w:hAnsi="Times New Roman"/>
          <w:i/>
          <w:iCs/>
          <w:sz w:val="24"/>
          <w:szCs w:val="24"/>
        </w:rPr>
        <w:t xml:space="preserve">ρ</w:t>
      </w:r>
      <w:r>
        <w:rPr>
          <w:rFonts w:ascii="Times New Roman" w:cs="Times New Roman" w:eastAsia="Times New Roman" w:hAnsi="Times New Roman"/>
          <w:sz w:val="24"/>
          <w:szCs w:val="24"/>
        </w:rPr>
        <w:t xml:space="preserve"> (more damped).</w:t>
      </w:r>
    </w:p>
    <w:p>
      <w:pPr>
        <w:spacing w:after="200" w:line="360"/>
      </w:pPr>
      <w:r>
        <w:rPr>
          <w:rFonts w:ascii="Times New Roman" w:cs="Times New Roman" w:eastAsia="Times New Roman" w:hAnsi="Times New Roman"/>
          <w:b/>
          <w:bCs/>
          <w:sz w:val="24"/>
          <w:szCs w:val="24"/>
        </w:rPr>
        <w:t xml:space="preserve">(B)</w:t>
      </w:r>
      <w:r>
        <w:rPr>
          <w:rFonts w:ascii="Times New Roman" w:cs="Times New Roman" w:eastAsia="Times New Roman" w:hAnsi="Times New Roman"/>
          <w:sz w:val="24"/>
          <w:szCs w:val="24"/>
        </w:rPr>
        <w:t xml:space="preserve"> Linear dynamical system (LDS) method. ρ estimated via a state-space model (eigenvalue modulus of the fitted transition matrix) shows a concordant DV gradient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² = 0.249,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5.0 × 10⁻⁵), confirming that the gradient is not an artifact of the AR(2) estimation procedure.</w:t>
      </w:r>
    </w:p>
    <w:p>
      <w:pPr>
        <w:spacing w:after="200" w:line="360"/>
      </w:pPr>
      <w:r>
        <w:rPr>
          <w:rFonts w:ascii="Times New Roman" w:cs="Times New Roman" w:eastAsia="Times New Roman" w:hAnsi="Times New Roman"/>
          <w:b/>
          <w:bCs/>
          <w:sz w:val="24"/>
          <w:szCs w:val="24"/>
        </w:rPr>
        <w:t xml:space="preserve">(C)</w:t>
      </w:r>
      <w:r>
        <w:rPr>
          <w:rFonts w:ascii="Times New Roman" w:cs="Times New Roman" w:eastAsia="Times New Roman" w:hAnsi="Times New Roman"/>
          <w:sz w:val="24"/>
          <w:szCs w:val="24"/>
        </w:rPr>
        <w:t xml:space="preserve"> Cross-validation of AR(2) against LDS estimates. The two methods agree closely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0.976,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3.3 × 10⁻⁴⁰), confirming robust estimation of </w:t>
      </w:r>
      <w:r>
        <w:rPr>
          <w:rFonts w:ascii="Times New Roman" w:cs="Times New Roman" w:eastAsia="Times New Roman" w:hAnsi="Times New Roman"/>
          <w:i/>
          <w:iCs/>
          <w:sz w:val="24"/>
          <w:szCs w:val="24"/>
        </w:rPr>
        <w:t xml:space="preserve">ρ</w:t>
      </w:r>
      <w:r>
        <w:rPr>
          <w:rFonts w:ascii="Times New Roman" w:cs="Times New Roman" w:eastAsia="Times New Roman" w:hAnsi="Times New Roman"/>
          <w:sz w:val="24"/>
          <w:szCs w:val="24"/>
        </w:rPr>
        <w:t xml:space="preserve"> from scalp EEG regardless of model order.</w:t>
      </w:r>
    </w:p>
    <w:p>
      <w:pPr>
        <w:spacing w:after="200" w:line="360"/>
      </w:pPr>
      <w:r>
        <w:rPr>
          <w:rFonts w:ascii="Times New Roman" w:cs="Times New Roman" w:eastAsia="Times New Roman" w:hAnsi="Times New Roman"/>
          <w:b/>
          <w:bCs/>
          <w:sz w:val="24"/>
          <w:szCs w:val="24"/>
        </w:rPr>
        <w:t xml:space="preserve">(D)</w:t>
      </w:r>
      <w:r>
        <w:rPr>
          <w:rFonts w:ascii="Times New Roman" w:cs="Times New Roman" w:eastAsia="Times New Roman" w:hAnsi="Times New Roman"/>
          <w:sz w:val="24"/>
          <w:szCs w:val="24"/>
        </w:rPr>
        <w:t xml:space="preserve"> Eigenvalue spectrum. Representative eigenvalues from a dorsal electrode (Cz, </w:t>
      </w:r>
      <w:r>
        <w:rPr>
          <w:rFonts w:ascii="Times New Roman" w:cs="Times New Roman" w:eastAsia="Times New Roman" w:hAnsi="Times New Roman"/>
          <w:i/>
          <w:iCs/>
          <w:sz w:val="24"/>
          <w:szCs w:val="24"/>
        </w:rPr>
        <w:t xml:space="preserve">ρ</w:t>
      </w:r>
      <w:r>
        <w:rPr>
          <w:rFonts w:ascii="Times New Roman" w:cs="Times New Roman" w:eastAsia="Times New Roman" w:hAnsi="Times New Roman"/>
          <w:sz w:val="24"/>
          <w:szCs w:val="24"/>
        </w:rPr>
        <w:t xml:space="preserve"> = 0.981) and a ventral electrode (T7, ρ = 0.990) plotted in the complex plane. Ventral eigenvalues lie closer to the unit circle, reflecting more persistent oscillatory dynamics.</w:t>
      </w:r>
    </w:p>
    <w:p>
      <w:pPr>
        <w:spacing w:after="200" w:line="360"/>
      </w:pPr>
      <w:r>
        <w:rPr>
          <w:rFonts w:ascii="Times New Roman" w:cs="Times New Roman" w:eastAsia="Times New Roman" w:hAnsi="Times New Roman"/>
          <w:b/>
          <w:bCs/>
          <w:sz w:val="24"/>
          <w:szCs w:val="24"/>
        </w:rPr>
        <w:t xml:space="preserve">(E)</w:t>
      </w:r>
      <w:r>
        <w:rPr>
          <w:rFonts w:ascii="Times New Roman" w:cs="Times New Roman" w:eastAsia="Times New Roman" w:hAnsi="Times New Roman"/>
          <w:sz w:val="24"/>
          <w:szCs w:val="24"/>
        </w:rPr>
        <w:t xml:space="preserve"> Epoch-level ρ distributions. Histograms of single-epoch AR(2) ρ values for dorsal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 1,440 epochs) and ventral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 1,530 epochs) electrodes. The ventral distribution is shifted rightward (higher ρ), confirming the gradient at single-trial resolution.</w:t>
      </w:r>
    </w:p>
    <w:p>
      <w:pPr>
        <w:spacing w:after="400" w:line="360"/>
      </w:pPr>
      <w:r>
        <w:rPr>
          <w:rFonts w:ascii="Times New Roman" w:cs="Times New Roman" w:eastAsia="Times New Roman" w:hAnsi="Times New Roman"/>
          <w:b/>
          <w:bCs/>
          <w:sz w:val="24"/>
          <w:szCs w:val="24"/>
        </w:rPr>
        <w:t xml:space="preserve">(F)</w:t>
      </w:r>
      <w:r>
        <w:rPr>
          <w:rFonts w:ascii="Times New Roman" w:cs="Times New Roman" w:eastAsia="Times New Roman" w:hAnsi="Times New Roman"/>
          <w:sz w:val="24"/>
          <w:szCs w:val="24"/>
        </w:rPr>
        <w:t xml:space="preserve"> State-space trajectories. Delay-embedded EEG trajectories from representative dorsal and ventral electrodes. Ventral trajectories exhibit tighter, more circular orbits consistent with sustained rotational dynamics (high ρ); dorsal trajectories are more irregular and rapidly decaying (low ρ).</w:t>
      </w:r>
    </w:p>
    <w:p>
      <w:pPr>
        <w:spacing w:after="200" w:line="360"/>
      </w:pPr>
      <w:r>
        <w:rPr>
          <w:rFonts w:ascii="Times New Roman" w:cs="Times New Roman" w:eastAsia="Times New Roman" w:hAnsi="Times New Roman"/>
          <w:b/>
          <w:bCs/>
          <w:sz w:val="24"/>
          <w:szCs w:val="24"/>
        </w:rPr>
        <w:t xml:space="preserve">Figure 3. Port-Hamiltonian decomposition of cortical EEG dynamics.</w:t>
      </w:r>
    </w:p>
    <w:p>
      <w:pPr>
        <w:spacing w:after="200" w:line="360"/>
      </w:pPr>
      <w:r>
        <w:rPr>
          <w:rFonts w:ascii="Times New Roman" w:cs="Times New Roman" w:eastAsia="Times New Roman" w:hAnsi="Times New Roman"/>
          <w:b/>
          <w:bCs/>
          <w:sz w:val="24"/>
          <w:szCs w:val="24"/>
        </w:rPr>
        <w:t xml:space="preserve">(A)</w:t>
      </w:r>
      <w:r>
        <w:rPr>
          <w:rFonts w:ascii="Times New Roman" w:cs="Times New Roman" w:eastAsia="Times New Roman" w:hAnsi="Times New Roman"/>
          <w:sz w:val="24"/>
          <w:szCs w:val="24"/>
        </w:rPr>
        <w:t xml:space="preserve"> Companion matrix decomposition. The AR(2) companion matrix is decomposed into a skew-symmetric (energy-conserving) component Ĵ and a symmetric (dissipative) component Ŝ. The Frobenius norm of Ĵ is a parameter-free function of ρ alone (‖Ĵ‖</w:t>
      </w:r>
      <w:r>
        <w:rPr>
          <w:rFonts w:ascii="Times New Roman" w:cs="Times New Roman" w:eastAsia="Times New Roman" w:hAnsi="Times New Roman"/>
          <w:sz w:val="24"/>
          <w:szCs w:val="24"/>
          <w:vertAlign w:val="subscript"/>
        </w:rPr>
        <w:t xml:space="preserve">F</w:t>
      </w:r>
      <w:r>
        <w:rPr>
          <w:rFonts w:ascii="Times New Roman" w:cs="Times New Roman" w:eastAsia="Times New Roman" w:hAnsi="Times New Roman"/>
          <w:sz w:val="24"/>
          <w:szCs w:val="24"/>
        </w:rPr>
        <w:t xml:space="preserve"> = (1 + ρ²)/√2; solid blue curve), while ‖Ŝ‖</w:t>
      </w:r>
      <w:r>
        <w:rPr>
          <w:rFonts w:ascii="Times New Roman" w:cs="Times New Roman" w:eastAsia="Times New Roman" w:hAnsi="Times New Roman"/>
          <w:sz w:val="24"/>
          <w:szCs w:val="24"/>
          <w:vertAlign w:val="subscript"/>
        </w:rPr>
        <w:t xml:space="preserve">F</w:t>
      </w:r>
      <w:r>
        <w:rPr>
          <w:rFonts w:ascii="Times New Roman" w:cs="Times New Roman" w:eastAsia="Times New Roman" w:hAnsi="Times New Roman"/>
          <w:sz w:val="24"/>
          <w:szCs w:val="24"/>
        </w:rPr>
        <w:t xml:space="preserve"> depends on both </w:t>
      </w:r>
      <w:r>
        <w:rPr>
          <w:rFonts w:ascii="Times New Roman" w:cs="Times New Roman" w:eastAsia="Times New Roman" w:hAnsi="Times New Roman"/>
          <w:i/>
          <w:iCs/>
          <w:sz w:val="24"/>
          <w:szCs w:val="24"/>
        </w:rPr>
        <w:t xml:space="preserve">ρ</w:t>
      </w:r>
      <w:r>
        <w:rPr>
          <w:rFonts w:ascii="Times New Roman" w:cs="Times New Roman" w:eastAsia="Times New Roman" w:hAnsi="Times New Roman"/>
          <w:sz w:val="24"/>
          <w:szCs w:val="24"/>
        </w:rPr>
        <w:t xml:space="preserve"> and oscillation frequency (dashed lines: representative frequencies from </w:t>
      </w:r>
      <w:r>
        <w:rPr>
          <w:rFonts w:ascii="Times New Roman" w:cs="Times New Roman" w:eastAsia="Times New Roman" w:hAnsi="Times New Roman"/>
          <w:i/>
          <w:iCs/>
          <w:sz w:val="24"/>
          <w:szCs w:val="24"/>
        </w:rPr>
        <w:t xml:space="preserve">δ</w:t>
      </w:r>
      <w:r>
        <w:rPr>
          <w:rFonts w:ascii="Times New Roman" w:cs="Times New Roman" w:eastAsia="Times New Roman" w:hAnsi="Times New Roman"/>
          <w:sz w:val="24"/>
          <w:szCs w:val="24"/>
        </w:rPr>
        <w:t xml:space="preserve"> 2.5 Hz to </w:t>
      </w:r>
      <w:r>
        <w:rPr>
          <w:rFonts w:ascii="Times New Roman" w:cs="Times New Roman" w:eastAsia="Times New Roman" w:hAnsi="Times New Roman"/>
          <w:i/>
          <w:iCs/>
          <w:sz w:val="24"/>
          <w:szCs w:val="24"/>
        </w:rPr>
        <w:t xml:space="preserve">β</w:t>
      </w:r>
      <w:r>
        <w:rPr>
          <w:rFonts w:ascii="Times New Roman" w:cs="Times New Roman" w:eastAsia="Times New Roman" w:hAnsi="Times New Roman"/>
          <w:sz w:val="24"/>
          <w:szCs w:val="24"/>
        </w:rPr>
        <w:t xml:space="preserve"> 21 Hz).</w:t>
      </w:r>
    </w:p>
    <w:p>
      <w:pPr>
        <w:spacing w:after="200" w:line="360"/>
      </w:pPr>
      <w:r>
        <w:rPr>
          <w:rFonts w:ascii="Times New Roman" w:cs="Times New Roman" w:eastAsia="Times New Roman" w:hAnsi="Times New Roman"/>
          <w:b/>
          <w:bCs/>
          <w:sz w:val="24"/>
          <w:szCs w:val="24"/>
        </w:rPr>
        <w:t xml:space="preserve">(B)</w:t>
      </w:r>
      <w:r>
        <w:rPr>
          <w:rFonts w:ascii="Times New Roman" w:cs="Times New Roman" w:eastAsia="Times New Roman" w:hAnsi="Times New Roman"/>
          <w:sz w:val="24"/>
          <w:szCs w:val="24"/>
        </w:rPr>
        <w:t xml:space="preserve"> Higher ρ yields a lower dissipative fraction. The ratio ‖Ŝ‖/(‖Ĵ‖ + ‖Ŝ‖) decreases as ρ approaches 1, meaning high-ρ (ventral) dynamics are dominated by the energy-conserving Ĵ component (oscillatory), while low-ρ (dorsal) dynamics are dominated by the dissipative Ŝ component.</w:t>
      </w:r>
    </w:p>
    <w:p>
      <w:pPr>
        <w:spacing w:after="200" w:line="360"/>
      </w:pPr>
      <w:r>
        <w:rPr>
          <w:rFonts w:ascii="Times New Roman" w:cs="Times New Roman" w:eastAsia="Times New Roman" w:hAnsi="Times New Roman"/>
          <w:b/>
          <w:bCs/>
          <w:sz w:val="24"/>
          <w:szCs w:val="24"/>
        </w:rPr>
        <w:t xml:space="preserve">(C)</w:t>
      </w:r>
      <w:r>
        <w:rPr>
          <w:rFonts w:ascii="Times New Roman" w:cs="Times New Roman" w:eastAsia="Times New Roman" w:hAnsi="Times New Roman"/>
          <w:sz w:val="24"/>
          <w:szCs w:val="24"/>
        </w:rPr>
        <w:t xml:space="preserve"> Alzheimer’s disease flattens the Ĵ/Ŝ gradient. Alpha-band Ĵ/Ŝ ratio plotted against DV position for controls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 29; blue) and AD patients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 36; red) from the discovery cohort (ds004504). Controls exhibit a steep DV gradient in the Ĵ/Ŝ ratio; AD patients show a flattened gradient, indicating loss of the normal dorsoventral differentiation of cortical dynamics. Error bars: SEM.</w:t>
      </w:r>
    </w:p>
    <w:p>
      <w:pPr>
        <w:spacing w:after="400" w:line="360"/>
      </w:pPr>
      <w:r>
        <w:rPr>
          <w:rFonts w:ascii="Times New Roman" w:cs="Times New Roman" w:eastAsia="Times New Roman" w:hAnsi="Times New Roman"/>
          <w:b/>
          <w:bCs/>
          <w:sz w:val="24"/>
          <w:szCs w:val="24"/>
        </w:rPr>
        <w:t xml:space="preserve">(D)</w:t>
      </w:r>
      <w:r>
        <w:rPr>
          <w:rFonts w:ascii="Times New Roman" w:cs="Times New Roman" w:eastAsia="Times New Roman" w:hAnsi="Times New Roman"/>
          <w:sz w:val="24"/>
          <w:szCs w:val="24"/>
        </w:rPr>
        <w:t xml:space="preserve"> Ĵ/Ŝ gradient disruption by frequency band. The DV gradient of the Ĵ/Ŝ ratio (dorsal minus ventral) for controls (blue) and AD (red) across frequency bands. In controls, the broadband gradient is positive (dorsal more dissipative, as expected). In AD, the broadband gradient reverses sign (negative), reflecting a pathological inversion of the normal dorsoventral organization. Narrow-band gradients in </w:t>
      </w:r>
      <w:r>
        <w:rPr>
          <w:rFonts w:ascii="Times New Roman" w:cs="Times New Roman" w:eastAsia="Times New Roman" w:hAnsi="Times New Roman"/>
          <w:i/>
          <w:iCs/>
          <w:sz w:val="24"/>
          <w:szCs w:val="24"/>
        </w:rPr>
        <w:t xml:space="preserve">δ</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β</w:t>
      </w:r>
      <w:r>
        <w:rPr>
          <w:rFonts w:ascii="Times New Roman" w:cs="Times New Roman" w:eastAsia="Times New Roman" w:hAnsi="Times New Roman"/>
          <w:sz w:val="24"/>
          <w:szCs w:val="24"/>
        </w:rPr>
        <w:t xml:space="preserve"> ranges show minimal group differences. Error bars: SEM.</w:t>
      </w:r>
    </w:p>
    <w:p>
      <w:pPr>
        <w:spacing w:after="200" w:line="360"/>
      </w:pPr>
      <w:r>
        <w:rPr>
          <w:rFonts w:ascii="Times New Roman" w:cs="Times New Roman" w:eastAsia="Times New Roman" w:hAnsi="Times New Roman"/>
          <w:b/>
          <w:bCs/>
          <w:sz w:val="24"/>
          <w:szCs w:val="24"/>
        </w:rPr>
        <w:t xml:space="preserve">Figure 4. Preclinical validation: PSEN1 E280A carriers versus non-carrier family members.</w:t>
      </w:r>
    </w:p>
    <w:p>
      <w:pPr>
        <w:spacing w:after="200" w:line="360"/>
      </w:pPr>
      <w:r>
        <w:rPr>
          <w:rFonts w:ascii="Times New Roman" w:cs="Times New Roman" w:eastAsia="Times New Roman" w:hAnsi="Times New Roman"/>
          <w:b/>
          <w:bCs/>
          <w:sz w:val="24"/>
          <w:szCs w:val="24"/>
        </w:rPr>
        <w:t xml:space="preserve">(A)</w:t>
      </w:r>
      <w:r>
        <w:rPr>
          <w:rFonts w:ascii="Times New Roman" w:cs="Times New Roman" w:eastAsia="Times New Roman" w:hAnsi="Times New Roman"/>
          <w:sz w:val="24"/>
          <w:szCs w:val="24"/>
        </w:rPr>
        <w:t xml:space="preserve"> Global ρ effect sizes by frequency band. Cohen’s </w:t>
      </w:r>
      <w:r>
        <w:rPr>
          <w:rFonts w:ascii="Times New Roman" w:cs="Times New Roman" w:eastAsia="Times New Roman" w:hAnsi="Times New Roman"/>
          <w:i/>
          <w:iCs/>
          <w:sz w:val="24"/>
          <w:szCs w:val="24"/>
        </w:rPr>
        <w:t xml:space="preserve">d</w:t>
      </w:r>
      <w:r>
        <w:rPr>
          <w:rFonts w:ascii="Times New Roman" w:cs="Times New Roman" w:eastAsia="Times New Roman" w:hAnsi="Times New Roman"/>
          <w:sz w:val="24"/>
          <w:szCs w:val="24"/>
        </w:rPr>
        <w:t xml:space="preserve"> for group differences in mean ρ between PSEN1 E280A carriers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 27) and non-carrier family members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 16) from the Colombian autosomal dominant AD kindred (OpenNeuro ds007427). Delta-band </w:t>
      </w:r>
      <w:r>
        <w:rPr>
          <w:rFonts w:ascii="Times New Roman" w:cs="Times New Roman" w:eastAsia="Times New Roman" w:hAnsi="Times New Roman"/>
          <w:i/>
          <w:iCs/>
          <w:sz w:val="24"/>
          <w:szCs w:val="24"/>
        </w:rPr>
        <w:t xml:space="preserve">ρ</w:t>
      </w:r>
      <w:r>
        <w:rPr>
          <w:rFonts w:ascii="Times New Roman" w:cs="Times New Roman" w:eastAsia="Times New Roman" w:hAnsi="Times New Roman"/>
          <w:sz w:val="24"/>
          <w:szCs w:val="24"/>
        </w:rPr>
        <w:t xml:space="preserve"> shows a large positive effect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indicating elevated ρ in carriers. Beta and broadband show trend-level negative effects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0.10).</w:t>
      </w:r>
    </w:p>
    <w:p>
      <w:pPr>
        <w:spacing w:after="200" w:line="360"/>
      </w:pPr>
      <w:r>
        <w:rPr>
          <w:rFonts w:ascii="Times New Roman" w:cs="Times New Roman" w:eastAsia="Times New Roman" w:hAnsi="Times New Roman"/>
          <w:b/>
          <w:bCs/>
          <w:sz w:val="24"/>
          <w:szCs w:val="24"/>
        </w:rPr>
        <w:t xml:space="preserve">(B)</w:t>
      </w:r>
      <w:r>
        <w:rPr>
          <w:rFonts w:ascii="Times New Roman" w:cs="Times New Roman" w:eastAsia="Times New Roman" w:hAnsi="Times New Roman"/>
          <w:sz w:val="24"/>
          <w:szCs w:val="24"/>
        </w:rPr>
        <w:t xml:space="preserve"> Delta-band global ρ comparison. PSEN1+ carriers have significantly higher delta-band ρ than non-carriers (</w:t>
      </w:r>
      <w:r>
        <w:rPr>
          <w:rFonts w:ascii="Times New Roman" w:cs="Times New Roman" w:eastAsia="Times New Roman" w:hAnsi="Times New Roman"/>
          <w:i/>
          <w:iCs/>
          <w:sz w:val="24"/>
          <w:szCs w:val="24"/>
        </w:rPr>
        <w:t xml:space="preserve">d</w:t>
      </w:r>
      <w:r>
        <w:rPr>
          <w:rFonts w:ascii="Times New Roman" w:cs="Times New Roman" w:eastAsia="Times New Roman" w:hAnsi="Times New Roman"/>
          <w:sz w:val="24"/>
          <w:szCs w:val="24"/>
        </w:rPr>
        <w:t xml:space="preserve"> = 0.92,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0.006), consistent with increased low-frequency oscillatory persistence in preclinical AD. Error bars: SEM.</w:t>
      </w:r>
    </w:p>
    <w:p>
      <w:pPr>
        <w:spacing w:after="200" w:line="360"/>
      </w:pPr>
      <w:r>
        <w:rPr>
          <w:rFonts w:ascii="Times New Roman" w:cs="Times New Roman" w:eastAsia="Times New Roman" w:hAnsi="Times New Roman"/>
          <w:b/>
          <w:bCs/>
          <w:sz w:val="24"/>
          <w:szCs w:val="24"/>
        </w:rPr>
        <w:t xml:space="preserve">(C)</w:t>
      </w:r>
      <w:r>
        <w:rPr>
          <w:rFonts w:ascii="Times New Roman" w:cs="Times New Roman" w:eastAsia="Times New Roman" w:hAnsi="Times New Roman"/>
          <w:sz w:val="24"/>
          <w:szCs w:val="24"/>
        </w:rPr>
        <w:t xml:space="preserve"> DV gradient significance. –log₁₀(</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from one-sample tests of whether the DV gradient differs from zero within each group. Non-carriers show a significant broadband DV gradient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10⁻⁵), confirming normal dorsoventral organization. PSEN1+ carriers show attenuated gradient significance, particularly in broadband, consistent with early gradient disruption. Dashed line: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0.05.</w:t>
      </w:r>
    </w:p>
    <w:p>
      <w:pPr>
        <w:spacing w:after="400" w:line="360"/>
      </w:pPr>
      <w:r>
        <w:rPr>
          <w:rFonts w:ascii="Times New Roman" w:cs="Times New Roman" w:eastAsia="Times New Roman" w:hAnsi="Times New Roman"/>
          <w:b/>
          <w:bCs/>
          <w:sz w:val="24"/>
          <w:szCs w:val="24"/>
        </w:rPr>
        <w:t xml:space="preserve">(D)</w:t>
      </w:r>
      <w:r>
        <w:rPr>
          <w:rFonts w:ascii="Times New Roman" w:cs="Times New Roman" w:eastAsia="Times New Roman" w:hAnsi="Times New Roman"/>
          <w:sz w:val="24"/>
          <w:szCs w:val="24"/>
        </w:rPr>
        <w:t xml:space="preserve"> Alpha-band ρ topography. Regional alpha ρ plotted along the DV axis for PSEN1+ carriers and non-carriers. Neither group shows a significant DV gradient in the alpha band, and no group differences are observed, indicating that the preclinical effect is frequency-specific (delta-band) rather than a global disruption of cortical dynamics.</w:t>
      </w:r>
    </w:p>
    <w:p>
      <w:pPr>
        <w:spacing w:after="200" w:line="360"/>
      </w:pPr>
      <w:r>
        <w:rPr>
          <w:rFonts w:ascii="Times New Roman" w:cs="Times New Roman" w:eastAsia="Times New Roman" w:hAnsi="Times New Roman"/>
          <w:b/>
          <w:bCs/>
          <w:sz w:val="24"/>
          <w:szCs w:val="24"/>
        </w:rPr>
        <w:t xml:space="preserve">Figure 5. Dose–response: the </w:t>
      </w:r>
      <w:r>
        <w:rPr>
          <w:rFonts w:ascii="Times New Roman" w:cs="Times New Roman" w:eastAsia="Times New Roman" w:hAnsi="Times New Roman"/>
          <w:b/>
          <w:bCs/>
          <w:i/>
          <w:iCs/>
          <w:sz w:val="24"/>
          <w:szCs w:val="24"/>
        </w:rPr>
        <w:t xml:space="preserve">ρ</w:t>
      </w:r>
      <w:r>
        <w:rPr>
          <w:rFonts w:ascii="Times New Roman" w:cs="Times New Roman" w:eastAsia="Times New Roman" w:hAnsi="Times New Roman"/>
          <w:b/>
          <w:bCs/>
          <w:sz w:val="24"/>
          <w:szCs w:val="24"/>
        </w:rPr>
        <w:t xml:space="preserve"> gradient tracks cognitive severity.</w:t>
      </w:r>
    </w:p>
    <w:p>
      <w:pPr>
        <w:spacing w:after="200" w:line="360"/>
      </w:pPr>
      <w:r>
        <w:rPr>
          <w:rFonts w:ascii="Times New Roman" w:cs="Times New Roman" w:eastAsia="Times New Roman" w:hAnsi="Times New Roman"/>
          <w:b/>
          <w:bCs/>
          <w:sz w:val="24"/>
          <w:szCs w:val="24"/>
        </w:rPr>
        <w:t xml:space="preserve">(A–C)</w:t>
      </w:r>
      <w:r>
        <w:rPr>
          <w:rFonts w:ascii="Times New Roman" w:cs="Times New Roman" w:eastAsia="Times New Roman" w:hAnsi="Times New Roman"/>
          <w:sz w:val="24"/>
          <w:szCs w:val="24"/>
        </w:rPr>
        <w:t xml:space="preserve"> DV gradient of ρ versus MMSE score in the discovery cohort (ds004504; AD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 36, FTD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 23, controls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 29). In alpha (8–13 Hz; ρ</w:t>
      </w:r>
      <w:r>
        <w:rPr>
          <w:rFonts w:ascii="Times New Roman" w:cs="Times New Roman" w:eastAsia="Times New Roman" w:hAnsi="Times New Roman"/>
          <w:sz w:val="24"/>
          <w:szCs w:val="24"/>
          <w:vertAlign w:val="subscript"/>
        </w:rPr>
        <w:t xml:space="preserve">s</w:t>
      </w:r>
      <w:r>
        <w:rPr>
          <w:rFonts w:ascii="Times New Roman" w:cs="Times New Roman" w:eastAsia="Times New Roman" w:hAnsi="Times New Roman"/>
          <w:sz w:val="24"/>
          <w:szCs w:val="24"/>
        </w:rPr>
        <w:t xml:space="preserve"> = −0.434,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0.0001), beta (13–30 Hz; </w:t>
      </w:r>
      <w:r>
        <w:rPr>
          <w:rFonts w:ascii="Times New Roman" w:cs="Times New Roman" w:eastAsia="Times New Roman" w:hAnsi="Times New Roman"/>
          <w:i/>
          <w:iCs/>
          <w:sz w:val="24"/>
          <w:szCs w:val="24"/>
        </w:rPr>
        <w:t xml:space="preserve">ρ</w:t>
      </w:r>
      <w:r>
        <w:rPr>
          <w:rFonts w:ascii="Times New Roman" w:cs="Times New Roman" w:eastAsia="Times New Roman" w:hAnsi="Times New Roman"/>
          <w:sz w:val="24"/>
          <w:szCs w:val="24"/>
          <w:vertAlign w:val="subscript"/>
        </w:rPr>
        <w:t xml:space="preserve">s</w:t>
      </w:r>
      <w:r>
        <w:rPr>
          <w:rFonts w:ascii="Times New Roman" w:cs="Times New Roman" w:eastAsia="Times New Roman" w:hAnsi="Times New Roman"/>
          <w:sz w:val="24"/>
          <w:szCs w:val="24"/>
        </w:rPr>
        <w:t xml:space="preserve"> = −0.296,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0.005), and broadband (1–45 Hz; </w:t>
      </w:r>
      <w:r>
        <w:rPr>
          <w:rFonts w:ascii="Times New Roman" w:cs="Times New Roman" w:eastAsia="Times New Roman" w:hAnsi="Times New Roman"/>
          <w:i/>
          <w:iCs/>
          <w:sz w:val="24"/>
          <w:szCs w:val="24"/>
        </w:rPr>
        <w:t xml:space="preserve">ρ</w:t>
      </w:r>
      <w:r>
        <w:rPr>
          <w:rFonts w:ascii="Times New Roman" w:cs="Times New Roman" w:eastAsia="Times New Roman" w:hAnsi="Times New Roman"/>
          <w:sz w:val="24"/>
          <w:szCs w:val="24"/>
          <w:vertAlign w:val="subscript"/>
        </w:rPr>
        <w:t xml:space="preserve">s</w:t>
      </w:r>
      <w:r>
        <w:rPr>
          <w:rFonts w:ascii="Times New Roman" w:cs="Times New Roman" w:eastAsia="Times New Roman" w:hAnsi="Times New Roman"/>
          <w:sz w:val="24"/>
          <w:szCs w:val="24"/>
        </w:rPr>
        <w:t xml:space="preserve"> = −0.290,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0.006), more negative DV gradients (greater loss of dorsoventral differentiation) are associated with lower MMSE scores. Each point is one subject, colored by diagnostic group.</w:t>
      </w:r>
    </w:p>
    <w:p>
      <w:pPr>
        <w:spacing w:after="200" w:line="360"/>
      </w:pPr>
      <w:r>
        <w:rPr>
          <w:rFonts w:ascii="Times New Roman" w:cs="Times New Roman" w:eastAsia="Times New Roman" w:hAnsi="Times New Roman"/>
          <w:b/>
          <w:bCs/>
          <w:sz w:val="24"/>
          <w:szCs w:val="24"/>
        </w:rPr>
        <w:t xml:space="preserve">(D)</w:t>
      </w:r>
      <w:r>
        <w:rPr>
          <w:rFonts w:ascii="Times New Roman" w:cs="Times New Roman" w:eastAsia="Times New Roman" w:hAnsi="Times New Roman"/>
          <w:sz w:val="24"/>
          <w:szCs w:val="24"/>
        </w:rPr>
        <w:t xml:space="preserve"> Regional alpha ρ versus MMSE. Each line represents one cortical region; all regions show positive Spearman correlations (ρ</w:t>
      </w:r>
      <w:r>
        <w:rPr>
          <w:rFonts w:ascii="Times New Roman" w:cs="Times New Roman" w:eastAsia="Times New Roman" w:hAnsi="Times New Roman"/>
          <w:sz w:val="24"/>
          <w:szCs w:val="24"/>
          <w:vertAlign w:val="subscript"/>
        </w:rPr>
        <w:t xml:space="preserve">s</w:t>
      </w:r>
      <w:r>
        <w:rPr>
          <w:rFonts w:ascii="Times New Roman" w:cs="Times New Roman" w:eastAsia="Times New Roman" w:hAnsi="Times New Roman"/>
          <w:sz w:val="24"/>
          <w:szCs w:val="24"/>
        </w:rPr>
        <w:t xml:space="preserve"> = 0.19–0.48), with ventral temporal cortex showing the strongest relationship (ρ</w:t>
      </w:r>
      <w:r>
        <w:rPr>
          <w:rFonts w:ascii="Times New Roman" w:cs="Times New Roman" w:eastAsia="Times New Roman" w:hAnsi="Times New Roman"/>
          <w:sz w:val="24"/>
          <w:szCs w:val="24"/>
          <w:vertAlign w:val="subscript"/>
        </w:rPr>
        <w:t xml:space="preserve">s</w:t>
      </w:r>
      <w:r>
        <w:rPr>
          <w:rFonts w:ascii="Times New Roman" w:cs="Times New Roman" w:eastAsia="Times New Roman" w:hAnsi="Times New Roman"/>
          <w:sz w:val="24"/>
          <w:szCs w:val="24"/>
        </w:rPr>
        <w:t xml:space="preserve"> = 0.482), indicating that lower cognitive performance is associated with reduced oscillatory persistence across the cortex.</w:t>
      </w:r>
    </w:p>
    <w:p>
      <w:pPr>
        <w:spacing w:after="200" w:line="360"/>
      </w:pPr>
      <w:r>
        <w:rPr>
          <w:rFonts w:ascii="Times New Roman" w:cs="Times New Roman" w:eastAsia="Times New Roman" w:hAnsi="Times New Roman"/>
          <w:b/>
          <w:bCs/>
          <w:sz w:val="24"/>
          <w:szCs w:val="24"/>
        </w:rPr>
        <w:t xml:space="preserve">(E)</w:t>
      </w:r>
      <w:r>
        <w:rPr>
          <w:rFonts w:ascii="Times New Roman" w:cs="Times New Roman" w:eastAsia="Times New Roman" w:hAnsi="Times New Roman"/>
          <w:sz w:val="24"/>
          <w:szCs w:val="24"/>
        </w:rPr>
        <w:t xml:space="preserve"> Alpha DV gradient by diagnostic group. Box plots of the alpha-band DV gradient for controls, FTD, and AD. Controls show the most negative (steepest) gradient; AD patients show a flattened gradient near zero. FTD patients show intermediate values with greater variance.</w:t>
      </w:r>
    </w:p>
    <w:p>
      <w:pPr>
        <w:spacing w:after="400" w:line="360"/>
      </w:pPr>
      <w:r>
        <w:rPr>
          <w:rFonts w:ascii="Times New Roman" w:cs="Times New Roman" w:eastAsia="Times New Roman" w:hAnsi="Times New Roman"/>
          <w:b/>
          <w:bCs/>
          <w:sz w:val="24"/>
          <w:szCs w:val="24"/>
        </w:rPr>
        <w:t xml:space="preserve">(F)</w:t>
      </w:r>
      <w:r>
        <w:rPr>
          <w:rFonts w:ascii="Times New Roman" w:cs="Times New Roman" w:eastAsia="Times New Roman" w:hAnsi="Times New Roman"/>
          <w:sz w:val="24"/>
          <w:szCs w:val="24"/>
        </w:rPr>
        <w:t xml:space="preserve"> Global alpha ρ versus MMSE. Mean alpha-band ρ across all regions correlates with cognitive severity (ρ</w:t>
      </w:r>
      <w:r>
        <w:rPr>
          <w:rFonts w:ascii="Times New Roman" w:cs="Times New Roman" w:eastAsia="Times New Roman" w:hAnsi="Times New Roman"/>
          <w:sz w:val="24"/>
          <w:szCs w:val="24"/>
          <w:vertAlign w:val="subscript"/>
        </w:rPr>
        <w:t xml:space="preserve">s</w:t>
      </w:r>
      <w:r>
        <w:rPr>
          <w:rFonts w:ascii="Times New Roman" w:cs="Times New Roman" w:eastAsia="Times New Roman" w:hAnsi="Times New Roman"/>
          <w:sz w:val="24"/>
          <w:szCs w:val="24"/>
        </w:rPr>
        <w:t xml:space="preserve"> = 0.468,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0.0001), confirming that ρ indexes a clinically meaningful dimension of cortical dysfunction that tracks cognitive decline across the dementia spectrum.</w:t>
      </w:r>
    </w:p>
    <w:p>
      <w:pPr>
        <w:spacing w:after="200" w:line="360"/>
      </w:pPr>
      <w:r>
        <w:rPr>
          <w:rFonts w:ascii="Times New Roman" w:cs="Times New Roman" w:eastAsia="Times New Roman" w:hAnsi="Times New Roman"/>
          <w:b/>
          <w:bCs/>
          <w:sz w:val="24"/>
          <w:szCs w:val="24"/>
        </w:rPr>
        <w:t xml:space="preserve">Supplementary Figure 1. AR(2) recovers </w:t>
      </w:r>
      <w:r>
        <w:rPr>
          <w:rFonts w:ascii="Times New Roman" w:cs="Times New Roman" w:eastAsia="Times New Roman" w:hAnsi="Times New Roman"/>
          <w:b/>
          <w:bCs/>
          <w:i/>
          <w:iCs/>
          <w:sz w:val="24"/>
          <w:szCs w:val="24"/>
        </w:rPr>
        <w:t xml:space="preserve">ρ</w:t>
      </w:r>
      <w:r>
        <w:rPr>
          <w:rFonts w:ascii="Times New Roman" w:cs="Times New Roman" w:eastAsia="Times New Roman" w:hAnsi="Times New Roman"/>
          <w:b/>
          <w:bCs/>
          <w:sz w:val="24"/>
          <w:szCs w:val="24"/>
        </w:rPr>
        <w:t xml:space="preserve"> from noisy port-Hamiltonian E–I signals.</w:t>
      </w:r>
    </w:p>
    <w:p>
      <w:pPr>
        <w:spacing w:after="200" w:line="360"/>
      </w:pPr>
      <w:r>
        <w:rPr>
          <w:rFonts w:ascii="Times New Roman" w:cs="Times New Roman" w:eastAsia="Times New Roman" w:hAnsi="Times New Roman"/>
          <w:sz w:val="24"/>
          <w:szCs w:val="24"/>
        </w:rPr>
        <w:t xml:space="preserve">Validation of the AR(2) estimation procedure on synthetic data generated from the port-Hamiltonian E–I circuit model (Figure 1). For each parameterization (</w:t>
      </w:r>
      <w:r>
        <w:rPr>
          <w:rFonts w:ascii="Times New Roman" w:cs="Times New Roman" w:eastAsia="Times New Roman" w:hAnsi="Times New Roman"/>
          <w:i/>
          <w:iCs/>
          <w:sz w:val="24"/>
          <w:szCs w:val="24"/>
        </w:rPr>
        <w:t xml:space="preserve">τ</w:t>
      </w:r>
      <w:r>
        <w:rPr>
          <w:rFonts w:ascii="Times New Roman" w:cs="Times New Roman" w:eastAsia="Times New Roman" w:hAnsi="Times New Roman"/>
          <w:sz w:val="24"/>
          <w:szCs w:val="24"/>
        </w:rPr>
        <w:t xml:space="preserve">_E, </w:t>
      </w:r>
      <w:r>
        <w:rPr>
          <w:rFonts w:ascii="Times New Roman" w:cs="Times New Roman" w:eastAsia="Times New Roman" w:hAnsi="Times New Roman"/>
          <w:i/>
          <w:iCs/>
          <w:sz w:val="24"/>
          <w:szCs w:val="24"/>
        </w:rPr>
        <w:t xml:space="preserve">w</w:t>
      </w:r>
      <w:r>
        <w:rPr>
          <w:rFonts w:ascii="Times New Roman" w:cs="Times New Roman" w:eastAsia="Times New Roman" w:hAnsi="Times New Roman"/>
          <w:sz w:val="24"/>
          <w:szCs w:val="24"/>
        </w:rPr>
        <w:t xml:space="preserve">), the true </w:t>
      </w:r>
      <w:r>
        <w:rPr>
          <w:rFonts w:ascii="Times New Roman" w:cs="Times New Roman" w:eastAsia="Times New Roman" w:hAnsi="Times New Roman"/>
          <w:i/>
          <w:iCs/>
          <w:sz w:val="24"/>
          <w:szCs w:val="24"/>
        </w:rPr>
        <w:t xml:space="preserve">ρ</w:t>
      </w:r>
      <w:r>
        <w:rPr>
          <w:rFonts w:ascii="Times New Roman" w:cs="Times New Roman" w:eastAsia="Times New Roman" w:hAnsi="Times New Roman"/>
          <w:sz w:val="24"/>
          <w:szCs w:val="24"/>
        </w:rPr>
        <w:t xml:space="preserve"> is computed from the linearized system matrix and compared against </w:t>
      </w:r>
      <w:r>
        <w:rPr>
          <w:rFonts w:ascii="Times New Roman" w:cs="Times New Roman" w:eastAsia="Times New Roman" w:hAnsi="Times New Roman"/>
          <w:i/>
          <w:iCs/>
          <w:sz w:val="24"/>
          <w:szCs w:val="24"/>
        </w:rPr>
        <w:t xml:space="preserve">ρ</w:t>
      </w:r>
      <w:r>
        <w:rPr>
          <w:rFonts w:ascii="Times New Roman" w:cs="Times New Roman" w:eastAsia="Times New Roman" w:hAnsi="Times New Roman"/>
          <w:sz w:val="24"/>
          <w:szCs w:val="24"/>
        </w:rPr>
        <w:t xml:space="preserve"> estimated by fitting an AR(2) model to the simulated noisy time series. The strong correspondence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0.926) confirms that the AR(2) procedure faithfully recovers the port-Hamiltonian dissipation structure from observed signals, supporting the use of AR(2)-derived ρ as a scalp-EEG biomarker. Dashed line: identity.</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2026-03-04T07:05:24.884Z</dcterms:created>
  <dcterms:modified xsi:type="dcterms:W3CDTF">2026-03-04T07:05:24.884Z</dcterms:modified>
</cp:coreProperties>
</file>

<file path=docProps/custom.xml><?xml version="1.0" encoding="utf-8"?>
<Properties xmlns="http://schemas.openxmlformats.org/officeDocument/2006/custom-properties" xmlns:vt="http://schemas.openxmlformats.org/officeDocument/2006/docPropsVTypes"/>
</file>