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B78727"/>
          <w:sz w:val="20"/>
        </w:rPr>
        <w:t>POSEBNI DIO STRUČNOG ISPITA ZA TURISTIČKOG VODIČA</w:t>
      </w:r>
    </w:p>
    <w:p>
      <w:pPr>
        <w:jc w:val="center"/>
      </w:pPr>
      <w:r>
        <w:rPr>
          <w:rFonts w:ascii="Calibri" w:hAnsi="Calibri"/>
          <w:b/>
          <w:color w:val="B78727"/>
          <w:sz w:val="72"/>
        </w:rPr>
        <w:t>R6</w:t>
      </w:r>
    </w:p>
    <w:p>
      <w:pPr>
        <w:spacing w:after="300"/>
        <w:jc w:val="center"/>
      </w:pPr>
      <w:r>
        <w:rPr>
          <w:rFonts w:ascii="Calibri" w:hAnsi="Calibri"/>
          <w:b/>
          <w:color w:val="17324D"/>
          <w:sz w:val="48"/>
        </w:rPr>
        <w:t>Vođenje grupa na</w:t>
        <w:br/>
        <w:t>zaštićenim cjelinama Regije I.</w:t>
      </w:r>
    </w:p>
    <w:p>
      <w:pPr>
        <w:spacing w:after="800"/>
        <w:jc w:val="center"/>
      </w:pPr>
      <w:r>
        <w:rPr>
          <w:rFonts w:ascii="Calibri" w:hAnsi="Calibri"/>
          <w:color w:val="667085"/>
          <w:sz w:val="21"/>
        </w:rPr>
        <w:t>Bjelovarsko-bilogorska · Brodsko-posavska · Osječko-baranjska · Požeško-slavonska · Virovitičko-podravska · Vukovarsko-srijemska županija</w:t>
      </w:r>
    </w:p>
    <w:p>
      <w:pPr>
        <w:jc w:val="center"/>
      </w:pPr>
      <w:r>
        <w:rPr>
          <w:rFonts w:ascii="Calibri" w:hAnsi="Calibri"/>
          <w:b/>
          <w:color w:val="9B1C1C"/>
          <w:sz w:val="22"/>
        </w:rPr>
        <w:t>KANONSKI TEKST · v0.9.1 ZA STRUČNU REVIZIJU</w:t>
      </w:r>
    </w:p>
    <w:p>
      <w:pPr>
        <w:jc w:val="center"/>
      </w:pPr>
      <w:r>
        <w:rPr>
          <w:rFonts w:ascii="Calibri" w:hAnsi="Calibri"/>
          <w:color w:val="667085"/>
          <w:sz w:val="20"/>
        </w:rPr>
        <w:t>kolovoz 2026.</w:t>
      </w:r>
    </w:p>
    <w:p>
      <w:r>
        <w:br w:type="page"/>
      </w:r>
    </w:p>
    <w:p>
      <w:pPr>
        <w:pStyle w:val="Heading1"/>
        <w:keepNext/>
      </w:pPr>
      <w:r>
        <w:t>Nakladnička i sigurnosna napomena</w:t>
      </w:r>
    </w:p>
    <w:p>
      <w:pPr>
        <w:spacing w:before="120" w:after="160" w:line="283" w:lineRule="auto"/>
        <w:ind w:left="202" w:right="115"/>
        <w:shd w:fill="FCECEC"/>
        <w:pBdr>
          <w:left w:val="single" w:sz="18" w:space="8" w:color="9B1C1C"/>
        </w:pBdr>
      </w:pPr>
      <w:r>
        <w:rPr>
          <w:rFonts w:ascii="Calibri" w:hAnsi="Calibri"/>
          <w:b/>
          <w:color w:val="9B1C1C"/>
          <w:sz w:val="19"/>
        </w:rPr>
        <w:t xml:space="preserve">STATUS DOKUMENTA  </w:t>
      </w:r>
      <w:r>
        <w:rPr>
          <w:rFonts w:ascii="Calibri" w:hAnsi="Calibri"/>
          <w:b/>
          <w:color w:val="17324D"/>
          <w:sz w:val="21"/>
        </w:rPr>
        <w:t>Verzija v0.9.1 donosi uredničku reviziju, dodaje poglavlje s popisom ilustracija i pravima uporabe te uvodi osam fotografija terenskih konteksta iz slobodno licenciranih izvora. Razvojna verzija postaje v1.0 nakon pravnog, metodičkog, regionalnog, operativnog, sigurnosnog, jezičnog i pristupačnog audita te terenskog pilota u sva tri obvezna konteksta. Promjenjivi kontakti, režimi, upozorenja i uvjeti provjeravaju se neposredno prije svake izvedbe.</w:t>
      </w:r>
    </w:p>
    <w:p>
      <w:pPr>
        <w:widowControl/>
      </w:pPr>
      <w:r>
        <w:t>R6 pripada zasebnoj platformi Posebnog programa za Regiju I. Njegov je predmet sigurna, dostojanstvena i vremenski disciplinirana izvedba plana na terenu. R5 odgovara na pitanje što, gdje, za koga i kojim redoslijedom planiramo; R6 odgovara na pitanje kako vodimo stvarnu skupinu kada prostor, ljudi i okolnosti odstupaju od plana.</w:t>
      </w:r>
    </w:p>
    <w:p>
      <w:pPr>
        <w:widowControl/>
      </w:pPr>
      <w:r>
        <w:t>Ovaj tekst nije priručnik za medicinsko zbrinjavanje, spašavanje, gašenje požara ni policijsko postupanje. Kandidat uvježbava prepoznavanje rizika, zaustavljanje dodatne opasnosti, jasnu komunikaciju, pozivanje nadležnih službi, postupanje prema njihovim uputama, upravljanje ostalim članovima skupine i sljedivo izvješćivanje. Prva pomoć pruža se samo u granicama stečene osposobljenosti.</w:t>
      </w:r>
    </w:p>
    <w:p>
      <w:pPr>
        <w:widowControl/>
      </w:pPr>
      <w:r>
        <w:t>Simulacije se najavljuju svim sudionicima, provode bez stvarnoga ugrožavanja i imaju sigurnosnu riječ za trenutačan prekid. Ne simuliraju se lažni pozivi broju 112 niti se ometa rad upravitelja, službi ili drugih posjetitelja.</w:t>
      </w:r>
    </w:p>
    <w:tbl>
      <w:tblPr>
        <w:tblStyle w:val="TableGrid"/>
        <w:tblW w:type="dxa" w:w="9200"/>
        <w:jc w:val="left"/>
        <w:tblLayout w:type="fixed"/>
        <w:tblLook w:firstColumn="1" w:firstRow="1" w:lastColumn="0" w:lastRow="0" w:noHBand="0" w:noVBand="1" w:val="04A0"/>
        <w:tblInd w:w="120" w:type="dxa"/>
      </w:tblPr>
      <w:tblGrid>
        <w:gridCol w:w="4550"/>
        <w:gridCol w:w="4650"/>
      </w:tblGrid>
      <w:tr>
        <w:trPr>
          <w:tblHeader w:val="true"/>
          <w:cantSplit/>
        </w:trPr>
        <w:tc>
          <w:tcPr>
            <w:tcW w:type="dxa" w:w="4550"/>
            <w:shd w:fill="E8EEF5"/>
            <w:vAlign w:val="center"/>
            <w:tcMar>
              <w:top w:w="80" w:type="dxa"/>
              <w:start w:w="120" w:type="dxa"/>
              <w:bottom w:w="80" w:type="dxa"/>
              <w:end w:w="120" w:type="dxa"/>
            </w:tcMar>
          </w:tcPr>
          <w:p>
            <w:r>
              <w:rPr>
                <w:rFonts w:ascii="Calibri" w:hAnsi="Calibri"/>
                <w:b/>
                <w:color w:val="17324D"/>
                <w:sz w:val="19"/>
              </w:rPr>
              <w:t>R6 obuhvaća</w:t>
            </w:r>
          </w:p>
        </w:tc>
        <w:tc>
          <w:tcPr>
            <w:tcW w:type="dxa" w:w="4650"/>
            <w:shd w:fill="E8EEF5"/>
            <w:vAlign w:val="center"/>
            <w:tcMar>
              <w:top w:w="80" w:type="dxa"/>
              <w:start w:w="120" w:type="dxa"/>
              <w:bottom w:w="80" w:type="dxa"/>
              <w:end w:w="120" w:type="dxa"/>
            </w:tcMar>
          </w:tcPr>
          <w:p>
            <w:r>
              <w:rPr>
                <w:rFonts w:ascii="Calibri" w:hAnsi="Calibri"/>
                <w:b/>
                <w:color w:val="17324D"/>
                <w:sz w:val="19"/>
              </w:rPr>
              <w:t>R6 ne zamjenjuje</w:t>
            </w:r>
          </w:p>
        </w:tc>
      </w:tr>
      <w:tr>
        <w:trPr>
          <w:cantSplit/>
        </w:trPr>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okupljanje, formiranje, brojanje, kretanje, tempo i prijelaze</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sadržajni i operativni plan iz R5</w:t>
            </w:r>
          </w:p>
        </w:tc>
      </w:tr>
      <w:tr>
        <w:trPr>
          <w:cantSplit/>
        </w:trPr>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urbani, zatvoreni/sakralni i prirodni terenski kontekst</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pravila i ovlasti upravitelja prostora</w:t>
            </w:r>
          </w:p>
        </w:tc>
      </w:tr>
      <w:tr>
        <w:trPr>
          <w:cantSplit/>
        </w:trPr>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procjenu rizika, krizne simulacije, poziv 112 i evakuaciju</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obuku prve pomoći i rad hitnih službi</w:t>
            </w:r>
          </w:p>
        </w:tc>
      </w:tr>
      <w:tr>
        <w:trPr>
          <w:cantSplit/>
        </w:trPr>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deeskalaciju, prigovor, incidentni zapis i debrief</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pravni postupak, istragu ili utvrđivanje odgovornosti</w:t>
            </w:r>
          </w:p>
        </w:tc>
      </w:tr>
    </w:tbl>
    <w:p>
      <w:pPr>
        <w:spacing w:after="20"/>
      </w:pPr>
    </w:p>
    <w:p>
      <w:r>
        <w:br w:type="page"/>
      </w:r>
    </w:p>
    <w:p>
      <w:pPr>
        <w:pStyle w:val="Heading1"/>
        <w:keepNext/>
      </w:pPr>
      <w:r>
        <w:t>Sadržaj i programska satnica</w:t>
      </w:r>
    </w:p>
    <w:p>
      <w:pPr>
        <w:numPr>
          <w:ilvl w:val="0"/>
          <w:numId w:val="10"/>
        </w:numPr>
      </w:pPr>
      <w:r>
        <w:t>Pravna, metodička i sigurnosna osnova R6</w:t>
      </w:r>
    </w:p>
    <w:p>
      <w:pPr>
        <w:numPr>
          <w:ilvl w:val="0"/>
          <w:numId w:val="10"/>
        </w:numPr>
      </w:pPr>
      <w:r>
        <w:t>Terenski dosje i obuhvat Regije I</w:t>
      </w:r>
    </w:p>
    <w:p>
      <w:pPr>
        <w:numPr>
          <w:ilvl w:val="0"/>
          <w:numId w:val="10"/>
        </w:numPr>
      </w:pPr>
      <w:r>
        <w:t>R6.1 Terensko vođenje na urbanoj zaštićenoj cjelini</w:t>
      </w:r>
    </w:p>
    <w:p>
      <w:pPr>
        <w:numPr>
          <w:ilvl w:val="0"/>
          <w:numId w:val="10"/>
        </w:numPr>
      </w:pPr>
      <w:r>
        <w:t>R6.2 Vođenje u zatvorenom i sakralnom prostoru</w:t>
      </w:r>
    </w:p>
    <w:p>
      <w:pPr>
        <w:numPr>
          <w:ilvl w:val="0"/>
          <w:numId w:val="10"/>
        </w:numPr>
      </w:pPr>
      <w:r>
        <w:t>R6.3 Vođenje u zaštićenom području prirode</w:t>
      </w:r>
    </w:p>
    <w:p>
      <w:pPr>
        <w:numPr>
          <w:ilvl w:val="0"/>
          <w:numId w:val="10"/>
        </w:numPr>
      </w:pPr>
      <w:r>
        <w:t>R6.4 Procjena rizika i simulacija krizne situacije</w:t>
      </w:r>
    </w:p>
    <w:p>
      <w:pPr>
        <w:numPr>
          <w:ilvl w:val="0"/>
          <w:numId w:val="10"/>
        </w:numPr>
      </w:pPr>
      <w:r>
        <w:t>R6.5 Konflikti, prigovori, debriefing i izvješće o incidentu</w:t>
      </w:r>
    </w:p>
    <w:p>
      <w:pPr>
        <w:numPr>
          <w:ilvl w:val="0"/>
          <w:numId w:val="10"/>
        </w:numPr>
      </w:pPr>
      <w:r>
        <w:t>Dokazna mapa, vrednovanje i situacijska pitanja</w:t>
      </w:r>
    </w:p>
    <w:p>
      <w:pPr>
        <w:numPr>
          <w:ilvl w:val="0"/>
          <w:numId w:val="10"/>
        </w:numPr>
      </w:pPr>
      <w:r>
        <w:t>Izvori, revizijska matrica i završna kanonska kartica</w:t>
      </w:r>
    </w:p>
    <w:tbl>
      <w:tblPr>
        <w:tblStyle w:val="TableGrid"/>
        <w:tblW w:type="dxa" w:w="9200"/>
        <w:jc w:val="left"/>
        <w:tblLayout w:type="fixed"/>
        <w:tblLook w:firstColumn="1" w:firstRow="1" w:lastColumn="0" w:lastRow="0" w:noHBand="0" w:noVBand="1" w:val="04A0"/>
        <w:tblInd w:w="120" w:type="dxa"/>
      </w:tblPr>
      <w:tblGrid>
        <w:gridCol w:w="950"/>
        <w:gridCol w:w="5450"/>
        <w:gridCol w:w="650"/>
        <w:gridCol w:w="2150"/>
      </w:tblGrid>
      <w:tr>
        <w:trPr>
          <w:tblHeader w:val="true"/>
          <w:cantSplit/>
        </w:trPr>
        <w:tc>
          <w:tcPr>
            <w:tcW w:type="dxa" w:w="950"/>
            <w:shd w:fill="E8EEF5"/>
            <w:vAlign w:val="center"/>
            <w:tcMar>
              <w:top w:w="80" w:type="dxa"/>
              <w:start w:w="120" w:type="dxa"/>
              <w:bottom w:w="80" w:type="dxa"/>
              <w:end w:w="120" w:type="dxa"/>
            </w:tcMar>
          </w:tcPr>
          <w:p>
            <w:r>
              <w:rPr>
                <w:rFonts w:ascii="Calibri" w:hAnsi="Calibri"/>
                <w:b/>
                <w:color w:val="17324D"/>
                <w:sz w:val="19"/>
              </w:rPr>
              <w:t>Cjelina</w:t>
            </w:r>
          </w:p>
        </w:tc>
        <w:tc>
          <w:tcPr>
            <w:tcW w:type="dxa" w:w="5450"/>
            <w:shd w:fill="E8EEF5"/>
            <w:vAlign w:val="center"/>
            <w:tcMar>
              <w:top w:w="80" w:type="dxa"/>
              <w:start w:w="120" w:type="dxa"/>
              <w:bottom w:w="80" w:type="dxa"/>
              <w:end w:w="120" w:type="dxa"/>
            </w:tcMar>
          </w:tcPr>
          <w:p>
            <w:r>
              <w:rPr>
                <w:rFonts w:ascii="Calibri" w:hAnsi="Calibri"/>
                <w:b/>
                <w:color w:val="17324D"/>
                <w:sz w:val="19"/>
              </w:rPr>
              <w:t>Obvezni rad</w:t>
            </w:r>
          </w:p>
        </w:tc>
        <w:tc>
          <w:tcPr>
            <w:tcW w:type="dxa" w:w="650"/>
            <w:shd w:fill="E8EEF5"/>
            <w:vAlign w:val="center"/>
            <w:tcMar>
              <w:top w:w="80" w:type="dxa"/>
              <w:start w:w="120" w:type="dxa"/>
              <w:bottom w:w="80" w:type="dxa"/>
              <w:end w:w="120" w:type="dxa"/>
            </w:tcMar>
          </w:tcPr>
          <w:p>
            <w:r>
              <w:rPr>
                <w:rFonts w:ascii="Calibri" w:hAnsi="Calibri"/>
                <w:b/>
                <w:color w:val="17324D"/>
                <w:sz w:val="19"/>
              </w:rPr>
              <w:t>Sati</w:t>
            </w:r>
          </w:p>
        </w:tc>
        <w:tc>
          <w:tcPr>
            <w:tcW w:type="dxa" w:w="2150"/>
            <w:shd w:fill="E8EEF5"/>
            <w:vAlign w:val="center"/>
            <w:tcMar>
              <w:top w:w="80" w:type="dxa"/>
              <w:start w:w="120" w:type="dxa"/>
              <w:bottom w:w="80" w:type="dxa"/>
              <w:end w:w="120" w:type="dxa"/>
            </w:tcMar>
          </w:tcPr>
          <w:p>
            <w:r>
              <w:rPr>
                <w:rFonts w:ascii="Calibri" w:hAnsi="Calibri"/>
                <w:b/>
                <w:color w:val="17324D"/>
                <w:sz w:val="19"/>
              </w:rPr>
              <w:t>Metoda</w:t>
            </w:r>
          </w:p>
        </w:tc>
      </w:tr>
      <w:tr>
        <w:trPr>
          <w:cantSplit/>
        </w:trPr>
        <w:tc>
          <w:tcPr>
            <w:tcW w:type="dxa" w:w="950"/>
            <w:vAlign w:val="top"/>
            <w:tcMar>
              <w:top w:w="80" w:type="dxa"/>
              <w:start w:w="120" w:type="dxa"/>
              <w:bottom w:w="80" w:type="dxa"/>
              <w:end w:w="120" w:type="dxa"/>
            </w:tcMar>
          </w:tcPr>
          <w:p>
            <w:pPr>
              <w:spacing w:after="40" w:line="259" w:lineRule="auto"/>
            </w:pPr>
            <w:r>
              <w:rPr>
                <w:rFonts w:ascii="Calibri" w:hAnsi="Calibri"/>
                <w:color w:val="222222"/>
                <w:sz w:val="18"/>
              </w:rPr>
              <w:t>R6.1</w:t>
            </w:r>
          </w:p>
        </w:tc>
        <w:tc>
          <w:tcPr>
            <w:tcW w:type="dxa" w:w="5450"/>
            <w:vAlign w:val="top"/>
            <w:tcMar>
              <w:top w:w="80" w:type="dxa"/>
              <w:start w:w="120" w:type="dxa"/>
              <w:bottom w:w="80" w:type="dxa"/>
              <w:end w:w="120" w:type="dxa"/>
            </w:tcMar>
          </w:tcPr>
          <w:p>
            <w:pPr>
              <w:spacing w:after="40" w:line="259" w:lineRule="auto"/>
            </w:pPr>
            <w:r>
              <w:rPr>
                <w:rFonts w:ascii="Calibri" w:hAnsi="Calibri"/>
                <w:color w:val="222222"/>
                <w:sz w:val="18"/>
              </w:rPr>
              <w:t>okupljanje, kretanje u gužvi i uskim prostorima, prijelazi, brojanje i tempo</w:t>
            </w:r>
          </w:p>
        </w:tc>
        <w:tc>
          <w:tcPr>
            <w:tcW w:type="dxa" w:w="65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terenska vježba</w:t>
            </w:r>
          </w:p>
        </w:tc>
      </w:tr>
      <w:tr>
        <w:trPr>
          <w:cantSplit/>
        </w:trPr>
        <w:tc>
          <w:tcPr>
            <w:tcW w:type="dxa" w:w="950"/>
            <w:vAlign w:val="top"/>
            <w:tcMar>
              <w:top w:w="80" w:type="dxa"/>
              <w:start w:w="120" w:type="dxa"/>
              <w:bottom w:w="80" w:type="dxa"/>
              <w:end w:w="120" w:type="dxa"/>
            </w:tcMar>
          </w:tcPr>
          <w:p>
            <w:pPr>
              <w:spacing w:after="40" w:line="259" w:lineRule="auto"/>
            </w:pPr>
            <w:r>
              <w:rPr>
                <w:rFonts w:ascii="Calibri" w:hAnsi="Calibri"/>
                <w:color w:val="222222"/>
                <w:sz w:val="18"/>
              </w:rPr>
              <w:t>R6.2</w:t>
            </w:r>
          </w:p>
        </w:tc>
        <w:tc>
          <w:tcPr>
            <w:tcW w:type="dxa" w:w="5450"/>
            <w:vAlign w:val="top"/>
            <w:tcMar>
              <w:top w:w="80" w:type="dxa"/>
              <w:start w:w="120" w:type="dxa"/>
              <w:bottom w:w="80" w:type="dxa"/>
              <w:end w:w="120" w:type="dxa"/>
            </w:tcMar>
          </w:tcPr>
          <w:p>
            <w:pPr>
              <w:spacing w:after="40" w:line="259" w:lineRule="auto"/>
            </w:pPr>
            <w:r>
              <w:rPr>
                <w:rFonts w:ascii="Calibri" w:hAnsi="Calibri"/>
                <w:color w:val="222222"/>
                <w:sz w:val="18"/>
              </w:rPr>
              <w:t>pravila ponašanja, fotografiranje, akustika, dopuštenje i izlaz</w:t>
            </w:r>
          </w:p>
        </w:tc>
        <w:tc>
          <w:tcPr>
            <w:tcW w:type="dxa" w:w="65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terenska vježba</w:t>
            </w:r>
          </w:p>
        </w:tc>
      </w:tr>
      <w:tr>
        <w:trPr>
          <w:cantSplit/>
        </w:trPr>
        <w:tc>
          <w:tcPr>
            <w:tcW w:type="dxa" w:w="950"/>
            <w:vAlign w:val="top"/>
            <w:tcMar>
              <w:top w:w="80" w:type="dxa"/>
              <w:start w:w="120" w:type="dxa"/>
              <w:bottom w:w="80" w:type="dxa"/>
              <w:end w:w="120" w:type="dxa"/>
            </w:tcMar>
          </w:tcPr>
          <w:p>
            <w:pPr>
              <w:spacing w:after="40" w:line="259" w:lineRule="auto"/>
            </w:pPr>
            <w:r>
              <w:rPr>
                <w:rFonts w:ascii="Calibri" w:hAnsi="Calibri"/>
                <w:color w:val="222222"/>
                <w:sz w:val="18"/>
              </w:rPr>
              <w:t>R6.3</w:t>
            </w:r>
          </w:p>
        </w:tc>
        <w:tc>
          <w:tcPr>
            <w:tcW w:type="dxa" w:w="5450"/>
            <w:vAlign w:val="top"/>
            <w:tcMar>
              <w:top w:w="80" w:type="dxa"/>
              <w:start w:w="120" w:type="dxa"/>
              <w:bottom w:w="80" w:type="dxa"/>
              <w:end w:w="120" w:type="dxa"/>
            </w:tcMar>
          </w:tcPr>
          <w:p>
            <w:pPr>
              <w:spacing w:after="40" w:line="259" w:lineRule="auto"/>
            </w:pPr>
            <w:r>
              <w:rPr>
                <w:rFonts w:ascii="Calibri" w:hAnsi="Calibri"/>
                <w:color w:val="222222"/>
                <w:sz w:val="18"/>
              </w:rPr>
              <w:t>režim posjećivanja, staza/voda, sigurnost i ponašanje skupine</w:t>
            </w:r>
          </w:p>
        </w:tc>
        <w:tc>
          <w:tcPr>
            <w:tcW w:type="dxa" w:w="65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terenska vježba</w:t>
            </w:r>
          </w:p>
        </w:tc>
      </w:tr>
      <w:tr>
        <w:trPr>
          <w:cantSplit/>
        </w:trPr>
        <w:tc>
          <w:tcPr>
            <w:tcW w:type="dxa" w:w="950"/>
            <w:vAlign w:val="top"/>
            <w:tcMar>
              <w:top w:w="80" w:type="dxa"/>
              <w:start w:w="120" w:type="dxa"/>
              <w:bottom w:w="80" w:type="dxa"/>
              <w:end w:w="120" w:type="dxa"/>
            </w:tcMar>
          </w:tcPr>
          <w:p>
            <w:pPr>
              <w:spacing w:after="40" w:line="259" w:lineRule="auto"/>
            </w:pPr>
            <w:r>
              <w:rPr>
                <w:rFonts w:ascii="Calibri" w:hAnsi="Calibri"/>
                <w:color w:val="222222"/>
                <w:sz w:val="18"/>
              </w:rPr>
              <w:t>R6.4</w:t>
            </w:r>
          </w:p>
        </w:tc>
        <w:tc>
          <w:tcPr>
            <w:tcW w:type="dxa" w:w="5450"/>
            <w:vAlign w:val="top"/>
            <w:tcMar>
              <w:top w:w="80" w:type="dxa"/>
              <w:start w:w="120" w:type="dxa"/>
              <w:bottom w:w="80" w:type="dxa"/>
              <w:end w:w="120" w:type="dxa"/>
            </w:tcMar>
          </w:tcPr>
          <w:p>
            <w:pPr>
              <w:spacing w:after="40" w:line="259" w:lineRule="auto"/>
            </w:pPr>
            <w:r>
              <w:rPr>
                <w:rFonts w:ascii="Calibri" w:hAnsi="Calibri"/>
                <w:color w:val="222222"/>
                <w:sz w:val="18"/>
              </w:rPr>
              <w:t>ozljeda, nestanak, nagla vremenska promjena, evakuacija i 112</w:t>
            </w:r>
          </w:p>
        </w:tc>
        <w:tc>
          <w:tcPr>
            <w:tcW w:type="dxa" w:w="65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simulacija</w:t>
            </w:r>
          </w:p>
        </w:tc>
      </w:tr>
      <w:tr>
        <w:trPr>
          <w:cantSplit/>
        </w:trPr>
        <w:tc>
          <w:tcPr>
            <w:tcW w:type="dxa" w:w="950"/>
            <w:vAlign w:val="top"/>
            <w:tcMar>
              <w:top w:w="80" w:type="dxa"/>
              <w:start w:w="120" w:type="dxa"/>
              <w:bottom w:w="80" w:type="dxa"/>
              <w:end w:w="120" w:type="dxa"/>
            </w:tcMar>
          </w:tcPr>
          <w:p>
            <w:pPr>
              <w:spacing w:after="40" w:line="259" w:lineRule="auto"/>
            </w:pPr>
            <w:r>
              <w:rPr>
                <w:rFonts w:ascii="Calibri" w:hAnsi="Calibri"/>
                <w:color w:val="222222"/>
                <w:sz w:val="18"/>
              </w:rPr>
              <w:t>R6.5</w:t>
            </w:r>
          </w:p>
        </w:tc>
        <w:tc>
          <w:tcPr>
            <w:tcW w:type="dxa" w:w="5450"/>
            <w:vAlign w:val="top"/>
            <w:tcMar>
              <w:top w:w="80" w:type="dxa"/>
              <w:start w:w="120" w:type="dxa"/>
              <w:bottom w:w="80" w:type="dxa"/>
              <w:end w:w="120" w:type="dxa"/>
            </w:tcMar>
          </w:tcPr>
          <w:p>
            <w:pPr>
              <w:spacing w:after="40" w:line="259" w:lineRule="auto"/>
            </w:pPr>
            <w:r>
              <w:rPr>
                <w:rFonts w:ascii="Calibri" w:hAnsi="Calibri"/>
                <w:color w:val="222222"/>
                <w:sz w:val="18"/>
              </w:rPr>
              <w:t>konflikt, prigovor, incidentni zapis, debrief i korektivna mjera</w:t>
            </w:r>
          </w:p>
        </w:tc>
        <w:tc>
          <w:tcPr>
            <w:tcW w:type="dxa" w:w="65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igranje uloga + radionica</w:t>
            </w:r>
          </w:p>
        </w:tc>
      </w:tr>
    </w:tbl>
    <w:p>
      <w:pPr>
        <w:spacing w:after="20"/>
      </w:pPr>
    </w:p>
    <w:p>
      <w:pPr>
        <w:spacing w:before="120" w:after="160" w:line="283" w:lineRule="auto"/>
        <w:ind w:left="202" w:right="115"/>
        <w:shd w:fill="E8EEF5"/>
        <w:pBdr>
          <w:left w:val="single" w:sz="18" w:space="8" w:color="2E74B5"/>
        </w:pBdr>
      </w:pPr>
      <w:r>
        <w:rPr>
          <w:rFonts w:ascii="Calibri" w:hAnsi="Calibri"/>
          <w:b/>
          <w:color w:val="2E74B5"/>
          <w:sz w:val="19"/>
        </w:rPr>
        <w:t xml:space="preserve">UKUPNO  </w:t>
      </w:r>
      <w:r>
        <w:rPr>
          <w:rFonts w:ascii="Calibri" w:hAnsi="Calibri"/>
          <w:b/>
          <w:color w:val="17324D"/>
          <w:sz w:val="21"/>
        </w:rPr>
        <w:t>20 sati vježbi. Tijekom R5/R6 svaki kandidat izvodi najmanje jedno vođenje na urbanoj cjelini, jedno u zatvorenom ili sakralnom prostoru i jedno u zaštićenom području prirode.</w:t>
      </w:r>
    </w:p>
    <w:p>
      <w:r>
        <w:br w:type="page"/>
      </w:r>
    </w:p>
    <w:p>
      <w:pPr>
        <w:pStyle w:val="Heading1"/>
        <w:keepNext/>
      </w:pPr>
      <w:r>
        <w:t>Pravna i metodička osnova</w:t>
      </w:r>
    </w:p>
    <w:p>
      <w:pPr>
        <w:spacing w:before="120" w:after="160" w:line="283" w:lineRule="auto"/>
        <w:ind w:left="202" w:right="115"/>
        <w:shd w:fill="FBF5E8"/>
        <w:pBdr>
          <w:left w:val="single" w:sz="18" w:space="8" w:color="B78727"/>
        </w:pBdr>
      </w:pPr>
      <w:r>
        <w:rPr>
          <w:rFonts w:ascii="Calibri" w:hAnsi="Calibri"/>
          <w:b/>
          <w:color w:val="B78727"/>
          <w:sz w:val="19"/>
        </w:rPr>
        <w:t xml:space="preserve">ISHOD R6  </w:t>
      </w:r>
      <w:r>
        <w:rPr>
          <w:rFonts w:ascii="Calibri" w:hAnsi="Calibri"/>
          <w:b/>
          <w:color w:val="17324D"/>
          <w:sz w:val="21"/>
        </w:rPr>
        <w:t>Upravljati grupnom dinamikom, kretanjem u vremenu i prostoru, konfliktima i kriznim situacijama pri vođenju različitih grupa turista na zaštićenim cjelinama Regije I.</w:t>
      </w:r>
    </w:p>
    <w:p>
      <w:pPr>
        <w:widowControl/>
      </w:pPr>
      <w:r>
        <w:t>Članak 8. važećeg Pravilnika o stručnom ispitu za turističke vodiče (NN 53/2026) propisuje 20 sati vježbi za ishod f). Članak 13. stavak 4. propisuje da vježbe za ishode e) i f) izvode turistički vodiči i/ili predstavnici turističkih agencija.</w:t>
      </w:r>
    </w:p>
    <w:p>
      <w:pPr>
        <w:widowControl/>
      </w:pPr>
      <w:r>
        <w:t>Članak 6. Pravilnika o popisu zaštićenih cjelina (NN 53/2026) određuje da se vođenje u nacionalnim parkovima i parkovima prirode uređuje općim aktima nadležne javne ustanove, a u muzejskim, galerijskim, crkvenim, samostanskim, etnografskim i drugim prostorima i zbirkama dopuštenjem osoba koje njima upravljaju.</w:t>
      </w:r>
    </w:p>
    <w:p>
      <w:pPr>
        <w:widowControl/>
      </w:pPr>
      <w:r>
        <w:t>Broj 112 koristi se kada je potrebna intervencija hitnih službi. Pozivatelj mora moći jasno reći što se dogodilo, gdje, ima li ozlijeđenih i koliko, kakva je pomoć potrebna, postoje li dodatne opasnosti i tko zove. Nakon toga slijedi upute operatera.</w:t>
      </w:r>
    </w:p>
    <w:p>
      <w:pPr>
        <w:spacing w:before="120" w:after="40"/>
        <w:jc w:val="center"/>
      </w:pPr>
      <w:r>
        <w:drawing>
          <wp:inline xmlns:a="http://schemas.openxmlformats.org/drawingml/2006/main" xmlns:pic="http://schemas.openxmlformats.org/drawingml/2006/picture">
            <wp:extent cx="5806440" cy="2605553"/>
            <wp:docPr id="1" name="Picture 1" descr="Slika 1. Operativni krug kojim vodič održava kontrolu nad izvedbom." title="Slika 1. Operativni krug kojim vodič održava kontrolu nad izvedbom."/>
            <wp:cNvGraphicFramePr>
              <a:graphicFrameLocks noChangeAspect="1"/>
            </wp:cNvGraphicFramePr>
            <a:graphic>
              <a:graphicData uri="http://schemas.openxmlformats.org/drawingml/2006/picture">
                <pic:pic>
                  <pic:nvPicPr>
                    <pic:cNvPr id="0" name="01_operativni_krug.png"/>
                    <pic:cNvPicPr/>
                  </pic:nvPicPr>
                  <pic:blipFill>
                    <a:blip r:embed="rId11"/>
                    <a:stretch>
                      <a:fillRect/>
                    </a:stretch>
                  </pic:blipFill>
                  <pic:spPr>
                    <a:xfrm>
                      <a:off x="0" y="0"/>
                      <a:ext cx="5806440" cy="2605553"/>
                    </a:xfrm>
                    <a:prstGeom prst="rect"/>
                  </pic:spPr>
                </pic:pic>
              </a:graphicData>
            </a:graphic>
          </wp:inline>
        </w:drawing>
      </w:r>
    </w:p>
    <w:p>
      <w:pPr>
        <w:spacing w:before="60" w:after="40"/>
        <w:jc w:val="center"/>
      </w:pPr>
      <w:r>
        <w:rPr>
          <w:rFonts w:ascii="Calibri" w:hAnsi="Calibri"/>
          <w:i/>
          <w:color w:val="1F4D78"/>
          <w:sz w:val="18"/>
        </w:rPr>
        <w:t>Slika 1. Operativni krug kojim vodič održava kontrolu nad izvedbom.</w:t>
      </w:r>
    </w:p>
    <w:p>
      <w:pPr>
        <w:spacing w:before="0" w:after="160"/>
        <w:jc w:val="center"/>
      </w:pPr>
      <w:r>
        <w:rPr>
          <w:rFonts w:ascii="Calibri" w:hAnsi="Calibri"/>
          <w:color w:val="667085"/>
          <w:sz w:val="16"/>
        </w:rPr>
        <w:t>Izvorna ilustracija za ovaj dokument.</w:t>
      </w:r>
    </w:p>
    <w:p>
      <w:pPr>
        <w:spacing w:before="120" w:after="160" w:line="283" w:lineRule="auto"/>
        <w:ind w:left="202" w:right="115"/>
        <w:shd w:fill="EDF5F1"/>
        <w:pBdr>
          <w:left w:val="single" w:sz="18" w:space="8" w:color="3E7C68"/>
        </w:pBdr>
      </w:pPr>
      <w:r>
        <w:rPr>
          <w:rFonts w:ascii="Calibri" w:hAnsi="Calibri"/>
          <w:b/>
          <w:color w:val="3E7C68"/>
          <w:sz w:val="19"/>
        </w:rPr>
        <w:t xml:space="preserve">TEMELJNO PRAVILO  </w:t>
      </w:r>
      <w:r>
        <w:rPr>
          <w:rFonts w:ascii="Calibri" w:hAnsi="Calibri"/>
          <w:b/>
          <w:color w:val="17324D"/>
          <w:sz w:val="21"/>
        </w:rPr>
        <w:t>Sadržaj se može skratiti, ruta promijeniti, a program prekinuti. Sigurnost ljudi, poštovanje prostora i vjerodostojna komunikacija nisu pregovaračke stavke.</w:t>
      </w:r>
    </w:p>
    <w:p>
      <w:r>
        <w:br w:type="page"/>
      </w:r>
    </w:p>
    <w:p>
      <w:pPr>
        <w:pStyle w:val="Heading1"/>
        <w:keepNext/>
      </w:pPr>
      <w:r>
        <w:t>Operativne odgovornosti i granice uloge</w:t>
      </w:r>
    </w:p>
    <w:p>
      <w:pPr>
        <w:spacing w:before="120" w:after="40"/>
        <w:jc w:val="center"/>
      </w:pPr>
      <w:r>
        <w:drawing>
          <wp:inline xmlns:a="http://schemas.openxmlformats.org/drawingml/2006/main" xmlns:pic="http://schemas.openxmlformats.org/drawingml/2006/picture">
            <wp:extent cx="5806440" cy="3150133"/>
            <wp:docPr id="2" name="Picture 2" descr="Slika 2. Uloge koje se moraju imenovati prije terenske izvedbe." title="Slika 2. Uloge koje se moraju imenovati prije terenske izvedbe."/>
            <wp:cNvGraphicFramePr>
              <a:graphicFrameLocks noChangeAspect="1"/>
            </wp:cNvGraphicFramePr>
            <a:graphic>
              <a:graphicData uri="http://schemas.openxmlformats.org/drawingml/2006/picture">
                <pic:pic>
                  <pic:nvPicPr>
                    <pic:cNvPr id="0" name="02_uloge.png"/>
                    <pic:cNvPicPr/>
                  </pic:nvPicPr>
                  <pic:blipFill>
                    <a:blip r:embed="rId12"/>
                    <a:stretch>
                      <a:fillRect/>
                    </a:stretch>
                  </pic:blipFill>
                  <pic:spPr>
                    <a:xfrm>
                      <a:off x="0" y="0"/>
                      <a:ext cx="5806440" cy="3150133"/>
                    </a:xfrm>
                    <a:prstGeom prst="rect"/>
                  </pic:spPr>
                </pic:pic>
              </a:graphicData>
            </a:graphic>
          </wp:inline>
        </w:drawing>
      </w:r>
    </w:p>
    <w:p>
      <w:pPr>
        <w:spacing w:before="60" w:after="40"/>
        <w:jc w:val="center"/>
      </w:pPr>
      <w:r>
        <w:rPr>
          <w:rFonts w:ascii="Calibri" w:hAnsi="Calibri"/>
          <w:i/>
          <w:color w:val="1F4D78"/>
          <w:sz w:val="18"/>
        </w:rPr>
        <w:t>Slika 2. Uloge koje se moraju imenovati prije terenske izvedbe.</w:t>
      </w:r>
    </w:p>
    <w:p>
      <w:pPr>
        <w:spacing w:before="0" w:after="160"/>
        <w:jc w:val="center"/>
      </w:pPr>
      <w:r>
        <w:rPr>
          <w:rFonts w:ascii="Calibri" w:hAnsi="Calibri"/>
          <w:color w:val="667085"/>
          <w:sz w:val="16"/>
        </w:rPr>
        <w:t>Izvorna ilustracija; operativna matrica.</w:t>
      </w:r>
    </w:p>
    <w:tbl>
      <w:tblPr>
        <w:tblStyle w:val="TableGrid"/>
        <w:tblW w:type="dxa" w:w="9200"/>
        <w:jc w:val="left"/>
        <w:tblLayout w:type="fixed"/>
        <w:tblLook w:firstColumn="1" w:firstRow="1" w:lastColumn="0" w:lastRow="0" w:noHBand="0" w:noVBand="1" w:val="04A0"/>
        <w:tblInd w:w="120" w:type="dxa"/>
      </w:tblPr>
      <w:tblGrid>
        <w:gridCol w:w="1500"/>
        <w:gridCol w:w="2450"/>
        <w:gridCol w:w="2750"/>
        <w:gridCol w:w="2500"/>
      </w:tblGrid>
      <w:tr>
        <w:trPr>
          <w:tblHeader w:val="true"/>
          <w:cantSplit/>
        </w:trPr>
        <w:tc>
          <w:tcPr>
            <w:tcW w:type="dxa" w:w="1500"/>
            <w:shd w:fill="E8EEF5"/>
            <w:vAlign w:val="center"/>
            <w:tcMar>
              <w:top w:w="80" w:type="dxa"/>
              <w:start w:w="120" w:type="dxa"/>
              <w:bottom w:w="80" w:type="dxa"/>
              <w:end w:w="120" w:type="dxa"/>
            </w:tcMar>
          </w:tcPr>
          <w:p>
            <w:r>
              <w:rPr>
                <w:rFonts w:ascii="Calibri" w:hAnsi="Calibri"/>
                <w:b/>
                <w:color w:val="17324D"/>
                <w:sz w:val="19"/>
              </w:rPr>
              <w:t>Uloga</w:t>
            </w:r>
          </w:p>
        </w:tc>
        <w:tc>
          <w:tcPr>
            <w:tcW w:type="dxa" w:w="2450"/>
            <w:shd w:fill="E8EEF5"/>
            <w:vAlign w:val="center"/>
            <w:tcMar>
              <w:top w:w="80" w:type="dxa"/>
              <w:start w:w="120" w:type="dxa"/>
              <w:bottom w:w="80" w:type="dxa"/>
              <w:end w:w="120" w:type="dxa"/>
            </w:tcMar>
          </w:tcPr>
          <w:p>
            <w:r>
              <w:rPr>
                <w:rFonts w:ascii="Calibri" w:hAnsi="Calibri"/>
                <w:b/>
                <w:color w:val="17324D"/>
                <w:sz w:val="19"/>
              </w:rPr>
              <w:t>Prije izvedbe</w:t>
            </w:r>
          </w:p>
        </w:tc>
        <w:tc>
          <w:tcPr>
            <w:tcW w:type="dxa" w:w="2750"/>
            <w:shd w:fill="E8EEF5"/>
            <w:vAlign w:val="center"/>
            <w:tcMar>
              <w:top w:w="80" w:type="dxa"/>
              <w:start w:w="120" w:type="dxa"/>
              <w:bottom w:w="80" w:type="dxa"/>
              <w:end w:w="120" w:type="dxa"/>
            </w:tcMar>
          </w:tcPr>
          <w:p>
            <w:r>
              <w:rPr>
                <w:rFonts w:ascii="Calibri" w:hAnsi="Calibri"/>
                <w:b/>
                <w:color w:val="17324D"/>
                <w:sz w:val="19"/>
              </w:rPr>
              <w:t>Tijekom izvedbe</w:t>
            </w:r>
          </w:p>
        </w:tc>
        <w:tc>
          <w:tcPr>
            <w:tcW w:type="dxa" w:w="2500"/>
            <w:shd w:fill="E8EEF5"/>
            <w:vAlign w:val="center"/>
            <w:tcMar>
              <w:top w:w="80" w:type="dxa"/>
              <w:start w:w="120" w:type="dxa"/>
              <w:bottom w:w="80" w:type="dxa"/>
              <w:end w:w="120" w:type="dxa"/>
            </w:tcMar>
          </w:tcPr>
          <w:p>
            <w:r>
              <w:rPr>
                <w:rFonts w:ascii="Calibri" w:hAnsi="Calibri"/>
                <w:b/>
                <w:color w:val="17324D"/>
                <w:sz w:val="19"/>
              </w:rPr>
              <w:t>Kod odstupanja</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Vodič</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preuzima plan, popis, uvjete i kontakte</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vodi, promatra, odlučuje i komunicira</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zaustavlja, raspoređuje uloge i dokumentira</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Začelje / asistent</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poznaje broj i potrebe skupine</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prati zadnje članove i javlja odstupanje</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ostaje sa skupinom ili postupa prema nalogu</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Organizator / pratitelj</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potvrđuje točnost popisa i kontakte</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pomaže kod individualnih potreba</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kontaktira povezane osobe i rješava logistiku</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Vozač / prijevoznik</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potvrđuje pristup, vrijeme i kontakt</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prati dogovorene točke</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čeka ili mijenja točku samo nakon potvrde</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Upravitelj prostora</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daje pravila, dopuštenje i ograničenja</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ima ovlast nad režimom prostora</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upućuje, prekida ili uključuje nadležne službe</w:t>
            </w:r>
          </w:p>
        </w:tc>
      </w:tr>
    </w:tbl>
    <w:p>
      <w:pPr>
        <w:spacing w:after="20"/>
      </w:pPr>
    </w:p>
    <w:p>
      <w:pPr>
        <w:pStyle w:val="Heading2"/>
        <w:keepNext/>
      </w:pPr>
      <w:r>
        <w:t>Što kandidat mora moći demonstrirati</w:t>
      </w:r>
    </w:p>
    <w:p>
      <w:pPr>
        <w:spacing w:after="60"/>
        <w:ind w:left="173" w:hanging="29"/>
      </w:pPr>
      <w:r>
        <w:rPr>
          <w:rFonts w:ascii="Calibri" w:hAnsi="Calibri"/>
          <w:color w:val="1F4D78"/>
          <w:sz w:val="20"/>
        </w:rPr>
        <w:t xml:space="preserve">☐  </w:t>
      </w:r>
      <w:r>
        <w:rPr>
          <w:rFonts w:ascii="Calibri" w:hAnsi="Calibri"/>
          <w:color w:val="222222"/>
          <w:sz w:val="19"/>
        </w:rPr>
        <w:t>objasniti plan skupini u najviše 90 sekundi: cilj, trajanje, pravila, tempo i točka ponovnoga okupljanja</w:t>
      </w:r>
    </w:p>
    <w:p>
      <w:pPr>
        <w:spacing w:after="60"/>
        <w:ind w:left="173" w:hanging="29"/>
      </w:pPr>
      <w:r>
        <w:rPr>
          <w:rFonts w:ascii="Calibri" w:hAnsi="Calibri"/>
          <w:color w:val="1F4D78"/>
          <w:sz w:val="20"/>
        </w:rPr>
        <w:t xml:space="preserve">☐  </w:t>
      </w:r>
      <w:r>
        <w:rPr>
          <w:rFonts w:ascii="Calibri" w:hAnsi="Calibri"/>
          <w:color w:val="222222"/>
          <w:sz w:val="19"/>
        </w:rPr>
        <w:t>odabrati položaj koji omogućuje vidljivost, slušljivost i slobodan prolaz drugih korisnika</w:t>
      </w:r>
    </w:p>
    <w:p>
      <w:pPr>
        <w:spacing w:after="60"/>
        <w:ind w:left="173" w:hanging="29"/>
      </w:pPr>
      <w:r>
        <w:rPr>
          <w:rFonts w:ascii="Calibri" w:hAnsi="Calibri"/>
          <w:color w:val="1F4D78"/>
          <w:sz w:val="20"/>
        </w:rPr>
        <w:t xml:space="preserve">☐  </w:t>
      </w:r>
      <w:r>
        <w:rPr>
          <w:rFonts w:ascii="Calibri" w:hAnsi="Calibri"/>
          <w:color w:val="222222"/>
          <w:sz w:val="19"/>
        </w:rPr>
        <w:t>prebrojiti skupinu zatvorenom petljom i reagirati na odstupanje prije nastavka</w:t>
      </w:r>
    </w:p>
    <w:p>
      <w:pPr>
        <w:spacing w:after="60"/>
        <w:ind w:left="173" w:hanging="29"/>
      </w:pPr>
      <w:r>
        <w:rPr>
          <w:rFonts w:ascii="Calibri" w:hAnsi="Calibri"/>
          <w:color w:val="1F4D78"/>
          <w:sz w:val="20"/>
        </w:rPr>
        <w:t xml:space="preserve">☐  </w:t>
      </w:r>
      <w:r>
        <w:rPr>
          <w:rFonts w:ascii="Calibri" w:hAnsi="Calibri"/>
          <w:color w:val="222222"/>
          <w:sz w:val="19"/>
        </w:rPr>
        <w:t>izgovoriti jasnu odluku: nastavljamo, prilagođavamo, zaustavljamo ili prekidamo</w:t>
      </w:r>
    </w:p>
    <w:p>
      <w:pPr>
        <w:spacing w:after="60"/>
        <w:ind w:left="173" w:hanging="29"/>
      </w:pPr>
      <w:r>
        <w:rPr>
          <w:rFonts w:ascii="Calibri" w:hAnsi="Calibri"/>
          <w:color w:val="1F4D78"/>
          <w:sz w:val="20"/>
        </w:rPr>
        <w:t xml:space="preserve">☐  </w:t>
      </w:r>
      <w:r>
        <w:rPr>
          <w:rFonts w:ascii="Calibri" w:hAnsi="Calibri"/>
          <w:color w:val="222222"/>
          <w:sz w:val="19"/>
        </w:rPr>
        <w:t>razdvojiti provjerene činjenice od pretpostavki u komunikaciji s gostima, upraviteljem i službama</w:t>
      </w:r>
    </w:p>
    <w:p>
      <w:pPr>
        <w:spacing w:after="60"/>
        <w:ind w:left="173" w:hanging="29"/>
      </w:pPr>
      <w:r>
        <w:rPr>
          <w:rFonts w:ascii="Calibri" w:hAnsi="Calibri"/>
          <w:color w:val="1F4D78"/>
          <w:sz w:val="20"/>
        </w:rPr>
        <w:t xml:space="preserve">☐  </w:t>
      </w:r>
      <w:r>
        <w:rPr>
          <w:rFonts w:ascii="Calibri" w:hAnsi="Calibri"/>
          <w:color w:val="222222"/>
          <w:sz w:val="19"/>
        </w:rPr>
        <w:t>zabilježiti vrijeme, odluku, razlog, odgovornu osobu i daljnju radnju bez nepotrebnih osobnih podataka</w:t>
      </w:r>
    </w:p>
    <w:p>
      <w:r>
        <w:br w:type="page"/>
      </w:r>
    </w:p>
    <w:p>
      <w:pPr>
        <w:pStyle w:val="Heading1"/>
        <w:keepNext/>
      </w:pPr>
      <w:r>
        <w:t>Terenski dosje: prijenos iz R5 u R6</w:t>
      </w:r>
    </w:p>
    <w:p>
      <w:pPr>
        <w:widowControl/>
      </w:pPr>
      <w:r>
        <w:t>R6 ne počinje bez zaključane operativne verzije plana iz R5. Kandidat prije polaska mora imati samo podatke potrebne za stvarnu izvedbu, u formatu koji se može koristiti na terenu i bez mrežne veze.</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Identitet izvedbe</w:t>
            </w:r>
          </w:p>
        </w:tc>
        <w:tc>
          <w:tcPr>
            <w:tcW w:type="dxa" w:w="7200"/>
            <w:vAlign w:val="top"/>
          </w:tcPr>
          <w:p>
            <w:pPr>
              <w:spacing w:after="60"/>
            </w:pPr>
            <w:r>
              <w:rPr>
                <w:rFonts w:ascii="Calibri" w:hAnsi="Calibri"/>
                <w:color w:val="222222"/>
                <w:sz w:val="18"/>
              </w:rPr>
              <w:t>datum · klaster · publika · broj osoba · jezik · početak/završetak</w:t>
            </w:r>
          </w:p>
        </w:tc>
        <w:trPr>
          <w:tblHeader/>
        </w:trPr>
      </w:tr>
      <w:tr>
        <w:tc>
          <w:tcPr>
            <w:tcW w:type="dxa" w:w="2376"/>
            <w:shd w:fill="E8EEF5"/>
            <w:vAlign w:val="top"/>
          </w:tcPr>
          <w:p>
            <w:pPr>
              <w:spacing w:after="60"/>
            </w:pPr>
            <w:r>
              <w:rPr>
                <w:rFonts w:ascii="Calibri" w:hAnsi="Calibri"/>
                <w:b/>
                <w:color w:val="17324D"/>
                <w:sz w:val="18"/>
              </w:rPr>
              <w:t>Ruta</w:t>
            </w:r>
          </w:p>
        </w:tc>
        <w:tc>
          <w:tcPr>
            <w:tcW w:type="dxa" w:w="7200"/>
            <w:vAlign w:val="top"/>
          </w:tcPr>
          <w:p>
            <w:pPr>
              <w:spacing w:after="60"/>
            </w:pPr>
            <w:r>
              <w:rPr>
                <w:rFonts w:ascii="Calibri" w:hAnsi="Calibri"/>
                <w:color w:val="222222"/>
                <w:sz w:val="18"/>
              </w:rPr>
              <w:t>karta · ulazi/izlazi · kontrolne točke · servis · sigurna mjesta okupljanja</w:t>
            </w:r>
          </w:p>
        </w:tc>
      </w:tr>
      <w:tr>
        <w:tc>
          <w:tcPr>
            <w:tcW w:type="dxa" w:w="2376"/>
            <w:shd w:fill="E8EEF5"/>
            <w:vAlign w:val="top"/>
          </w:tcPr>
          <w:p>
            <w:pPr>
              <w:spacing w:after="60"/>
            </w:pPr>
            <w:r>
              <w:rPr>
                <w:rFonts w:ascii="Calibri" w:hAnsi="Calibri"/>
                <w:b/>
                <w:color w:val="17324D"/>
                <w:sz w:val="18"/>
              </w:rPr>
              <w:t>Vremenica</w:t>
            </w:r>
          </w:p>
        </w:tc>
        <w:tc>
          <w:tcPr>
            <w:tcW w:type="dxa" w:w="7200"/>
            <w:vAlign w:val="top"/>
          </w:tcPr>
          <w:p>
            <w:pPr>
              <w:spacing w:after="60"/>
            </w:pPr>
            <w:r>
              <w:rPr>
                <w:rFonts w:ascii="Calibri" w:hAnsi="Calibri"/>
                <w:color w:val="222222"/>
                <w:sz w:val="18"/>
              </w:rPr>
              <w:t>postaje · prijelazi · pauze · buffer · najkasniji rok odluke</w:t>
            </w:r>
          </w:p>
        </w:tc>
      </w:tr>
      <w:tr>
        <w:tc>
          <w:tcPr>
            <w:tcW w:type="dxa" w:w="2376"/>
            <w:shd w:fill="E8EEF5"/>
            <w:vAlign w:val="top"/>
          </w:tcPr>
          <w:p>
            <w:pPr>
              <w:spacing w:after="60"/>
            </w:pPr>
            <w:r>
              <w:rPr>
                <w:rFonts w:ascii="Calibri" w:hAnsi="Calibri"/>
                <w:b/>
                <w:color w:val="17324D"/>
                <w:sz w:val="18"/>
              </w:rPr>
              <w:t>Uloge</w:t>
            </w:r>
          </w:p>
        </w:tc>
        <w:tc>
          <w:tcPr>
            <w:tcW w:type="dxa" w:w="7200"/>
            <w:vAlign w:val="top"/>
          </w:tcPr>
          <w:p>
            <w:pPr>
              <w:spacing w:after="60"/>
            </w:pPr>
            <w:r>
              <w:rPr>
                <w:rFonts w:ascii="Calibri" w:hAnsi="Calibri"/>
                <w:color w:val="222222"/>
                <w:sz w:val="18"/>
              </w:rPr>
              <w:t>vodič · začelje/asistent · organizator · vozač · upravitelj · zamjene</w:t>
            </w:r>
          </w:p>
        </w:tc>
      </w:tr>
      <w:tr>
        <w:tc>
          <w:tcPr>
            <w:tcW w:type="dxa" w:w="2376"/>
            <w:shd w:fill="E8EEF5"/>
            <w:vAlign w:val="top"/>
          </w:tcPr>
          <w:p>
            <w:pPr>
              <w:spacing w:after="60"/>
            </w:pPr>
            <w:r>
              <w:rPr>
                <w:rFonts w:ascii="Calibri" w:hAnsi="Calibri"/>
                <w:b/>
                <w:color w:val="17324D"/>
                <w:sz w:val="18"/>
              </w:rPr>
              <w:t>Kontakti</w:t>
            </w:r>
          </w:p>
        </w:tc>
        <w:tc>
          <w:tcPr>
            <w:tcW w:type="dxa" w:w="7200"/>
            <w:vAlign w:val="top"/>
          </w:tcPr>
          <w:p>
            <w:pPr>
              <w:spacing w:after="60"/>
            </w:pPr>
            <w:r>
              <w:rPr>
                <w:rFonts w:ascii="Calibri" w:hAnsi="Calibri"/>
                <w:color w:val="222222"/>
                <w:sz w:val="18"/>
              </w:rPr>
              <w:t>upravitelj · organizator · prijevoz · 112 · interni kontakt ustanove</w:t>
            </w:r>
          </w:p>
        </w:tc>
      </w:tr>
      <w:tr>
        <w:tc>
          <w:tcPr>
            <w:tcW w:type="dxa" w:w="2376"/>
            <w:shd w:fill="E8EEF5"/>
            <w:vAlign w:val="top"/>
          </w:tcPr>
          <w:p>
            <w:pPr>
              <w:spacing w:after="60"/>
            </w:pPr>
            <w:r>
              <w:rPr>
                <w:rFonts w:ascii="Calibri" w:hAnsi="Calibri"/>
                <w:b/>
                <w:color w:val="17324D"/>
                <w:sz w:val="18"/>
              </w:rPr>
              <w:t>Potrebe skupine</w:t>
            </w:r>
          </w:p>
        </w:tc>
        <w:tc>
          <w:tcPr>
            <w:tcW w:type="dxa" w:w="7200"/>
            <w:vAlign w:val="top"/>
          </w:tcPr>
          <w:p>
            <w:pPr>
              <w:spacing w:after="60"/>
            </w:pPr>
            <w:r>
              <w:rPr>
                <w:rFonts w:ascii="Calibri" w:hAnsi="Calibri"/>
                <w:color w:val="222222"/>
                <w:sz w:val="18"/>
              </w:rPr>
              <w:t>samo funkcionalno potrebni podaci · dogovorena pomoć · povjerljivost</w:t>
            </w:r>
          </w:p>
        </w:tc>
      </w:tr>
      <w:tr>
        <w:tc>
          <w:tcPr>
            <w:tcW w:type="dxa" w:w="2376"/>
            <w:shd w:fill="E8EEF5"/>
            <w:vAlign w:val="top"/>
          </w:tcPr>
          <w:p>
            <w:pPr>
              <w:spacing w:after="60"/>
            </w:pPr>
            <w:r>
              <w:rPr>
                <w:rFonts w:ascii="Calibri" w:hAnsi="Calibri"/>
                <w:b/>
                <w:color w:val="17324D"/>
                <w:sz w:val="18"/>
              </w:rPr>
              <w:t>Rizici i mjere</w:t>
            </w:r>
          </w:p>
        </w:tc>
        <w:tc>
          <w:tcPr>
            <w:tcW w:type="dxa" w:w="7200"/>
            <w:vAlign w:val="top"/>
          </w:tcPr>
          <w:p>
            <w:pPr>
              <w:spacing w:after="60"/>
            </w:pPr>
            <w:r>
              <w:rPr>
                <w:rFonts w:ascii="Calibri" w:hAnsi="Calibri"/>
                <w:color w:val="222222"/>
                <w:sz w:val="18"/>
              </w:rPr>
              <w:t>opasnost · pogođene osobe · mjera · okidač za prekid · preostali rizik</w:t>
            </w:r>
          </w:p>
        </w:tc>
      </w:tr>
      <w:tr>
        <w:tc>
          <w:tcPr>
            <w:tcW w:type="dxa" w:w="2376"/>
            <w:shd w:fill="E8EEF5"/>
            <w:vAlign w:val="top"/>
          </w:tcPr>
          <w:p>
            <w:pPr>
              <w:spacing w:after="60"/>
            </w:pPr>
            <w:r>
              <w:rPr>
                <w:rFonts w:ascii="Calibri" w:hAnsi="Calibri"/>
                <w:b/>
                <w:color w:val="17324D"/>
                <w:sz w:val="18"/>
              </w:rPr>
              <w:t>Potvrde</w:t>
            </w:r>
          </w:p>
        </w:tc>
        <w:tc>
          <w:tcPr>
            <w:tcW w:type="dxa" w:w="7200"/>
            <w:vAlign w:val="top"/>
          </w:tcPr>
          <w:p>
            <w:pPr>
              <w:spacing w:after="60"/>
            </w:pPr>
            <w:r>
              <w:rPr>
                <w:rFonts w:ascii="Calibri" w:hAnsi="Calibri"/>
                <w:color w:val="222222"/>
                <w:sz w:val="18"/>
              </w:rPr>
              <w:t>dopuštenje · rezervacija · pravilo fotografiranja · aktualna obavijest</w:t>
            </w:r>
          </w:p>
        </w:tc>
      </w:tr>
      <w:tr>
        <w:tc>
          <w:tcPr>
            <w:tcW w:type="dxa" w:w="2376"/>
            <w:shd w:fill="E8EEF5"/>
            <w:vAlign w:val="top"/>
          </w:tcPr>
          <w:p>
            <w:pPr>
              <w:spacing w:after="60"/>
            </w:pPr>
            <w:r>
              <w:rPr>
                <w:rFonts w:ascii="Calibri" w:hAnsi="Calibri"/>
                <w:b/>
                <w:color w:val="17324D"/>
                <w:sz w:val="18"/>
              </w:rPr>
              <w:t>Obrasci</w:t>
            </w:r>
          </w:p>
        </w:tc>
        <w:tc>
          <w:tcPr>
            <w:tcW w:type="dxa" w:w="7200"/>
            <w:vAlign w:val="top"/>
          </w:tcPr>
          <w:p>
            <w:pPr>
              <w:spacing w:after="60"/>
            </w:pPr>
            <w:r>
              <w:rPr>
                <w:rFonts w:ascii="Calibri" w:hAnsi="Calibri"/>
                <w:color w:val="222222"/>
                <w:sz w:val="18"/>
              </w:rPr>
              <w:t>brojanje · bilješka odstupanja · incidentni izvještaj · debrief</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GO / PRILAGODI / NE IDI  </w:t>
      </w:r>
      <w:r>
        <w:rPr>
          <w:rFonts w:ascii="Calibri" w:hAnsi="Calibri"/>
          <w:b/>
          <w:color w:val="17324D"/>
          <w:sz w:val="21"/>
        </w:rPr>
        <w:t>Polazak se odobrava tek kada su potvrđeni lokalitet, uloge, kontakt, broj skupine, ključni režimi i realan plan izlaza. Ako se rizik ne može smanjiti prihvatljivom mjerom, izvedba se odgađa, mijenja ili otkazuje.</w:t>
      </w:r>
    </w:p>
    <w:p>
      <w:r>
        <w:br w:type="page"/>
      </w:r>
    </w:p>
    <w:p>
      <w:pPr>
        <w:pStyle w:val="Heading1"/>
        <w:keepNext/>
      </w:pPr>
      <w:r>
        <w:t>Regija I: klasteri i tri obvezna konteksta</w:t>
      </w:r>
    </w:p>
    <w:tbl>
      <w:tblPr>
        <w:tblStyle w:val="TableGrid"/>
        <w:tblW w:type="dxa" w:w="9200"/>
        <w:jc w:val="left"/>
        <w:tblLayout w:type="fixed"/>
        <w:tblLook w:firstColumn="1" w:firstRow="1" w:lastColumn="0" w:lastRow="0" w:noHBand="0" w:noVBand="1" w:val="04A0"/>
        <w:tblInd w:w="120" w:type="dxa"/>
      </w:tblPr>
      <w:tblGrid>
        <w:gridCol w:w="2100"/>
        <w:gridCol w:w="3700"/>
        <w:gridCol w:w="3400"/>
      </w:tblGrid>
      <w:tr>
        <w:trPr>
          <w:tblHeader w:val="true"/>
          <w:cantSplit/>
        </w:trPr>
        <w:tc>
          <w:tcPr>
            <w:tcW w:type="dxa" w:w="2100"/>
            <w:shd w:fill="E8EEF5"/>
            <w:vAlign w:val="center"/>
            <w:tcMar>
              <w:top w:w="80" w:type="dxa"/>
              <w:start w:w="120" w:type="dxa"/>
              <w:bottom w:w="80" w:type="dxa"/>
              <w:end w:w="120" w:type="dxa"/>
            </w:tcMar>
          </w:tcPr>
          <w:p>
            <w:r>
              <w:rPr>
                <w:rFonts w:ascii="Calibri" w:hAnsi="Calibri"/>
                <w:b/>
                <w:color w:val="17324D"/>
                <w:sz w:val="19"/>
              </w:rPr>
              <w:t>Klaster</w:t>
            </w:r>
          </w:p>
        </w:tc>
        <w:tc>
          <w:tcPr>
            <w:tcW w:type="dxa" w:w="3700"/>
            <w:shd w:fill="E8EEF5"/>
            <w:vAlign w:val="center"/>
            <w:tcMar>
              <w:top w:w="80" w:type="dxa"/>
              <w:start w:w="120" w:type="dxa"/>
              <w:bottom w:w="80" w:type="dxa"/>
              <w:end w:w="120" w:type="dxa"/>
            </w:tcMar>
          </w:tcPr>
          <w:p>
            <w:r>
              <w:rPr>
                <w:rFonts w:ascii="Calibri" w:hAnsi="Calibri"/>
                <w:b/>
                <w:color w:val="17324D"/>
                <w:sz w:val="19"/>
              </w:rPr>
              <w:t>Primarni konteksti R6</w:t>
            </w:r>
          </w:p>
        </w:tc>
        <w:tc>
          <w:tcPr>
            <w:tcW w:type="dxa" w:w="3400"/>
            <w:shd w:fill="E8EEF5"/>
            <w:vAlign w:val="center"/>
            <w:tcMar>
              <w:top w:w="80" w:type="dxa"/>
              <w:start w:w="120" w:type="dxa"/>
              <w:bottom w:w="80" w:type="dxa"/>
              <w:end w:w="120" w:type="dxa"/>
            </w:tcMar>
          </w:tcPr>
          <w:p>
            <w:r>
              <w:rPr>
                <w:rFonts w:ascii="Calibri" w:hAnsi="Calibri"/>
                <w:b/>
                <w:color w:val="17324D"/>
                <w:sz w:val="19"/>
              </w:rPr>
              <w:t>Tipične operativne teme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Osijek i Baranja</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Osijek Tvrđa · Aljmaš · Kopački rit · memorijalne točke</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gužva, prijelazi, sakralna pravila, voda i režim parka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Vukovar i Srijem</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Vukovar · Ilok · Lovas</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pijetet, emocionalna sigurnost, kretanje između više lokacija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Đakovo – Slavonski Brod</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katedrala · Tvrđava Brod · Prekinuto djetinjstvo</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interijer, akustika, fotografiranje, otvoreni gradski prostor</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Požega – Papuk – Orahovica</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sv. Lovre · Papuk · Ružica grad · Voćin</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staza, vrijeme, nagib, sakralni i memorijalni protokol</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Bjelovar – Čazma – Daruvar – Virovitica</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urbane jezgre i sakralni interijeri</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okupljanje, prijelazi, dopuštenje, kapacitet i raspored</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Vinkovci – zapadni Srijem</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arheološka zona · sv. Ilija · mjesta sjećanja</w:t>
            </w:r>
          </w:p>
        </w:tc>
        <w:tc>
          <w:tcPr>
            <w:tcW w:type="dxa" w:w="3400"/>
            <w:vAlign w:val="top"/>
            <w:tcMar>
              <w:top w:w="80" w:type="dxa"/>
              <w:start w:w="120" w:type="dxa"/>
              <w:bottom w:w="80" w:type="dxa"/>
              <w:end w:w="120" w:type="dxa"/>
            </w:tcMar>
          </w:tcPr>
          <w:p>
            <w:pPr>
              <w:spacing w:after="40" w:line="259" w:lineRule="auto"/>
            </w:pPr>
            <w:r>
              <w:rPr>
                <w:rFonts w:ascii="Calibri" w:hAnsi="Calibri"/>
                <w:color w:val="222222"/>
                <w:sz w:val="18"/>
              </w:rPr>
              <w:t>urbano kretanje, zaštita nalaza, osjetljivi lokaliteti</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PRAVNA RAZLIKA  </w:t>
      </w:r>
      <w:r>
        <w:rPr>
          <w:rFonts w:ascii="Calibri" w:hAnsi="Calibri"/>
          <w:b/>
          <w:color w:val="17324D"/>
          <w:sz w:val="21"/>
        </w:rPr>
        <w:t>Kopački rit i Papuk terenski su konteksti za vježbu u zaštićenom području prirode, ali nisu među 25 lokaliteta Regije I iz članaka 4. i 5. Pravilnika o popisu. U dosjeu se za svaku postaju označava njezina pravna i upravljačka osnova.</w:t>
      </w:r>
    </w:p>
    <w:p>
      <w:pPr>
        <w:pStyle w:val="Heading2"/>
        <w:keepNext/>
      </w:pPr>
      <w:r>
        <w:t>Minimalna pokrivenost kandidata</w:t>
      </w:r>
    </w:p>
    <w:tbl>
      <w:tblPr>
        <w:tblStyle w:val="TableGrid"/>
        <w:tblW w:type="dxa" w:w="9200"/>
        <w:jc w:val="left"/>
        <w:tblLayout w:type="fixed"/>
        <w:tblLook w:firstColumn="1" w:firstRow="1" w:lastColumn="0" w:lastRow="0" w:noHBand="0" w:noVBand="1" w:val="04A0"/>
        <w:tblInd w:w="120" w:type="dxa"/>
      </w:tblPr>
      <w:tblGrid>
        <w:gridCol w:w="1900"/>
        <w:gridCol w:w="3450"/>
        <w:gridCol w:w="385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Kontekst</w:t>
            </w:r>
          </w:p>
        </w:tc>
        <w:tc>
          <w:tcPr>
            <w:tcW w:type="dxa" w:w="3450"/>
            <w:shd w:fill="E8EEF5"/>
            <w:vAlign w:val="center"/>
            <w:tcMar>
              <w:top w:w="80" w:type="dxa"/>
              <w:start w:w="120" w:type="dxa"/>
              <w:bottom w:w="80" w:type="dxa"/>
              <w:end w:w="120" w:type="dxa"/>
            </w:tcMar>
          </w:tcPr>
          <w:p>
            <w:r>
              <w:rPr>
                <w:rFonts w:ascii="Calibri" w:hAnsi="Calibri"/>
                <w:b/>
                <w:color w:val="17324D"/>
                <w:sz w:val="19"/>
              </w:rPr>
              <w:t>Dokaz izvedbe</w:t>
            </w:r>
          </w:p>
        </w:tc>
        <w:tc>
          <w:tcPr>
            <w:tcW w:type="dxa" w:w="3850"/>
            <w:shd w:fill="E8EEF5"/>
            <w:vAlign w:val="center"/>
            <w:tcMar>
              <w:top w:w="80" w:type="dxa"/>
              <w:start w:w="120" w:type="dxa"/>
              <w:bottom w:w="80" w:type="dxa"/>
              <w:end w:w="120" w:type="dxa"/>
            </w:tcMar>
          </w:tcPr>
          <w:p>
            <w:r>
              <w:rPr>
                <w:rFonts w:ascii="Calibri" w:hAnsi="Calibri"/>
                <w:b/>
                <w:color w:val="17324D"/>
                <w:sz w:val="19"/>
              </w:rPr>
              <w:t>Minimalna složenost</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Urbani</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opažački list + ruta + dva kontrolirana prijelaza</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gužva ili uski prostor, raskrižje, brojanje i promjena tempa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Zatvoreni/sakralni</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dopuštenje + briefing + skica položaja</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pravilo ponašanja/fotografiranja, akustika, ulaz i izlaz</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Zaštićena priroda</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potvrda upravitelja + procjena rizika</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staza ili voda, vremenski uvjet, ponašanje i plan prekida</w:t>
            </w:r>
          </w:p>
        </w:tc>
      </w:tr>
    </w:tbl>
    <w:p>
      <w:pPr>
        <w:spacing w:after="20"/>
      </w:pPr>
    </w:p>
    <w:p>
      <w:r>
        <w:br w:type="page"/>
      </w:r>
    </w:p>
    <w:p>
      <w:pPr>
        <w:pStyle w:val="Heading1"/>
        <w:keepNext/>
      </w:pPr>
      <w:r>
        <w:t>Obvezni lokaliteti Regije I — članak 4.</w:t>
      </w:r>
    </w:p>
    <w:p>
      <w:pPr>
        <w:widowControl/>
      </w:pPr>
      <w:r>
        <w:t>R6 se izvodi na odabranim lokalitetima, ali kandidat mora poznavati cijeli pravni obuhvat regije. Radni tip služi odabiru vježbe; ne mijenja službenu kategoriju lokaliteta.</w:t>
      </w:r>
    </w:p>
    <w:tbl>
      <w:tblPr>
        <w:tblStyle w:val="TableGrid"/>
        <w:tblW w:type="dxa" w:w="9200"/>
        <w:jc w:val="left"/>
        <w:tblLayout w:type="fixed"/>
        <w:tblLook w:firstColumn="1" w:firstRow="1" w:lastColumn="0" w:lastRow="0" w:noHBand="0" w:noVBand="1" w:val="04A0"/>
        <w:tblInd w:w="120" w:type="dxa"/>
      </w:tblPr>
      <w:tblGrid>
        <w:gridCol w:w="1900"/>
        <w:gridCol w:w="5150"/>
        <w:gridCol w:w="215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Županija</w:t>
            </w:r>
          </w:p>
        </w:tc>
        <w:tc>
          <w:tcPr>
            <w:tcW w:type="dxa" w:w="5150"/>
            <w:shd w:fill="E8EEF5"/>
            <w:vAlign w:val="center"/>
            <w:tcMar>
              <w:top w:w="80" w:type="dxa"/>
              <w:start w:w="120" w:type="dxa"/>
              <w:bottom w:w="80" w:type="dxa"/>
              <w:end w:w="120" w:type="dxa"/>
            </w:tcMar>
          </w:tcPr>
          <w:p>
            <w:r>
              <w:rPr>
                <w:rFonts w:ascii="Calibri" w:hAnsi="Calibri"/>
                <w:b/>
                <w:color w:val="17324D"/>
                <w:sz w:val="19"/>
              </w:rPr>
              <w:t>Zaštićena cjelina</w:t>
            </w:r>
          </w:p>
        </w:tc>
        <w:tc>
          <w:tcPr>
            <w:tcW w:type="dxa" w:w="2150"/>
            <w:shd w:fill="E8EEF5"/>
            <w:vAlign w:val="center"/>
            <w:tcMar>
              <w:top w:w="80" w:type="dxa"/>
              <w:start w:w="120" w:type="dxa"/>
              <w:bottom w:w="80" w:type="dxa"/>
              <w:end w:w="120" w:type="dxa"/>
            </w:tcMar>
          </w:tcPr>
          <w:p>
            <w:r>
              <w:rPr>
                <w:rFonts w:ascii="Calibri" w:hAnsi="Calibri"/>
                <w:b/>
                <w:color w:val="17324D"/>
                <w:sz w:val="19"/>
              </w:rPr>
              <w:t>Radni kontekst R6</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Bjelovarsko-bilogorska</w:t>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Bjelovar — graditeljski sklop Katedrale sv. Terezije, crkva sv. Trojice</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urbano + sakralno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Čazma — crkva sv. Marije Magdalene</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Daruvar — gradska jezgra s dvorcem Janković</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urbano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Brodsko-posavska</w:t>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Slavonski Brod — Tvrđava Brod</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otvorena cjelina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Osječko-baranjska</w:t>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Aljmaš — Svetište Gospe od Utočišta</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 / hodočasničko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Đakovo — kompleks katedrale sv. Petra</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Osijek — Tvrđa</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urbano / fortifikacijsko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Požeško-slavonska</w:t>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Kaptol — stari grad Kaptol</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otvorena cjelina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Požega — crkva sv. Lovre</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Virovitičko-podravska</w:t>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Duzluk — manastir s crkvom sv. Nikole</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Orahovica — Ružica grad</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otvoreni teren</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Virovitica — kompleks franjevačkog samostana s crkvom sv. Roka</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Vukovarsko-srijemska</w:t>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Vinkovci — arheološka zona Vinkovci</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urbano / arheološko</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5150"/>
            <w:vAlign w:val="top"/>
            <w:tcMar>
              <w:top w:w="80" w:type="dxa"/>
              <w:start w:w="120" w:type="dxa"/>
              <w:bottom w:w="80" w:type="dxa"/>
              <w:end w:w="120" w:type="dxa"/>
            </w:tcMar>
          </w:tcPr>
          <w:p>
            <w:pPr>
              <w:spacing w:after="40" w:line="259" w:lineRule="auto"/>
            </w:pPr>
            <w:r>
              <w:rPr>
                <w:rFonts w:ascii="Calibri" w:hAnsi="Calibri"/>
                <w:color w:val="222222"/>
                <w:sz w:val="18"/>
              </w:rPr>
              <w:t>Vinkovci — crkva sv. Ilije na Meraji</w:t>
            </w:r>
          </w:p>
        </w:tc>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sakralno</w:t>
            </w:r>
          </w:p>
        </w:tc>
      </w:tr>
    </w:tbl>
    <w:p>
      <w:pPr>
        <w:spacing w:before="120" w:after="40"/>
        <w:jc w:val="center"/>
      </w:pPr>
      <w:r>
        <w:drawing>
          <wp:inline xmlns:a="http://schemas.openxmlformats.org/drawingml/2006/main" xmlns:pic="http://schemas.openxmlformats.org/drawingml/2006/picture">
            <wp:extent cx="4821428" cy="3600000"/>
            <wp:docPr id="601" name="Picture 601" descr="Slika 3. Ružica grad — otvoreni teren traži razmak, tempo i procjenu podloge prije nego što skupina krene." title="Slika 3. Ružica grad — otvoreni teren traži razmak, tempo i procjenu podloge prije nego što skupina krene."/>
            <wp:cNvGraphicFramePr>
              <a:graphicFrameLocks noChangeAspect="1"/>
            </wp:cNvGraphicFramePr>
            <a:graphic>
              <a:graphicData uri="http://schemas.openxmlformats.org/drawingml/2006/picture">
                <pic:pic>
                  <pic:nvPicPr>
                    <pic:cNvPr id="0" name="image13.jpg"/>
                    <pic:cNvPicPr/>
                  </pic:nvPicPr>
                  <pic:blipFill>
                    <a:blip r:embed="rId23"/>
                    <a:stretch>
                      <a:fillRect/>
                    </a:stretch>
                  </pic:blipFill>
                  <pic:spPr>
                    <a:xfrm>
                      <a:off x="0" y="0"/>
                      <a:ext cx="4821428" cy="3600000"/>
                    </a:xfrm>
                    <a:prstGeom prst="rect"/>
                  </pic:spPr>
                </pic:pic>
              </a:graphicData>
            </a:graphic>
          </wp:inline>
        </w:drawing>
      </w:r>
    </w:p>
    <w:p>
      <w:pPr>
        <w:spacing w:before="60" w:after="40"/>
        <w:jc w:val="center"/>
      </w:pPr>
      <w:r>
        <w:rPr>
          <w:rFonts w:ascii="Calibri" w:hAnsi="Calibri"/>
          <w:i/>
          <w:color w:val="1F4D78"/>
          <w:sz w:val="18"/>
        </w:rPr>
        <w:t xml:space="preserve">Slika 3. Ružica grad — otvoreni teren traži razmak, tempo i procjenu podloge prije nego što skupina krene.</w:t>
      </w:r>
    </w:p>
    <w:p>
      <w:pPr>
        <w:spacing w:before="0" w:after="160"/>
        <w:jc w:val="center"/>
      </w:pPr>
      <w:r>
        <w:rPr>
          <w:rFonts w:ascii="Calibri" w:hAnsi="Calibri"/>
          <w:color w:val="667085"/>
          <w:sz w:val="16"/>
        </w:rPr>
        <w:t xml:space="preserve">Foto: 1vilenjak, Wikimedia Commons, CC BY-SA 4.0.</w:t>
      </w:r>
    </w:p>
    <w:p>
      <w:pPr>
        <w:spacing w:after="20"/>
      </w:pPr>
    </w:p>
    <w:p>
      <w:r>
        <w:br w:type="page"/>
      </w:r>
    </w:p>
    <w:p>
      <w:pPr>
        <w:pStyle w:val="Heading1"/>
        <w:keepNext/>
      </w:pPr>
      <w:r>
        <w:t>Obvezni lokaliteti Regije I — članak 5.</w:t>
      </w:r>
    </w:p>
    <w:p>
      <w:pPr>
        <w:widowControl/>
      </w:pPr>
      <w:r>
        <w:t>Memorijalni lokaliteti traže dodatnu disciplinu: istinitost, pijetet, mogućnost nenametljivoga izlaza, dogovoreno fotografiranje i spremnost na emocionalnu reakciju. Detaljna interpretacija pripada posebnom memorijalnom modulu; R6 uvježbava upravljanje skupinom u izvedbi.</w:t>
      </w:r>
    </w:p>
    <w:p>
      <w:pPr>
        <w:spacing w:before="120" w:after="40"/>
        <w:jc w:val="center"/>
      </w:pPr>
      <w:r>
        <w:drawing>
          <wp:inline xmlns:a="http://schemas.openxmlformats.org/drawingml/2006/main" xmlns:pic="http://schemas.openxmlformats.org/drawingml/2006/picture">
            <wp:extent cx="2400000" cy="3600000"/>
            <wp:docPr id="602" name="Picture 602" descr="Slika 4. Vukovarski vodotoranj — na memorijalnoj postaji vodič upravlja tišinom, tempom i mogućnošću nenametljivog izlaza." title="Slika 4. Vukovarski vodotoranj — na memorijalnoj postaji vodič upravlja tišinom, tempom i mogućnošću nenametljivog izlaza."/>
            <wp:cNvGraphicFramePr>
              <a:graphicFrameLocks noChangeAspect="1"/>
            </wp:cNvGraphicFramePr>
            <a:graphic>
              <a:graphicData uri="http://schemas.openxmlformats.org/drawingml/2006/picture">
                <pic:pic>
                  <pic:nvPicPr>
                    <pic:cNvPr id="0" name="image14.jpg"/>
                    <pic:cNvPicPr/>
                  </pic:nvPicPr>
                  <pic:blipFill>
                    <a:blip r:embed="rId24"/>
                    <a:stretch>
                      <a:fillRect/>
                    </a:stretch>
                  </pic:blipFill>
                  <pic:spPr>
                    <a:xfrm>
                      <a:off x="0" y="0"/>
                      <a:ext cx="2400000" cy="3600000"/>
                    </a:xfrm>
                    <a:prstGeom prst="rect"/>
                  </pic:spPr>
                </pic:pic>
              </a:graphicData>
            </a:graphic>
          </wp:inline>
        </w:drawing>
      </w:r>
    </w:p>
    <w:p>
      <w:pPr>
        <w:spacing w:before="60" w:after="40"/>
        <w:jc w:val="center"/>
      </w:pPr>
      <w:r>
        <w:rPr>
          <w:rFonts w:ascii="Calibri" w:hAnsi="Calibri"/>
          <w:i/>
          <w:color w:val="1F4D78"/>
          <w:sz w:val="18"/>
        </w:rPr>
        <w:t xml:space="preserve">Slika 4. Vukovarski vodotoranj — na memorijalnoj postaji vodič upravlja tišinom, tempom i mogućnošću nenametljivog izlaza.</w:t>
      </w:r>
    </w:p>
    <w:p>
      <w:pPr>
        <w:spacing w:before="0" w:after="160"/>
        <w:jc w:val="center"/>
      </w:pPr>
      <w:r>
        <w:rPr>
          <w:rFonts w:ascii="Calibri" w:hAnsi="Calibri"/>
          <w:color w:val="667085"/>
          <w:sz w:val="16"/>
        </w:rPr>
        <w:t xml:space="preserve">Foto: Monument Hunter, Wikimedia Commons, CC BY-SA 4.0.</w:t>
      </w:r>
    </w:p>
    <w:tbl>
      <w:tblPr>
        <w:tblStyle w:val="TableGrid"/>
        <w:tblW w:type="dxa" w:w="9200"/>
        <w:jc w:val="left"/>
        <w:tblLayout w:type="fixed"/>
        <w:tblLook w:firstColumn="1" w:firstRow="1" w:lastColumn="0" w:lastRow="0" w:noHBand="0" w:noVBand="1" w:val="04A0"/>
        <w:tblInd w:w="120" w:type="dxa"/>
      </w:tblPr>
      <w:tblGrid>
        <w:gridCol w:w="2100"/>
        <w:gridCol w:w="7100"/>
      </w:tblGrid>
      <w:tr>
        <w:trPr>
          <w:tblHeader w:val="true"/>
          <w:cantSplit/>
        </w:trPr>
        <w:tc>
          <w:tcPr>
            <w:tcW w:type="dxa" w:w="2100"/>
            <w:shd w:fill="E8EEF5"/>
            <w:vAlign w:val="center"/>
            <w:tcMar>
              <w:top w:w="80" w:type="dxa"/>
              <w:start w:w="120" w:type="dxa"/>
              <w:bottom w:w="80" w:type="dxa"/>
              <w:end w:w="120" w:type="dxa"/>
            </w:tcMar>
          </w:tcPr>
          <w:p>
            <w:r>
              <w:rPr>
                <w:rFonts w:ascii="Calibri" w:hAnsi="Calibri"/>
                <w:b/>
                <w:color w:val="17324D"/>
                <w:sz w:val="19"/>
              </w:rPr>
              <w:t>Županija</w:t>
            </w:r>
          </w:p>
        </w:tc>
        <w:tc>
          <w:tcPr>
            <w:tcW w:type="dxa" w:w="7100"/>
            <w:shd w:fill="E8EEF5"/>
            <w:vAlign w:val="center"/>
            <w:tcMar>
              <w:top w:w="80" w:type="dxa"/>
              <w:start w:w="120" w:type="dxa"/>
              <w:bottom w:w="80" w:type="dxa"/>
              <w:end w:w="120" w:type="dxa"/>
            </w:tcMar>
          </w:tcPr>
          <w:p>
            <w:r>
              <w:rPr>
                <w:rFonts w:ascii="Calibri" w:hAnsi="Calibri"/>
                <w:b/>
                <w:color w:val="17324D"/>
                <w:sz w:val="19"/>
              </w:rPr>
              <w:t>Zaštićena cjelina / skup lokaliteta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Bjelovarsko-bilogorska</w:t>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Bjelovar — Spomen-područje Barutana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Brodsko-posavska</w:t>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Okučani — spomen-obilježje hrvatskim braniteljima poginulim u VRO Bljesak »Kocke vedrine«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Slavonski Brod — spomenik »Prekinuto djetinjstvo« Slavonski Brod</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Osječko-baranjska</w:t>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Osijek — Spomenik »crvenom Fići« i spomenik »Osijek – Nepokoreni grad«</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Područja masovnih stradanja i mjesta masovnih grobnica žrtava iz Domovinskog rata: Beli Manastir, Bilje, Betin Dvor, Erdut, Ernestinovo, Antunovac, Farma Orlovnjak, Farma Lovas, Dalj, Ćelije, Daljski Atar – Glogovac</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Požeško-slavonska</w:t>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Pakrac i Lipik — spomen-obilježja na mjestima masovnih grobnica Kusonje, Gavrinica, Pakrački vinogradi, Donji Čaglić i spomen-crkva u Kusonjama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Virovitičko-podravska</w:t>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Voćin — naselje i crkva Pohođenja Blažene Djevice Marije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Vukovarsko-srijemska</w:t>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Ilok — stari grad Ilok s utvrdom, hamamom i turskim turbom</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Vukovar — mjesto posebnog domovinskog pijeteta: Spomen-područje Ovčara, Memorijalno groblje žrtava iz Domovinskog rata, Mjesto sjećanja – Vukovarska bolnica 1991., Središnji križ, Vodotoranj, Spomen-obilježje nestalima, spomenik Blage Zadre – Trpinjska cesta, Memorijalni centar Domovinskog rata, Borovo Commerce i Logor Velepromet</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Lovas — spomen-park »Minsko polje«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r>
          </w:p>
        </w:tc>
        <w:tc>
          <w:tcPr>
            <w:tcW w:type="dxa" w:w="7100"/>
            <w:vAlign w:val="top"/>
            <w:tcMar>
              <w:top w:w="80" w:type="dxa"/>
              <w:start w:w="120" w:type="dxa"/>
              <w:bottom w:w="80" w:type="dxa"/>
              <w:end w:w="120" w:type="dxa"/>
            </w:tcMar>
          </w:tcPr>
          <w:p>
            <w:pPr>
              <w:spacing w:after="40" w:line="259" w:lineRule="auto"/>
            </w:pPr>
            <w:r>
              <w:rPr>
                <w:rFonts w:ascii="Calibri" w:hAnsi="Calibri"/>
                <w:color w:val="222222"/>
                <w:sz w:val="18"/>
              </w:rPr>
              <w:t>Mjesta masovnih grobnica žrtava iz Domovinskog rata u naseljima: Tovarnik, Lovas, Bogdanovci, Bobota, Nuštar, Tompojevci, Tordinci, Stari Jankovci, Ilok i Negoslavci</w:t>
            </w:r>
          </w:p>
        </w:tc>
      </w:tr>
    </w:tbl>
    <w:p>
      <w:pPr>
        <w:spacing w:after="20"/>
      </w:pPr>
    </w:p>
    <w:p>
      <w:r>
        <w:br w:type="page"/>
      </w:r>
    </w:p>
    <w:p>
      <w:r>
        <w:rPr>
          <w:rFonts w:ascii="Calibri" w:hAnsi="Calibri"/>
          <w:b/>
          <w:color w:val="B78727"/>
          <w:sz w:val="48"/>
        </w:rPr>
        <w:t>R6.1</w:t>
      </w:r>
    </w:p>
    <w:p>
      <w:pPr>
        <w:pStyle w:val="Heading1"/>
        <w:spacing w:before="40"/>
      </w:pPr>
      <w:r>
        <w:t>Terensko vođenje na urbanoj zaštićenoj cjelini</w:t>
      </w:r>
    </w:p>
    <w:tbl>
      <w:tblPr>
        <w:tblStyle w:val="TableGrid"/>
        <w:tblW w:type="dxa" w:w="9200"/>
        <w:jc w:val="left"/>
        <w:tblLayout w:type="fixed"/>
        <w:tblLook w:firstColumn="1" w:firstRow="1" w:lastColumn="0" w:lastRow="0" w:noHBand="0" w:noVBand="1" w:val="04A0"/>
        <w:tblInd w:w="120" w:type="dxa"/>
      </w:tblPr>
      <w:tblGrid>
        <w:gridCol w:w="1100"/>
        <w:gridCol w:w="3000"/>
        <w:gridCol w:w="5100"/>
      </w:tblGrid>
      <w:tr>
        <w:trPr>
          <w:tblHeader w:val="true"/>
          <w:cantSplit/>
        </w:trPr>
        <w:tc>
          <w:tcPr>
            <w:tcW w:type="dxa" w:w="1100"/>
            <w:shd w:fill="E8EEF5"/>
            <w:vAlign w:val="center"/>
            <w:tcMar>
              <w:top w:w="80" w:type="dxa"/>
              <w:start w:w="120" w:type="dxa"/>
              <w:bottom w:w="80" w:type="dxa"/>
              <w:end w:w="120" w:type="dxa"/>
            </w:tcMar>
          </w:tcPr>
          <w:p>
            <w:r>
              <w:rPr>
                <w:rFonts w:ascii="Calibri" w:hAnsi="Calibri"/>
                <w:b/>
                <w:color w:val="17324D"/>
                <w:sz w:val="19"/>
              </w:rPr>
              <w:t>Satnica</w:t>
            </w:r>
          </w:p>
        </w:tc>
        <w:tc>
          <w:tcPr>
            <w:tcW w:type="dxa" w:w="3000"/>
            <w:shd w:fill="E8EEF5"/>
            <w:vAlign w:val="center"/>
            <w:tcMar>
              <w:top w:w="80" w:type="dxa"/>
              <w:start w:w="120" w:type="dxa"/>
              <w:bottom w:w="80" w:type="dxa"/>
              <w:end w:w="120" w:type="dxa"/>
            </w:tcMar>
          </w:tcPr>
          <w:p>
            <w:r>
              <w:rPr>
                <w:rFonts w:ascii="Calibri" w:hAnsi="Calibri"/>
                <w:b/>
                <w:color w:val="17324D"/>
                <w:sz w:val="19"/>
              </w:rPr>
              <w:t>Metoda</w:t>
            </w:r>
          </w:p>
        </w:tc>
        <w:tc>
          <w:tcPr>
            <w:tcW w:type="dxa" w:w="5100"/>
            <w:shd w:fill="E8EEF5"/>
            <w:vAlign w:val="center"/>
            <w:tcMar>
              <w:top w:w="80" w:type="dxa"/>
              <w:start w:w="120" w:type="dxa"/>
              <w:bottom w:w="80" w:type="dxa"/>
              <w:end w:w="120" w:type="dxa"/>
            </w:tcMar>
          </w:tcPr>
          <w:p>
            <w:r>
              <w:rPr>
                <w:rFonts w:ascii="Calibri" w:hAnsi="Calibri"/>
                <w:b/>
                <w:color w:val="17324D"/>
                <w:sz w:val="19"/>
              </w:rPr>
              <w:t>Izlazni dokaz</w:t>
            </w:r>
          </w:p>
        </w:tc>
      </w:tr>
      <w:tr>
        <w:trPr>
          <w:cantSplit/>
        </w:trPr>
        <w:tc>
          <w:tcPr>
            <w:tcW w:type="dxa" w:w="1100"/>
            <w:vAlign w:val="top"/>
            <w:tcMar>
              <w:top w:w="80" w:type="dxa"/>
              <w:start w:w="120" w:type="dxa"/>
              <w:bottom w:w="80" w:type="dxa"/>
              <w:end w:w="120" w:type="dxa"/>
            </w:tcMar>
          </w:tcPr>
          <w:p>
            <w:pPr>
              <w:spacing w:after="40" w:line="259" w:lineRule="auto"/>
            </w:pPr>
            <w:r>
              <w:rPr>
                <w:rFonts w:ascii="Calibri" w:hAnsi="Calibri"/>
                <w:color w:val="222222"/>
                <w:sz w:val="18"/>
              </w:rPr>
              <w:t>4 sata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terenska vježba</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izvedba rute + opažački list</w:t>
            </w:r>
          </w:p>
        </w:tc>
      </w:tr>
    </w:tbl>
    <w:p>
      <w:pPr>
        <w:spacing w:after="20"/>
      </w:pPr>
    </w:p>
    <w:p>
      <w:pPr>
        <w:widowControl/>
      </w:pPr>
      <w:r>
        <w:t>U urbanoj cjelini vodič istodobno upravlja skupinom i dijeli prostor s prolaznicima, stanarima, prometom, ugostiteljskim terasama, drugim skupinama i neočekivanim preprekama. Dobra izvedba nije ona u kojoj vodič govori bez prekida, nego ona u kojoj skupina sigurno prelazi između postaja i na svakoj ih može vidjeti, čuti i razumjeti.</w:t>
      </w:r>
    </w:p>
    <w:p>
      <w:pPr>
        <w:spacing w:before="120" w:after="40"/>
        <w:jc w:val="center"/>
      </w:pPr>
      <w:r>
        <w:drawing>
          <wp:inline xmlns:a="http://schemas.openxmlformats.org/drawingml/2006/main" xmlns:pic="http://schemas.openxmlformats.org/drawingml/2006/picture">
            <wp:extent cx="5493387" cy="3600000"/>
            <wp:docPr id="603" name="Picture 603" descr="Slika 5. Gradska vrata osječke Tvrđe — uska dionica na kojoj se sadržaj zaustavlja, a formacija najavljuje unaprijed." title="Slika 5. Gradska vrata osječke Tvrđe — uska dionica na kojoj se sadržaj zaustavlja, a formacija najavljuje unaprijed."/>
            <wp:cNvGraphicFramePr>
              <a:graphicFrameLocks noChangeAspect="1"/>
            </wp:cNvGraphicFramePr>
            <a:graphic>
              <a:graphicData uri="http://schemas.openxmlformats.org/drawingml/2006/picture">
                <pic:pic>
                  <pic:nvPicPr>
                    <pic:cNvPr id="0" name="image15.jpg"/>
                    <pic:cNvPicPr/>
                  </pic:nvPicPr>
                  <pic:blipFill>
                    <a:blip r:embed="rId25"/>
                    <a:stretch>
                      <a:fillRect/>
                    </a:stretch>
                  </pic:blipFill>
                  <pic:spPr>
                    <a:xfrm>
                      <a:off x="0" y="0"/>
                      <a:ext cx="5493387" cy="3600000"/>
                    </a:xfrm>
                    <a:prstGeom prst="rect"/>
                  </pic:spPr>
                </pic:pic>
              </a:graphicData>
            </a:graphic>
          </wp:inline>
        </w:drawing>
      </w:r>
    </w:p>
    <w:p>
      <w:pPr>
        <w:spacing w:before="60" w:after="40"/>
        <w:jc w:val="center"/>
      </w:pPr>
      <w:r>
        <w:rPr>
          <w:rFonts w:ascii="Calibri" w:hAnsi="Calibri"/>
          <w:i/>
          <w:color w:val="1F4D78"/>
          <w:sz w:val="18"/>
        </w:rPr>
        <w:t xml:space="preserve">Slika 5. Gradska vrata osječke Tvrđe — uska dionica na kojoj se sadržaj zaustavlja, a formacija najavljuje unaprijed.</w:t>
      </w:r>
    </w:p>
    <w:p>
      <w:pPr>
        <w:spacing w:before="0" w:after="160"/>
        <w:jc w:val="center"/>
      </w:pPr>
      <w:r>
        <w:rPr>
          <w:rFonts w:ascii="Calibri" w:hAnsi="Calibri"/>
          <w:color w:val="667085"/>
          <w:sz w:val="16"/>
        </w:rPr>
        <w:t xml:space="preserve">Foto: Pudelek, Wikimedia Commons, CC BY-SA 4.0.</w:t>
      </w:r>
    </w:p>
    <w:p>
      <w:pPr>
        <w:spacing w:before="120" w:after="40"/>
        <w:jc w:val="center"/>
      </w:pPr>
      <w:r>
        <w:drawing>
          <wp:inline xmlns:a="http://schemas.openxmlformats.org/drawingml/2006/main" xmlns:pic="http://schemas.openxmlformats.org/drawingml/2006/picture">
            <wp:extent cx="5806440" cy="2798100"/>
            <wp:docPr id="3" name="Picture 3" descr="Slika 6. Dobra i loša formacija skupine uz tok drugih korisnika prostora." title="Slika 6. Dobra i loša formacija skupine uz tok drugih korisnika prostora."/>
            <wp:cNvGraphicFramePr>
              <a:graphicFrameLocks noChangeAspect="1"/>
            </wp:cNvGraphicFramePr>
            <a:graphic>
              <a:graphicData uri="http://schemas.openxmlformats.org/drawingml/2006/picture">
                <pic:pic>
                  <pic:nvPicPr>
                    <pic:cNvPr id="0" name="03_formacija.png"/>
                    <pic:cNvPicPr/>
                  </pic:nvPicPr>
                  <pic:blipFill>
                    <a:blip r:embed="rId13"/>
                    <a:stretch>
                      <a:fillRect/>
                    </a:stretch>
                  </pic:blipFill>
                  <pic:spPr>
                    <a:xfrm>
                      <a:off x="0" y="0"/>
                      <a:ext cx="5806440" cy="2798100"/>
                    </a:xfrm>
                    <a:prstGeom prst="rect"/>
                  </pic:spPr>
                </pic:pic>
              </a:graphicData>
            </a:graphic>
          </wp:inline>
        </w:drawing>
      </w:r>
    </w:p>
    <w:p>
      <w:pPr>
        <w:spacing w:before="60" w:after="40"/>
        <w:jc w:val="center"/>
      </w:pPr>
      <w:r>
        <w:rPr>
          <w:rFonts w:ascii="Calibri" w:hAnsi="Calibri"/>
          <w:i/>
          <w:color w:val="1F4D78"/>
          <w:sz w:val="18"/>
        </w:rPr>
        <w:t>Slika 6. Dobra i loša formacija skupine uz tok drugih korisnika prostora.</w:t>
      </w:r>
    </w:p>
    <w:p>
      <w:pPr>
        <w:spacing w:before="0" w:after="160"/>
        <w:jc w:val="center"/>
      </w:pPr>
      <w:r>
        <w:rPr>
          <w:rFonts w:ascii="Calibri" w:hAnsi="Calibri"/>
          <w:color w:val="667085"/>
          <w:sz w:val="16"/>
        </w:rPr>
        <w:t>Izvorna ilustracija; prostorna shema.</w:t>
      </w:r>
    </w:p>
    <w:p>
      <w:pPr>
        <w:pStyle w:val="Heading2"/>
        <w:keepNext/>
      </w:pPr>
      <w:r>
        <w:t>Briefing prije prvoga koraka</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Cilj i trajanje</w:t>
            </w:r>
          </w:p>
        </w:tc>
        <w:tc>
          <w:tcPr>
            <w:tcW w:type="dxa" w:w="7200"/>
            <w:vAlign w:val="top"/>
          </w:tcPr>
          <w:p>
            <w:pPr>
              <w:spacing w:after="60"/>
            </w:pPr>
            <w:r>
              <w:rPr>
                <w:rFonts w:ascii="Calibri" w:hAnsi="Calibri"/>
                <w:color w:val="222222"/>
                <w:sz w:val="18"/>
              </w:rPr>
              <w:t>što obilazimo · koliko traje · kada je prva pauza</w:t>
            </w:r>
          </w:p>
        </w:tc>
        <w:trPr>
          <w:tblHeader/>
        </w:trPr>
      </w:tr>
      <w:tr>
        <w:tc>
          <w:tcPr>
            <w:tcW w:type="dxa" w:w="2376"/>
            <w:shd w:fill="E8EEF5"/>
            <w:vAlign w:val="top"/>
          </w:tcPr>
          <w:p>
            <w:pPr>
              <w:spacing w:after="60"/>
            </w:pPr>
            <w:r>
              <w:rPr>
                <w:rFonts w:ascii="Calibri" w:hAnsi="Calibri"/>
                <w:b/>
                <w:color w:val="17324D"/>
                <w:sz w:val="18"/>
              </w:rPr>
              <w:t>Vizualni znak</w:t>
            </w:r>
          </w:p>
        </w:tc>
        <w:tc>
          <w:tcPr>
            <w:tcW w:type="dxa" w:w="7200"/>
            <w:vAlign w:val="top"/>
          </w:tcPr>
          <w:p>
            <w:pPr>
              <w:spacing w:after="60"/>
            </w:pPr>
            <w:r>
              <w:rPr>
                <w:rFonts w:ascii="Calibri" w:hAnsi="Calibri"/>
                <w:color w:val="222222"/>
                <w:sz w:val="18"/>
              </w:rPr>
              <w:t>prepoznatljiv vodič / predmet · bez ometanja ili nedopuštene opreme</w:t>
            </w:r>
          </w:p>
        </w:tc>
      </w:tr>
      <w:tr>
        <w:tc>
          <w:tcPr>
            <w:tcW w:type="dxa" w:w="2376"/>
            <w:shd w:fill="E8EEF5"/>
            <w:vAlign w:val="top"/>
          </w:tcPr>
          <w:p>
            <w:pPr>
              <w:spacing w:after="60"/>
            </w:pPr>
            <w:r>
              <w:rPr>
                <w:rFonts w:ascii="Calibri" w:hAnsi="Calibri"/>
                <w:b/>
                <w:color w:val="17324D"/>
                <w:sz w:val="18"/>
              </w:rPr>
              <w:t>Tempo</w:t>
            </w:r>
          </w:p>
        </w:tc>
        <w:tc>
          <w:tcPr>
            <w:tcW w:type="dxa" w:w="7200"/>
            <w:vAlign w:val="top"/>
          </w:tcPr>
          <w:p>
            <w:pPr>
              <w:spacing w:after="60"/>
            </w:pPr>
            <w:r>
              <w:rPr>
                <w:rFonts w:ascii="Calibri" w:hAnsi="Calibri"/>
                <w:color w:val="222222"/>
                <w:sz w:val="18"/>
              </w:rPr>
              <w:t>tko određuje ritam · kako se prijavljuje potreba za usporavanjem</w:t>
            </w:r>
          </w:p>
        </w:tc>
      </w:tr>
      <w:tr>
        <w:tc>
          <w:tcPr>
            <w:tcW w:type="dxa" w:w="2376"/>
            <w:shd w:fill="E8EEF5"/>
            <w:vAlign w:val="top"/>
          </w:tcPr>
          <w:p>
            <w:pPr>
              <w:spacing w:after="60"/>
            </w:pPr>
            <w:r>
              <w:rPr>
                <w:rFonts w:ascii="Calibri" w:hAnsi="Calibri"/>
                <w:b/>
                <w:color w:val="17324D"/>
                <w:sz w:val="18"/>
              </w:rPr>
              <w:t>Prijelazi</w:t>
            </w:r>
          </w:p>
        </w:tc>
        <w:tc>
          <w:tcPr>
            <w:tcW w:type="dxa" w:w="7200"/>
            <w:vAlign w:val="top"/>
          </w:tcPr>
          <w:p>
            <w:pPr>
              <w:spacing w:after="60"/>
            </w:pPr>
            <w:r>
              <w:rPr>
                <w:rFonts w:ascii="Calibri" w:hAnsi="Calibri"/>
                <w:color w:val="222222"/>
                <w:sz w:val="18"/>
              </w:rPr>
              <w:t>ne prelaziti samostalno · gdje se ponovno okupljamo</w:t>
            </w:r>
          </w:p>
        </w:tc>
      </w:tr>
      <w:tr>
        <w:tc>
          <w:tcPr>
            <w:tcW w:type="dxa" w:w="2376"/>
            <w:shd w:fill="E8EEF5"/>
            <w:vAlign w:val="top"/>
          </w:tcPr>
          <w:p>
            <w:pPr>
              <w:spacing w:after="60"/>
            </w:pPr>
            <w:r>
              <w:rPr>
                <w:rFonts w:ascii="Calibri" w:hAnsi="Calibri"/>
                <w:b/>
                <w:color w:val="17324D"/>
                <w:sz w:val="18"/>
              </w:rPr>
              <w:t>Zaostajanje</w:t>
            </w:r>
          </w:p>
        </w:tc>
        <w:tc>
          <w:tcPr>
            <w:tcW w:type="dxa" w:w="7200"/>
            <w:vAlign w:val="top"/>
          </w:tcPr>
          <w:p>
            <w:pPr>
              <w:spacing w:after="60"/>
            </w:pPr>
            <w:r>
              <w:rPr>
                <w:rFonts w:ascii="Calibri" w:hAnsi="Calibri"/>
                <w:color w:val="222222"/>
                <w:sz w:val="18"/>
              </w:rPr>
              <w:t>ne trčati za skupinom · javiti se · ostati na zadnjoj potvrđenoj točki</w:t>
            </w:r>
          </w:p>
        </w:tc>
      </w:tr>
      <w:tr>
        <w:tc>
          <w:tcPr>
            <w:tcW w:type="dxa" w:w="2376"/>
            <w:shd w:fill="E8EEF5"/>
            <w:vAlign w:val="top"/>
          </w:tcPr>
          <w:p>
            <w:pPr>
              <w:spacing w:after="60"/>
            </w:pPr>
            <w:r>
              <w:rPr>
                <w:rFonts w:ascii="Calibri" w:hAnsi="Calibri"/>
                <w:b/>
                <w:color w:val="17324D"/>
                <w:sz w:val="18"/>
              </w:rPr>
              <w:t>Kontakt</w:t>
            </w:r>
          </w:p>
        </w:tc>
        <w:tc>
          <w:tcPr>
            <w:tcW w:type="dxa" w:w="7200"/>
            <w:vAlign w:val="top"/>
          </w:tcPr>
          <w:p>
            <w:pPr>
              <w:spacing w:after="60"/>
            </w:pPr>
            <w:r>
              <w:rPr>
                <w:rFonts w:ascii="Calibri" w:hAnsi="Calibri"/>
                <w:color w:val="222222"/>
                <w:sz w:val="18"/>
              </w:rPr>
              <w:t>broj vodiča / organizatora u skladu s pravilima zaštite podataka</w:t>
            </w:r>
          </w:p>
        </w:tc>
      </w:tr>
    </w:tbl>
    <w:p>
      <w:pPr>
        <w:spacing w:after="20"/>
      </w:pPr>
    </w:p>
    <w:p>
      <w:r>
        <w:br w:type="page"/>
      </w:r>
    </w:p>
    <w:p>
      <w:pPr>
        <w:pStyle w:val="Heading1"/>
        <w:keepNext/>
      </w:pPr>
      <w:r>
        <w:t>Kretanje, prijelazi i tempo</w:t>
      </w:r>
    </w:p>
    <w:p>
      <w:pPr>
        <w:spacing w:before="120" w:after="40"/>
        <w:jc w:val="center"/>
      </w:pPr>
      <w:r>
        <w:drawing>
          <wp:inline xmlns:a="http://schemas.openxmlformats.org/drawingml/2006/main" xmlns:pic="http://schemas.openxmlformats.org/drawingml/2006/picture">
            <wp:extent cx="5852160" cy="2626069"/>
            <wp:docPr id="4" name="Picture 4" descr="Slika 7. Protokol koji zatvara svaki prijelaz prije nastavka sadržaja." title="Slika 7. Protokol koji zatvara svaki prijelaz prije nastavka sadržaja."/>
            <wp:cNvGraphicFramePr>
              <a:graphicFrameLocks noChangeAspect="1"/>
            </wp:cNvGraphicFramePr>
            <a:graphic>
              <a:graphicData uri="http://schemas.openxmlformats.org/drawingml/2006/picture">
                <pic:pic>
                  <pic:nvPicPr>
                    <pic:cNvPr id="0" name="04_kretanje.png"/>
                    <pic:cNvPicPr/>
                  </pic:nvPicPr>
                  <pic:blipFill>
                    <a:blip r:embed="rId14"/>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7. Protokol koji zatvara svaki prijelaz prije nastavka sadržaja.</w:t>
      </w:r>
    </w:p>
    <w:p>
      <w:pPr>
        <w:spacing w:before="0" w:after="160"/>
        <w:jc w:val="center"/>
      </w:pPr>
      <w:r>
        <w:rPr>
          <w:rFonts w:ascii="Calibri" w:hAnsi="Calibri"/>
          <w:color w:val="667085"/>
          <w:sz w:val="16"/>
        </w:rPr>
        <w:t>Izvorna ilustracija; operativni slijed.</w:t>
      </w:r>
    </w:p>
    <w:tbl>
      <w:tblPr>
        <w:tblStyle w:val="TableGrid"/>
        <w:tblW w:type="dxa" w:w="9200"/>
        <w:jc w:val="left"/>
        <w:tblLayout w:type="fixed"/>
        <w:tblLook w:firstColumn="1" w:firstRow="1" w:lastColumn="0" w:lastRow="0" w:noHBand="0" w:noVBand="1" w:val="04A0"/>
        <w:tblInd w:w="120" w:type="dxa"/>
      </w:tblPr>
      <w:tblGrid>
        <w:gridCol w:w="1550"/>
        <w:gridCol w:w="4850"/>
        <w:gridCol w:w="2800"/>
      </w:tblGrid>
      <w:tr>
        <w:trPr>
          <w:tblHeader w:val="true"/>
          <w:cantSplit/>
        </w:trPr>
        <w:tc>
          <w:tcPr>
            <w:tcW w:type="dxa" w:w="1550"/>
            <w:shd w:fill="E8EEF5"/>
            <w:vAlign w:val="center"/>
            <w:tcMar>
              <w:top w:w="80" w:type="dxa"/>
              <w:start w:w="120" w:type="dxa"/>
              <w:bottom w:w="80" w:type="dxa"/>
              <w:end w:w="120" w:type="dxa"/>
            </w:tcMar>
          </w:tcPr>
          <w:p>
            <w:r>
              <w:rPr>
                <w:rFonts w:ascii="Calibri" w:hAnsi="Calibri"/>
                <w:b/>
                <w:color w:val="17324D"/>
                <w:sz w:val="19"/>
              </w:rPr>
              <w:t>Situacija</w:t>
            </w:r>
          </w:p>
        </w:tc>
        <w:tc>
          <w:tcPr>
            <w:tcW w:type="dxa" w:w="4850"/>
            <w:shd w:fill="E8EEF5"/>
            <w:vAlign w:val="center"/>
            <w:tcMar>
              <w:top w:w="80" w:type="dxa"/>
              <w:start w:w="120" w:type="dxa"/>
              <w:bottom w:w="80" w:type="dxa"/>
              <w:end w:w="120" w:type="dxa"/>
            </w:tcMar>
          </w:tcPr>
          <w:p>
            <w:r>
              <w:rPr>
                <w:rFonts w:ascii="Calibri" w:hAnsi="Calibri"/>
                <w:b/>
                <w:color w:val="17324D"/>
                <w:sz w:val="19"/>
              </w:rPr>
              <w:t>Radnja vodiča</w:t>
            </w:r>
          </w:p>
        </w:tc>
        <w:tc>
          <w:tcPr>
            <w:tcW w:type="dxa" w:w="2800"/>
            <w:shd w:fill="E8EEF5"/>
            <w:vAlign w:val="center"/>
            <w:tcMar>
              <w:top w:w="80" w:type="dxa"/>
              <w:start w:w="120" w:type="dxa"/>
              <w:bottom w:w="80" w:type="dxa"/>
              <w:end w:w="120" w:type="dxa"/>
            </w:tcMar>
          </w:tcPr>
          <w:p>
            <w:r>
              <w:rPr>
                <w:rFonts w:ascii="Calibri" w:hAnsi="Calibri"/>
                <w:b/>
                <w:color w:val="17324D"/>
                <w:sz w:val="19"/>
              </w:rPr>
              <w:t>Znak uspjeha</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uski prolaz</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najavljuje formaciju i govori tek nakon okupljanja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prolaz ostaje slobodan, skupina se ne razvlači</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raskrižje / prijelaz</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zaustavlja sadržaj, određuje točku okupljanja i provjerava sve članove</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nitko ne prelazi nejasno ili izvan dogovorene radnje</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gužva</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skraćuje govor, povećava frekvenciju provjere i po potrebi mijenja postaju</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skupina održava kontakt bez potiskivanja drugih</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sporiji član</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usporava sustav, a ne izdvojenu osobu; koristi začelje i kraće dionice</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osoba ostaje uključena bez javnog označavanja</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kašnjenje</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aktivira unaprijed označenu redukciju sadržaja, ne ubrzava opasno kretanje</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očuvani su sigurnost, ključna poruka i završno vrijeme</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prekid pogleda/sluha</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mijenja položaj, koristi dogovoreni znak i provjerava razumijevanje</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uputa je primljena i potvrđena</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VJEŽBA 1A  </w:t>
      </w:r>
      <w:r>
        <w:rPr>
          <w:rFonts w:ascii="Calibri" w:hAnsi="Calibri"/>
          <w:b/>
          <w:color w:val="17324D"/>
          <w:sz w:val="21"/>
        </w:rPr>
        <w:t>Kandidat vodi skupinu kroz najmanje dvije promjene smjera, jednu usku dionicu i dvije kontrolne točke. Promatrač bilježi vrijeme, položaj, vidljivost, slušljivost, reakciju na zaostajanje i utjecaj na druge korisnike prostora.</w:t>
      </w:r>
    </w:p>
    <w:p>
      <w:r>
        <w:br w:type="page"/>
      </w:r>
    </w:p>
    <w:p>
      <w:pPr>
        <w:pStyle w:val="Heading1"/>
        <w:keepNext/>
      </w:pPr>
      <w:r>
        <w:t>Brojanje i kontrolne točke</w:t>
      </w:r>
    </w:p>
    <w:p>
      <w:pPr>
        <w:spacing w:before="120" w:after="40"/>
        <w:jc w:val="center"/>
      </w:pPr>
      <w:r>
        <w:drawing>
          <wp:inline xmlns:a="http://schemas.openxmlformats.org/drawingml/2006/main" xmlns:pic="http://schemas.openxmlformats.org/drawingml/2006/picture">
            <wp:extent cx="5852160" cy="2626069"/>
            <wp:docPr id="5" name="Picture 5" descr="Slika 8. Brojanje kao potvrđena zatvorena petlja." title="Slika 8. Brojanje kao potvrđena zatvorena petlja."/>
            <wp:cNvGraphicFramePr>
              <a:graphicFrameLocks noChangeAspect="1"/>
            </wp:cNvGraphicFramePr>
            <a:graphic>
              <a:graphicData uri="http://schemas.openxmlformats.org/drawingml/2006/picture">
                <pic:pic>
                  <pic:nvPicPr>
                    <pic:cNvPr id="0" name="05_brojanje.png"/>
                    <pic:cNvPicPr/>
                  </pic:nvPicPr>
                  <pic:blipFill>
                    <a:blip r:embed="rId15"/>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8. Brojanje kao potvrđena zatvorena petlja.</w:t>
      </w:r>
    </w:p>
    <w:p>
      <w:pPr>
        <w:spacing w:before="0" w:after="160"/>
        <w:jc w:val="center"/>
      </w:pPr>
      <w:r>
        <w:rPr>
          <w:rFonts w:ascii="Calibri" w:hAnsi="Calibri"/>
          <w:color w:val="667085"/>
          <w:sz w:val="16"/>
        </w:rPr>
        <w:t>Izvorna ilustracija; kontrolni protokol.</w:t>
      </w:r>
    </w:p>
    <w:p>
      <w:pPr>
        <w:widowControl/>
      </w:pPr>
      <w:r>
        <w:t>Brojanje nije povremeni pogled prema skupini. Početni broj potvrđuje se s organizatorom, a kontrolne točke unaprijed se ugrađuju u rutu. Ne nastavlja se sadržaj dok odstupanje nije razjašnjeno.</w:t>
      </w:r>
    </w:p>
    <w:tbl>
      <w:tblPr>
        <w:tblStyle w:val="TableGrid"/>
        <w:tblW w:type="dxa" w:w="9200"/>
        <w:jc w:val="left"/>
        <w:tblLayout w:type="fixed"/>
        <w:tblLook w:firstColumn="1" w:firstRow="1" w:lastColumn="0" w:lastRow="0" w:noHBand="0" w:noVBand="1" w:val="04A0"/>
        <w:tblInd w:w="120" w:type="dxa"/>
      </w:tblPr>
      <w:tblGrid>
        <w:gridCol w:w="1800"/>
        <w:gridCol w:w="1800"/>
        <w:gridCol w:w="3000"/>
        <w:gridCol w:w="2600"/>
      </w:tblGrid>
      <w:tr>
        <w:trPr>
          <w:tblHeader w:val="true"/>
          <w:cantSplit/>
        </w:trPr>
        <w:tc>
          <w:tcPr>
            <w:tcW w:type="dxa" w:w="1800"/>
            <w:shd w:fill="E8EEF5"/>
            <w:vAlign w:val="center"/>
            <w:tcMar>
              <w:top w:w="80" w:type="dxa"/>
              <w:start w:w="120" w:type="dxa"/>
              <w:bottom w:w="80" w:type="dxa"/>
              <w:end w:w="120" w:type="dxa"/>
            </w:tcMar>
          </w:tcPr>
          <w:p>
            <w:r>
              <w:rPr>
                <w:rFonts w:ascii="Calibri" w:hAnsi="Calibri"/>
                <w:b/>
                <w:color w:val="17324D"/>
                <w:sz w:val="19"/>
              </w:rPr>
              <w:t>Kontrolna točka</w:t>
            </w:r>
          </w:p>
        </w:tc>
        <w:tc>
          <w:tcPr>
            <w:tcW w:type="dxa" w:w="1800"/>
            <w:shd w:fill="E8EEF5"/>
            <w:vAlign w:val="center"/>
            <w:tcMar>
              <w:top w:w="80" w:type="dxa"/>
              <w:start w:w="120" w:type="dxa"/>
              <w:bottom w:w="80" w:type="dxa"/>
              <w:end w:w="120" w:type="dxa"/>
            </w:tcMar>
          </w:tcPr>
          <w:p>
            <w:r>
              <w:rPr>
                <w:rFonts w:ascii="Calibri" w:hAnsi="Calibri"/>
                <w:b/>
                <w:color w:val="17324D"/>
                <w:sz w:val="19"/>
              </w:rPr>
              <w:t>Tko broji</w:t>
            </w:r>
          </w:p>
        </w:tc>
        <w:tc>
          <w:tcPr>
            <w:tcW w:type="dxa" w:w="3000"/>
            <w:shd w:fill="E8EEF5"/>
            <w:vAlign w:val="center"/>
            <w:tcMar>
              <w:top w:w="80" w:type="dxa"/>
              <w:start w:w="120" w:type="dxa"/>
              <w:bottom w:w="80" w:type="dxa"/>
              <w:end w:w="120" w:type="dxa"/>
            </w:tcMar>
          </w:tcPr>
          <w:p>
            <w:r>
              <w:rPr>
                <w:rFonts w:ascii="Calibri" w:hAnsi="Calibri"/>
                <w:b/>
                <w:color w:val="17324D"/>
                <w:sz w:val="19"/>
              </w:rPr>
              <w:t>Što se bilježi</w:t>
            </w:r>
          </w:p>
        </w:tc>
        <w:tc>
          <w:tcPr>
            <w:tcW w:type="dxa" w:w="2600"/>
            <w:shd w:fill="E8EEF5"/>
            <w:vAlign w:val="center"/>
            <w:tcMar>
              <w:top w:w="80" w:type="dxa"/>
              <w:start w:w="120" w:type="dxa"/>
              <w:bottom w:w="80" w:type="dxa"/>
              <w:end w:w="120" w:type="dxa"/>
            </w:tcMar>
          </w:tcPr>
          <w:p>
            <w:r>
              <w:rPr>
                <w:rFonts w:ascii="Calibri" w:hAnsi="Calibri"/>
                <w:b/>
                <w:color w:val="17324D"/>
                <w:sz w:val="19"/>
              </w:rPr>
              <w:t>Reakcija na odstupanje</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početno okupljanje</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vodič + organizator</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ukupan broj i dogovorena izuzeća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ispraviti popis prije polaska</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prije/poslije prijelaza</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vodič + začelje</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vrijeme i potvrđeni broj</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zaustaviti skupinu na sigurnom</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ulaz/izlaz iz interijera</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vodič + asistent</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broj, kašnjenje i posebna pratnja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ne zatvarati izlaz; obavijestiti upravitelja</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ulazak u prijevoz</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organizator + vozač</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broj osoba i prtljage prema dogovoru</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ne polaziti bez razjašnjenja</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završetak</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vodič + organizator</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predaja skupine / samostalni odlazak</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potvrditi tko preuzima odgovornost</w:t>
            </w:r>
          </w:p>
        </w:tc>
      </w:tr>
    </w:tbl>
    <w:p>
      <w:pPr>
        <w:spacing w:after="20"/>
      </w:pPr>
    </w:p>
    <w:p>
      <w:pPr>
        <w:spacing w:before="120" w:after="160" w:line="283" w:lineRule="auto"/>
        <w:ind w:left="202" w:right="115"/>
        <w:shd w:fill="F1ECF7"/>
        <w:pBdr>
          <w:left w:val="single" w:sz="18" w:space="8" w:color="76538C"/>
        </w:pBdr>
      </w:pPr>
      <w:r>
        <w:rPr>
          <w:rFonts w:ascii="Calibri" w:hAnsi="Calibri"/>
          <w:b/>
          <w:color w:val="76538C"/>
          <w:sz w:val="19"/>
        </w:rPr>
        <w:t xml:space="preserve">VJEŽBA 1B  </w:t>
      </w:r>
      <w:r>
        <w:rPr>
          <w:rFonts w:ascii="Calibri" w:hAnsi="Calibri"/>
          <w:b/>
          <w:color w:val="17324D"/>
          <w:sz w:val="21"/>
        </w:rPr>
        <w:t>Instruktor bez stvarnoga nestanka diskretno zada opažaču informaciju o odstupanju u broju. Kandidat mora zaustaviti nastavak, potvrditi početni broj, rasporediti uloge i verbalizirati sljedeću sigurnu radnju.</w:t>
      </w:r>
    </w:p>
    <w:p>
      <w:r>
        <w:br w:type="page"/>
      </w:r>
    </w:p>
    <w:p>
      <w:r>
        <w:rPr>
          <w:rFonts w:ascii="Calibri" w:hAnsi="Calibri"/>
          <w:b/>
          <w:color w:val="B78727"/>
          <w:sz w:val="48"/>
        </w:rPr>
        <w:t>R6.2</w:t>
      </w:r>
    </w:p>
    <w:p>
      <w:pPr>
        <w:pStyle w:val="Heading1"/>
        <w:spacing w:before="40"/>
      </w:pPr>
      <w:r>
        <w:t>Vođenje u zatvorenom i sakralnom prostoru</w:t>
      </w:r>
    </w:p>
    <w:tbl>
      <w:tblPr>
        <w:tblStyle w:val="TableGrid"/>
        <w:tblW w:type="dxa" w:w="9200"/>
        <w:jc w:val="left"/>
        <w:tblLayout w:type="fixed"/>
        <w:tblLook w:firstColumn="1" w:firstRow="1" w:lastColumn="0" w:lastRow="0" w:noHBand="0" w:noVBand="1" w:val="04A0"/>
        <w:tblInd w:w="120" w:type="dxa"/>
      </w:tblPr>
      <w:tblGrid>
        <w:gridCol w:w="1100"/>
        <w:gridCol w:w="3000"/>
        <w:gridCol w:w="5100"/>
      </w:tblGrid>
      <w:tr>
        <w:trPr>
          <w:tblHeader w:val="true"/>
          <w:cantSplit/>
        </w:trPr>
        <w:tc>
          <w:tcPr>
            <w:tcW w:type="dxa" w:w="1100"/>
            <w:shd w:fill="E8EEF5"/>
            <w:vAlign w:val="center"/>
            <w:tcMar>
              <w:top w:w="80" w:type="dxa"/>
              <w:start w:w="120" w:type="dxa"/>
              <w:bottom w:w="80" w:type="dxa"/>
              <w:end w:w="120" w:type="dxa"/>
            </w:tcMar>
          </w:tcPr>
          <w:p>
            <w:r>
              <w:rPr>
                <w:rFonts w:ascii="Calibri" w:hAnsi="Calibri"/>
                <w:b/>
                <w:color w:val="17324D"/>
                <w:sz w:val="19"/>
              </w:rPr>
              <w:t>Satnica</w:t>
            </w:r>
          </w:p>
        </w:tc>
        <w:tc>
          <w:tcPr>
            <w:tcW w:type="dxa" w:w="3000"/>
            <w:shd w:fill="E8EEF5"/>
            <w:vAlign w:val="center"/>
            <w:tcMar>
              <w:top w:w="80" w:type="dxa"/>
              <w:start w:w="120" w:type="dxa"/>
              <w:bottom w:w="80" w:type="dxa"/>
              <w:end w:w="120" w:type="dxa"/>
            </w:tcMar>
          </w:tcPr>
          <w:p>
            <w:r>
              <w:rPr>
                <w:rFonts w:ascii="Calibri" w:hAnsi="Calibri"/>
                <w:b/>
                <w:color w:val="17324D"/>
                <w:sz w:val="19"/>
              </w:rPr>
              <w:t>Metoda</w:t>
            </w:r>
          </w:p>
        </w:tc>
        <w:tc>
          <w:tcPr>
            <w:tcW w:type="dxa" w:w="5100"/>
            <w:shd w:fill="E8EEF5"/>
            <w:vAlign w:val="center"/>
            <w:tcMar>
              <w:top w:w="80" w:type="dxa"/>
              <w:start w:w="120" w:type="dxa"/>
              <w:bottom w:w="80" w:type="dxa"/>
              <w:end w:w="120" w:type="dxa"/>
            </w:tcMar>
          </w:tcPr>
          <w:p>
            <w:r>
              <w:rPr>
                <w:rFonts w:ascii="Calibri" w:hAnsi="Calibri"/>
                <w:b/>
                <w:color w:val="17324D"/>
                <w:sz w:val="19"/>
              </w:rPr>
              <w:t>Izlazni dokaz</w:t>
            </w:r>
          </w:p>
        </w:tc>
      </w:tr>
      <w:tr>
        <w:trPr>
          <w:cantSplit/>
        </w:trPr>
        <w:tc>
          <w:tcPr>
            <w:tcW w:type="dxa" w:w="1100"/>
            <w:vAlign w:val="top"/>
            <w:tcMar>
              <w:top w:w="80" w:type="dxa"/>
              <w:start w:w="120" w:type="dxa"/>
              <w:bottom w:w="80" w:type="dxa"/>
              <w:end w:w="120" w:type="dxa"/>
            </w:tcMar>
          </w:tcPr>
          <w:p>
            <w:pPr>
              <w:spacing w:after="40" w:line="259" w:lineRule="auto"/>
            </w:pPr>
            <w:r>
              <w:rPr>
                <w:rFonts w:ascii="Calibri" w:hAnsi="Calibri"/>
                <w:color w:val="222222"/>
                <w:sz w:val="18"/>
              </w:rPr>
              <w:t>4 sata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terenska vježba</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dopuštena izvedba + protokol ulaza/izlaza</w:t>
            </w:r>
          </w:p>
        </w:tc>
      </w:tr>
    </w:tbl>
    <w:p>
      <w:pPr>
        <w:spacing w:after="20"/>
      </w:pPr>
    </w:p>
    <w:p>
      <w:pPr>
        <w:widowControl/>
      </w:pPr>
      <w:r>
        <w:t>Interijer je prostor tuđega upravljanja i često prostor primarne funkcije koja nije turistička: bogoslužje, čuvanje zbirke, rad ustanove ili privatnost korisnika. Vodič ne pregovara s pravilima pred skupinom, ne podrazumijeva pravo fotografiranja i ne koristi akustiku prostora kao opravdanje za preglasan govor.</w:t>
      </w:r>
    </w:p>
    <w:p>
      <w:pPr>
        <w:spacing w:before="120" w:after="40"/>
        <w:jc w:val="center"/>
      </w:pPr>
      <w:r>
        <w:drawing>
          <wp:inline xmlns:a="http://schemas.openxmlformats.org/drawingml/2006/main" xmlns:pic="http://schemas.openxmlformats.org/drawingml/2006/picture">
            <wp:extent cx="5400000" cy="3600000"/>
            <wp:docPr id="604" name="Picture 604" descr="Slika 9. Unutrašnjost đakovačke katedrale — razmjeri i odjek određuju položaj skupine i glasnoću vodiča." title="Slika 9. Unutrašnjost đakovačke katedrale — razmjeri i odjek određuju položaj skupine i glasnoću vodiča."/>
            <wp:cNvGraphicFramePr>
              <a:graphicFrameLocks noChangeAspect="1"/>
            </wp:cNvGraphicFramePr>
            <a:graphic>
              <a:graphicData uri="http://schemas.openxmlformats.org/drawingml/2006/picture">
                <pic:pic>
                  <pic:nvPicPr>
                    <pic:cNvPr id="0" name="image16.jpg"/>
                    <pic:cNvPicPr/>
                  </pic:nvPicPr>
                  <pic:blipFill>
                    <a:blip r:embed="rId26"/>
                    <a:stretch>
                      <a:fillRect/>
                    </a:stretch>
                  </pic:blipFill>
                  <pic:spPr>
                    <a:xfrm>
                      <a:off x="0" y="0"/>
                      <a:ext cx="5400000" cy="3600000"/>
                    </a:xfrm>
                    <a:prstGeom prst="rect"/>
                  </pic:spPr>
                </pic:pic>
              </a:graphicData>
            </a:graphic>
          </wp:inline>
        </w:drawing>
      </w:r>
    </w:p>
    <w:p>
      <w:pPr>
        <w:spacing w:before="60" w:after="40"/>
        <w:jc w:val="center"/>
      </w:pPr>
      <w:r>
        <w:rPr>
          <w:rFonts w:ascii="Calibri" w:hAnsi="Calibri"/>
          <w:i/>
          <w:color w:val="1F4D78"/>
          <w:sz w:val="18"/>
        </w:rPr>
        <w:t xml:space="preserve">Slika 9. Unutrašnjost đakovačke katedrale — razmjeri i odjek određuju položaj skupine i glasnoću vodiča.</w:t>
      </w:r>
    </w:p>
    <w:p>
      <w:pPr>
        <w:spacing w:before="0" w:after="160"/>
        <w:jc w:val="center"/>
      </w:pPr>
      <w:r>
        <w:rPr>
          <w:rFonts w:ascii="Calibri" w:hAnsi="Calibri"/>
          <w:color w:val="667085"/>
          <w:sz w:val="16"/>
        </w:rPr>
        <w:t xml:space="preserve">Foto: Pudelek, Wikimedia Commons, CC BY-SA 4.0.</w:t>
      </w:r>
    </w:p>
    <w:p>
      <w:pPr>
        <w:spacing w:before="120" w:after="40"/>
        <w:jc w:val="center"/>
      </w:pPr>
      <w:r>
        <w:drawing>
          <wp:inline xmlns:a="http://schemas.openxmlformats.org/drawingml/2006/main" xmlns:pic="http://schemas.openxmlformats.org/drawingml/2006/picture">
            <wp:extent cx="5852160" cy="3174937"/>
            <wp:docPr id="6" name="Picture 6" descr="Slika 10. Operativni ciklus ulaza, postaje i izlaza u interijeru." title="Slika 10. Operativni ciklus ulaza, postaje i izlaza u interijeru."/>
            <wp:cNvGraphicFramePr>
              <a:graphicFrameLocks noChangeAspect="1"/>
            </wp:cNvGraphicFramePr>
            <a:graphic>
              <a:graphicData uri="http://schemas.openxmlformats.org/drawingml/2006/picture">
                <pic:pic>
                  <pic:nvPicPr>
                    <pic:cNvPr id="0" name="06_interijer.png"/>
                    <pic:cNvPicPr/>
                  </pic:nvPicPr>
                  <pic:blipFill>
                    <a:blip r:embed="rId16"/>
                    <a:stretch>
                      <a:fillRect/>
                    </a:stretch>
                  </pic:blipFill>
                  <pic:spPr>
                    <a:xfrm>
                      <a:off x="0" y="0"/>
                      <a:ext cx="5852160" cy="3174937"/>
                    </a:xfrm>
                    <a:prstGeom prst="rect"/>
                  </pic:spPr>
                </pic:pic>
              </a:graphicData>
            </a:graphic>
          </wp:inline>
        </w:drawing>
      </w:r>
    </w:p>
    <w:p>
      <w:pPr>
        <w:spacing w:before="60" w:after="40"/>
        <w:jc w:val="center"/>
      </w:pPr>
      <w:r>
        <w:rPr>
          <w:rFonts w:ascii="Calibri" w:hAnsi="Calibri"/>
          <w:i/>
          <w:color w:val="1F4D78"/>
          <w:sz w:val="18"/>
        </w:rPr>
        <w:t>Slika 10. Operativni ciklus ulaza, postaje i izlaza u interijeru.</w:t>
      </w:r>
    </w:p>
    <w:p>
      <w:pPr>
        <w:spacing w:before="0" w:after="160"/>
        <w:jc w:val="center"/>
      </w:pPr>
      <w:r>
        <w:rPr>
          <w:rFonts w:ascii="Calibri" w:hAnsi="Calibri"/>
          <w:color w:val="667085"/>
          <w:sz w:val="16"/>
        </w:rPr>
        <w:t>Izvorna ilustracija; terenska matrica.</w:t>
      </w:r>
    </w:p>
    <w:p>
      <w:pPr>
        <w:pStyle w:val="Heading2"/>
        <w:keepNext/>
      </w:pPr>
      <w:r>
        <w:t>Potvrda prije ulaska</w:t>
      </w:r>
    </w:p>
    <w:p>
      <w:pPr>
        <w:spacing w:after="60"/>
        <w:ind w:left="173" w:hanging="29"/>
      </w:pPr>
      <w:r>
        <w:rPr>
          <w:rFonts w:ascii="Calibri" w:hAnsi="Calibri"/>
          <w:color w:val="1F4D78"/>
          <w:sz w:val="20"/>
        </w:rPr>
        <w:t xml:space="preserve">☐  </w:t>
      </w:r>
      <w:r>
        <w:rPr>
          <w:rFonts w:ascii="Calibri" w:hAnsi="Calibri"/>
          <w:color w:val="222222"/>
          <w:sz w:val="19"/>
        </w:rPr>
        <w:t>pisano ili službeno zabilježeno dopuštenje upravitelja za turističko vođenje</w:t>
      </w:r>
    </w:p>
    <w:p>
      <w:pPr>
        <w:spacing w:after="60"/>
        <w:ind w:left="173" w:hanging="29"/>
      </w:pPr>
      <w:r>
        <w:rPr>
          <w:rFonts w:ascii="Calibri" w:hAnsi="Calibri"/>
          <w:color w:val="1F4D78"/>
          <w:sz w:val="20"/>
        </w:rPr>
        <w:t xml:space="preserve">☐  </w:t>
      </w:r>
      <w:r>
        <w:rPr>
          <w:rFonts w:ascii="Calibri" w:hAnsi="Calibri"/>
          <w:color w:val="222222"/>
          <w:sz w:val="19"/>
        </w:rPr>
        <w:t>potvrđeni termin, maksimalni kapacitet, mjesto čekanja i kontakt dežurne osobe</w:t>
      </w:r>
    </w:p>
    <w:p>
      <w:pPr>
        <w:spacing w:after="60"/>
        <w:ind w:left="173" w:hanging="29"/>
      </w:pPr>
      <w:r>
        <w:rPr>
          <w:rFonts w:ascii="Calibri" w:hAnsi="Calibri"/>
          <w:color w:val="1F4D78"/>
          <w:sz w:val="20"/>
        </w:rPr>
        <w:t xml:space="preserve">☐  </w:t>
      </w:r>
      <w:r>
        <w:rPr>
          <w:rFonts w:ascii="Calibri" w:hAnsi="Calibri"/>
          <w:color w:val="222222"/>
          <w:sz w:val="19"/>
        </w:rPr>
        <w:t>pravila odijevanja, tišine, obreda, dodirivanja, fotografiranja i uporabe opreme</w:t>
      </w:r>
    </w:p>
    <w:p>
      <w:pPr>
        <w:spacing w:after="60"/>
        <w:ind w:left="173" w:hanging="29"/>
      </w:pPr>
      <w:r>
        <w:rPr>
          <w:rFonts w:ascii="Calibri" w:hAnsi="Calibri"/>
          <w:color w:val="1F4D78"/>
          <w:sz w:val="20"/>
        </w:rPr>
        <w:t xml:space="preserve">☐  </w:t>
      </w:r>
      <w:r>
        <w:rPr>
          <w:rFonts w:ascii="Calibri" w:hAnsi="Calibri"/>
          <w:color w:val="222222"/>
          <w:sz w:val="19"/>
        </w:rPr>
        <w:t>potvrđeni pristupačni ulaz, dizalo/stube, mogućnost sjedenja i pristupačan izlaz</w:t>
      </w:r>
    </w:p>
    <w:p>
      <w:pPr>
        <w:spacing w:after="60"/>
        <w:ind w:left="173" w:hanging="29"/>
      </w:pPr>
      <w:r>
        <w:rPr>
          <w:rFonts w:ascii="Calibri" w:hAnsi="Calibri"/>
          <w:color w:val="1F4D78"/>
          <w:sz w:val="20"/>
        </w:rPr>
        <w:t xml:space="preserve">☐  </w:t>
      </w:r>
      <w:r>
        <w:rPr>
          <w:rFonts w:ascii="Calibri" w:hAnsi="Calibri"/>
          <w:color w:val="222222"/>
          <w:sz w:val="19"/>
        </w:rPr>
        <w:t>poznati evakuacijski izlazi i mjesto okupljanja bez blokiranja prolaza</w:t>
      </w:r>
    </w:p>
    <w:p>
      <w:pPr>
        <w:spacing w:after="60"/>
        <w:ind w:left="173" w:hanging="29"/>
      </w:pPr>
      <w:r>
        <w:rPr>
          <w:rFonts w:ascii="Calibri" w:hAnsi="Calibri"/>
          <w:color w:val="1F4D78"/>
          <w:sz w:val="20"/>
        </w:rPr>
        <w:t xml:space="preserve">☐  </w:t>
      </w:r>
      <w:r>
        <w:rPr>
          <w:rFonts w:ascii="Calibri" w:hAnsi="Calibri"/>
          <w:color w:val="222222"/>
          <w:sz w:val="19"/>
        </w:rPr>
        <w:t>rezervna vanjska ili druga postaja koja čuva ishod ako ulaz nije moguć</w:t>
      </w:r>
    </w:p>
    <w:p>
      <w:pPr>
        <w:spacing w:before="120" w:after="40"/>
        <w:jc w:val="center"/>
      </w:pPr>
      <w:r>
        <w:drawing>
          <wp:inline xmlns:a="http://schemas.openxmlformats.org/drawingml/2006/main" xmlns:pic="http://schemas.openxmlformats.org/drawingml/2006/picture">
            <wp:extent cx="4800000" cy="3600000"/>
            <wp:docPr id="605" name="Picture 605" descr="Slika 11. Crkva sv. Marije Magdalene u Čazmi — vanjski prostor pred ulazom služi kao mjesto čekanja, briefinga i rezervne postaje." title="Slika 11. Crkva sv. Marije Magdalene u Čazmi — vanjski prostor pred ulazom služi kao mjesto čekanja, briefinga i rezervne postaje."/>
            <wp:cNvGraphicFramePr>
              <a:graphicFrameLocks noChangeAspect="1"/>
            </wp:cNvGraphicFramePr>
            <a:graphic>
              <a:graphicData uri="http://schemas.openxmlformats.org/drawingml/2006/picture">
                <pic:pic>
                  <pic:nvPicPr>
                    <pic:cNvPr id="0" name="image17.jpg"/>
                    <pic:cNvPicPr/>
                  </pic:nvPicPr>
                  <pic:blipFill>
                    <a:blip r:embed="rId27"/>
                    <a:stretch>
                      <a:fillRect/>
                    </a:stretch>
                  </pic:blipFill>
                  <pic:spPr>
                    <a:xfrm>
                      <a:off x="0" y="0"/>
                      <a:ext cx="4800000" cy="3600000"/>
                    </a:xfrm>
                    <a:prstGeom prst="rect"/>
                  </pic:spPr>
                </pic:pic>
              </a:graphicData>
            </a:graphic>
          </wp:inline>
        </w:drawing>
      </w:r>
    </w:p>
    <w:p>
      <w:pPr>
        <w:spacing w:before="60" w:after="40"/>
        <w:jc w:val="center"/>
      </w:pPr>
      <w:r>
        <w:rPr>
          <w:rFonts w:ascii="Calibri" w:hAnsi="Calibri"/>
          <w:i/>
          <w:color w:val="1F4D78"/>
          <w:sz w:val="18"/>
        </w:rPr>
        <w:t xml:space="preserve">Slika 11. Crkva sv. Marije Magdalene u Čazmi — vanjski prostor pred ulazom služi kao mjesto čekanja, briefinga i rezervne postaje.</w:t>
      </w:r>
    </w:p>
    <w:p>
      <w:pPr>
        <w:spacing w:before="0" w:after="160"/>
        <w:jc w:val="center"/>
      </w:pPr>
      <w:r>
        <w:rPr>
          <w:rFonts w:ascii="Calibri" w:hAnsi="Calibri"/>
          <w:color w:val="667085"/>
          <w:sz w:val="16"/>
        </w:rPr>
        <w:t xml:space="preserve">Foto: Pezonada, Wikimedia Commons, CC BY-SA 4.0.</w:t>
      </w:r>
    </w:p>
    <w:p>
      <w:r>
        <w:br w:type="page"/>
      </w:r>
    </w:p>
    <w:p>
      <w:pPr>
        <w:pStyle w:val="Heading1"/>
        <w:keepNext/>
      </w:pPr>
      <w:r>
        <w:t>Položaj, akustika i poštovanje prostora</w:t>
      </w:r>
    </w:p>
    <w:tbl>
      <w:tblPr>
        <w:tblStyle w:val="TableGrid"/>
        <w:tblW w:type="dxa" w:w="9200"/>
        <w:jc w:val="left"/>
        <w:tblLayout w:type="fixed"/>
        <w:tblLook w:firstColumn="1" w:firstRow="1" w:lastColumn="0" w:lastRow="0" w:noHBand="0" w:noVBand="1" w:val="04A0"/>
        <w:tblInd w:w="120" w:type="dxa"/>
      </w:tblPr>
      <w:tblGrid>
        <w:gridCol w:w="1550"/>
        <w:gridCol w:w="4650"/>
        <w:gridCol w:w="3000"/>
      </w:tblGrid>
      <w:tr>
        <w:trPr>
          <w:tblHeader w:val="true"/>
          <w:cantSplit/>
        </w:trPr>
        <w:tc>
          <w:tcPr>
            <w:tcW w:type="dxa" w:w="1550"/>
            <w:shd w:fill="E8EEF5"/>
            <w:vAlign w:val="center"/>
            <w:tcMar>
              <w:top w:w="80" w:type="dxa"/>
              <w:start w:w="120" w:type="dxa"/>
              <w:bottom w:w="80" w:type="dxa"/>
              <w:end w:w="120" w:type="dxa"/>
            </w:tcMar>
          </w:tcPr>
          <w:p>
            <w:r>
              <w:rPr>
                <w:rFonts w:ascii="Calibri" w:hAnsi="Calibri"/>
                <w:b/>
                <w:color w:val="17324D"/>
                <w:sz w:val="19"/>
              </w:rPr>
              <w:t>Element</w:t>
            </w:r>
          </w:p>
        </w:tc>
        <w:tc>
          <w:tcPr>
            <w:tcW w:type="dxa" w:w="4650"/>
            <w:shd w:fill="E8EEF5"/>
            <w:vAlign w:val="center"/>
            <w:tcMar>
              <w:top w:w="80" w:type="dxa"/>
              <w:start w:w="120" w:type="dxa"/>
              <w:bottom w:w="80" w:type="dxa"/>
              <w:end w:w="120" w:type="dxa"/>
            </w:tcMar>
          </w:tcPr>
          <w:p>
            <w:r>
              <w:rPr>
                <w:rFonts w:ascii="Calibri" w:hAnsi="Calibri"/>
                <w:b/>
                <w:color w:val="17324D"/>
                <w:sz w:val="19"/>
              </w:rPr>
              <w:t>Standard izvedbe</w:t>
            </w:r>
          </w:p>
        </w:tc>
        <w:tc>
          <w:tcPr>
            <w:tcW w:type="dxa" w:w="3000"/>
            <w:shd w:fill="E8EEF5"/>
            <w:vAlign w:val="center"/>
            <w:tcMar>
              <w:top w:w="80" w:type="dxa"/>
              <w:start w:w="120" w:type="dxa"/>
              <w:bottom w:w="80" w:type="dxa"/>
              <w:end w:w="120" w:type="dxa"/>
            </w:tcMar>
          </w:tcPr>
          <w:p>
            <w:r>
              <w:rPr>
                <w:rFonts w:ascii="Calibri" w:hAnsi="Calibri"/>
                <w:b/>
                <w:color w:val="17324D"/>
                <w:sz w:val="19"/>
              </w:rPr>
              <w:t>Neprihvatljivo</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Položaj</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polukrug ili druga formacija uz slobodan prolaz; vodič vidi izlaz i skupinu</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blokiranje vrata, oltara, izloška ili prolaza</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Glas</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kratke cjeline, umjerena glasnoća, provjera čujnosti; dopuštena oprema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nadglasavanje obreda, drugih skupina ili akustična mikrofonija</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Fotografiranje</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pravilo najavljeno prije ulaza; poštovanje oznake i dopuštenja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pretpostaviti da je osobna fotografija uvijek dopuštena</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Predmeti i površine</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sigurna udaljenost, samo dopušten kontakt ili didaktička replika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dodir, naslanjanje, premještanje ili korištenje kao oslonca</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Privatnost</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ne snimati korisnike prostora bez odgovarajuće osnove i pristanka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izlaganje osobe ili potrebe pred cijelom skupinom</w:t>
            </w:r>
          </w:p>
        </w:tc>
      </w:tr>
      <w:tr>
        <w:trPr>
          <w:cantSplit/>
        </w:trPr>
        <w:tc>
          <w:tcPr>
            <w:tcW w:type="dxa" w:w="1550"/>
            <w:vAlign w:val="top"/>
            <w:tcMar>
              <w:top w:w="80" w:type="dxa"/>
              <w:start w:w="120" w:type="dxa"/>
              <w:bottom w:w="80" w:type="dxa"/>
              <w:end w:w="120" w:type="dxa"/>
            </w:tcMar>
          </w:tcPr>
          <w:p>
            <w:pPr>
              <w:spacing w:after="40" w:line="259" w:lineRule="auto"/>
            </w:pPr>
            <w:r>
              <w:rPr>
                <w:rFonts w:ascii="Calibri" w:hAnsi="Calibri"/>
                <w:color w:val="222222"/>
                <w:sz w:val="18"/>
              </w:rPr>
              <w:t>Izlaz</w:t>
            </w:r>
          </w:p>
        </w:tc>
        <w:tc>
          <w:tcPr>
            <w:tcW w:type="dxa" w:w="4650"/>
            <w:vAlign w:val="top"/>
            <w:tcMar>
              <w:top w:w="80" w:type="dxa"/>
              <w:start w:w="120" w:type="dxa"/>
              <w:bottom w:w="80" w:type="dxa"/>
              <w:end w:w="120" w:type="dxa"/>
            </w:tcMar>
          </w:tcPr>
          <w:p>
            <w:pPr>
              <w:spacing w:after="40" w:line="259" w:lineRule="auto"/>
            </w:pPr>
            <w:r>
              <w:rPr>
                <w:rFonts w:ascii="Calibri" w:hAnsi="Calibri"/>
                <w:color w:val="222222"/>
                <w:sz w:val="18"/>
              </w:rPr>
              <w:t>najaviti završetak, okupiti i brojati na dogovorenoj sigurnoj točki</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zadržavanje u evakuacijskom putu ili nekontrolirano rasipanje</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VJEŽBA 2  </w:t>
      </w:r>
      <w:r>
        <w:rPr>
          <w:rFonts w:ascii="Calibri" w:hAnsi="Calibri"/>
          <w:b/>
          <w:color w:val="17324D"/>
          <w:sz w:val="21"/>
        </w:rPr>
        <w:t>Kandidat provodi briefing, ulaz, jednu interpretacijsku postaju i izlaz. Instruktor uvodi jednu promjenu: početak obreda, zabranu fotografiranja, smanjen kapacitet ili nedostupan ulaz. Kandidat mora sačuvati dostojanstvo prostora, sigurnost i ishod bez rasprave pred korisnicima.</w:t>
      </w:r>
    </w:p>
    <w:p>
      <w:pPr>
        <w:pStyle w:val="Heading2"/>
        <w:keepNext/>
      </w:pPr>
      <w:r>
        <w:t>Opažački kriteriji</w:t>
      </w:r>
    </w:p>
    <w:tbl>
      <w:tblPr>
        <w:tblStyle w:val="TableGrid"/>
        <w:tblW w:type="dxa" w:w="9200"/>
        <w:jc w:val="left"/>
        <w:tblLayout w:type="fixed"/>
        <w:tblLook w:firstColumn="1" w:firstRow="1" w:lastColumn="0" w:lastRow="0" w:noHBand="0" w:noVBand="1" w:val="04A0"/>
        <w:tblInd w:w="120" w:type="dxa"/>
      </w:tblPr>
      <w:tblGrid>
        <w:gridCol w:w="1750"/>
        <w:gridCol w:w="2650"/>
        <w:gridCol w:w="2250"/>
        <w:gridCol w:w="2550"/>
      </w:tblGrid>
      <w:tr>
        <w:trPr>
          <w:tblHeader w:val="true"/>
          <w:cantSplit/>
        </w:trPr>
        <w:tc>
          <w:tcPr>
            <w:tcW w:type="dxa" w:w="1750"/>
            <w:shd w:fill="E8EEF5"/>
            <w:vAlign w:val="center"/>
            <w:tcMar>
              <w:top w:w="80" w:type="dxa"/>
              <w:start w:w="120" w:type="dxa"/>
              <w:bottom w:w="80" w:type="dxa"/>
              <w:end w:w="120" w:type="dxa"/>
            </w:tcMar>
          </w:tcPr>
          <w:p>
            <w:r>
              <w:rPr>
                <w:rFonts w:ascii="Calibri" w:hAnsi="Calibri"/>
                <w:b/>
                <w:color w:val="17324D"/>
                <w:sz w:val="19"/>
              </w:rPr>
              <w:t>Kriterij</w:t>
            </w:r>
          </w:p>
        </w:tc>
        <w:tc>
          <w:tcPr>
            <w:tcW w:type="dxa" w:w="2650"/>
            <w:shd w:fill="E8EEF5"/>
            <w:vAlign w:val="center"/>
            <w:tcMar>
              <w:top w:w="80" w:type="dxa"/>
              <w:start w:w="120" w:type="dxa"/>
              <w:bottom w:w="80" w:type="dxa"/>
              <w:end w:w="120" w:type="dxa"/>
            </w:tcMar>
          </w:tcPr>
          <w:p>
            <w:r>
              <w:rPr>
                <w:rFonts w:ascii="Calibri" w:hAnsi="Calibri"/>
                <w:b/>
                <w:color w:val="17324D"/>
                <w:sz w:val="19"/>
              </w:rPr>
              <w:t>0 — nije demonstrirano</w:t>
            </w:r>
          </w:p>
        </w:tc>
        <w:tc>
          <w:tcPr>
            <w:tcW w:type="dxa" w:w="2250"/>
            <w:shd w:fill="E8EEF5"/>
            <w:vAlign w:val="center"/>
            <w:tcMar>
              <w:top w:w="80" w:type="dxa"/>
              <w:start w:w="120" w:type="dxa"/>
              <w:bottom w:w="80" w:type="dxa"/>
              <w:end w:w="120" w:type="dxa"/>
            </w:tcMar>
          </w:tcPr>
          <w:p>
            <w:r>
              <w:rPr>
                <w:rFonts w:ascii="Calibri" w:hAnsi="Calibri"/>
                <w:b/>
                <w:color w:val="17324D"/>
                <w:sz w:val="19"/>
              </w:rPr>
              <w:t>1 — djelomično</w:t>
            </w:r>
          </w:p>
        </w:tc>
        <w:tc>
          <w:tcPr>
            <w:tcW w:type="dxa" w:w="2550"/>
            <w:shd w:fill="E8EEF5"/>
            <w:vAlign w:val="center"/>
            <w:tcMar>
              <w:top w:w="80" w:type="dxa"/>
              <w:start w:w="120" w:type="dxa"/>
              <w:bottom w:w="80" w:type="dxa"/>
              <w:end w:w="120" w:type="dxa"/>
            </w:tcMar>
          </w:tcPr>
          <w:p>
            <w:r>
              <w:rPr>
                <w:rFonts w:ascii="Calibri" w:hAnsi="Calibri"/>
                <w:b/>
                <w:color w:val="17324D"/>
                <w:sz w:val="19"/>
              </w:rPr>
              <w:t>2 — pouzdano</w:t>
            </w:r>
          </w:p>
        </w:tc>
      </w:tr>
      <w:tr>
        <w:trPr>
          <w:cantSplit/>
        </w:trPr>
        <w:tc>
          <w:tcPr>
            <w:tcW w:type="dxa" w:w="1750"/>
            <w:vAlign w:val="top"/>
            <w:tcMar>
              <w:top w:w="80" w:type="dxa"/>
              <w:start w:w="120" w:type="dxa"/>
              <w:bottom w:w="80" w:type="dxa"/>
              <w:end w:w="120" w:type="dxa"/>
            </w:tcMar>
          </w:tcPr>
          <w:p>
            <w:pPr>
              <w:spacing w:after="40" w:line="259" w:lineRule="auto"/>
            </w:pPr>
            <w:r>
              <w:rPr>
                <w:rFonts w:ascii="Calibri" w:hAnsi="Calibri"/>
                <w:color w:val="222222"/>
                <w:sz w:val="18"/>
              </w:rPr>
              <w:t>Dopuštenje i pravila</w:t>
            </w:r>
          </w:p>
        </w:tc>
        <w:tc>
          <w:tcPr>
            <w:tcW w:type="dxa" w:w="2650"/>
            <w:vAlign w:val="top"/>
            <w:tcMar>
              <w:top w:w="80" w:type="dxa"/>
              <w:start w:w="120" w:type="dxa"/>
              <w:bottom w:w="80" w:type="dxa"/>
              <w:end w:w="120" w:type="dxa"/>
            </w:tcMar>
          </w:tcPr>
          <w:p>
            <w:pPr>
              <w:spacing w:after="40" w:line="259" w:lineRule="auto"/>
            </w:pPr>
            <w:r>
              <w:rPr>
                <w:rFonts w:ascii="Calibri" w:hAnsi="Calibri"/>
                <w:color w:val="222222"/>
                <w:sz w:val="18"/>
              </w:rPr>
              <w:t>ne zna uvjete</w:t>
            </w:r>
          </w:p>
        </w:tc>
        <w:tc>
          <w:tcPr>
            <w:tcW w:type="dxa" w:w="2250"/>
            <w:vAlign w:val="top"/>
            <w:tcMar>
              <w:top w:w="80" w:type="dxa"/>
              <w:start w:w="120" w:type="dxa"/>
              <w:bottom w:w="80" w:type="dxa"/>
              <w:end w:w="120" w:type="dxa"/>
            </w:tcMar>
          </w:tcPr>
          <w:p>
            <w:pPr>
              <w:spacing w:after="40" w:line="259" w:lineRule="auto"/>
            </w:pPr>
            <w:r>
              <w:rPr>
                <w:rFonts w:ascii="Calibri" w:hAnsi="Calibri"/>
                <w:color w:val="222222"/>
                <w:sz w:val="18"/>
              </w:rPr>
              <w:t>zna dio, ne prenosi jasno</w:t>
            </w:r>
          </w:p>
        </w:tc>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provjerio i kratko prenio skupini</w:t>
            </w:r>
          </w:p>
        </w:tc>
      </w:tr>
      <w:tr>
        <w:trPr>
          <w:cantSplit/>
        </w:trPr>
        <w:tc>
          <w:tcPr>
            <w:tcW w:type="dxa" w:w="1750"/>
            <w:vAlign w:val="top"/>
            <w:tcMar>
              <w:top w:w="80" w:type="dxa"/>
              <w:start w:w="120" w:type="dxa"/>
              <w:bottom w:w="80" w:type="dxa"/>
              <w:end w:w="120" w:type="dxa"/>
            </w:tcMar>
          </w:tcPr>
          <w:p>
            <w:pPr>
              <w:spacing w:after="40" w:line="259" w:lineRule="auto"/>
            </w:pPr>
            <w:r>
              <w:rPr>
                <w:rFonts w:ascii="Calibri" w:hAnsi="Calibri"/>
                <w:color w:val="222222"/>
                <w:sz w:val="18"/>
              </w:rPr>
              <w:t>Položaj i prolaz</w:t>
            </w:r>
          </w:p>
        </w:tc>
        <w:tc>
          <w:tcPr>
            <w:tcW w:type="dxa" w:w="2650"/>
            <w:vAlign w:val="top"/>
            <w:tcMar>
              <w:top w:w="80" w:type="dxa"/>
              <w:start w:w="120" w:type="dxa"/>
              <w:bottom w:w="80" w:type="dxa"/>
              <w:end w:w="120" w:type="dxa"/>
            </w:tcMar>
          </w:tcPr>
          <w:p>
            <w:pPr>
              <w:spacing w:after="40" w:line="259" w:lineRule="auto"/>
            </w:pPr>
            <w:r>
              <w:rPr>
                <w:rFonts w:ascii="Calibri" w:hAnsi="Calibri"/>
                <w:color w:val="222222"/>
                <w:sz w:val="18"/>
              </w:rPr>
              <w:t>blokira prostor</w:t>
            </w:r>
          </w:p>
        </w:tc>
        <w:tc>
          <w:tcPr>
            <w:tcW w:type="dxa" w:w="2250"/>
            <w:vAlign w:val="top"/>
            <w:tcMar>
              <w:top w:w="80" w:type="dxa"/>
              <w:start w:w="120" w:type="dxa"/>
              <w:bottom w:w="80" w:type="dxa"/>
              <w:end w:w="120" w:type="dxa"/>
            </w:tcMar>
          </w:tcPr>
          <w:p>
            <w:pPr>
              <w:spacing w:after="40" w:line="259" w:lineRule="auto"/>
            </w:pPr>
            <w:r>
              <w:rPr>
                <w:rFonts w:ascii="Calibri" w:hAnsi="Calibri"/>
                <w:color w:val="222222"/>
                <w:sz w:val="18"/>
              </w:rPr>
              <w:t>naknadno se pomiče</w:t>
            </w:r>
          </w:p>
        </w:tc>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odmah bira održivu formaciju</w:t>
            </w:r>
          </w:p>
        </w:tc>
      </w:tr>
      <w:tr>
        <w:trPr>
          <w:cantSplit/>
        </w:trPr>
        <w:tc>
          <w:tcPr>
            <w:tcW w:type="dxa" w:w="1750"/>
            <w:vAlign w:val="top"/>
            <w:tcMar>
              <w:top w:w="80" w:type="dxa"/>
              <w:start w:w="120" w:type="dxa"/>
              <w:bottom w:w="80" w:type="dxa"/>
              <w:end w:w="120" w:type="dxa"/>
            </w:tcMar>
          </w:tcPr>
          <w:p>
            <w:pPr>
              <w:spacing w:after="40" w:line="259" w:lineRule="auto"/>
            </w:pPr>
            <w:r>
              <w:rPr>
                <w:rFonts w:ascii="Calibri" w:hAnsi="Calibri"/>
                <w:color w:val="222222"/>
                <w:sz w:val="18"/>
              </w:rPr>
              <w:t>Akustika</w:t>
            </w:r>
          </w:p>
        </w:tc>
        <w:tc>
          <w:tcPr>
            <w:tcW w:type="dxa" w:w="2650"/>
            <w:vAlign w:val="top"/>
            <w:tcMar>
              <w:top w:w="80" w:type="dxa"/>
              <w:start w:w="120" w:type="dxa"/>
              <w:bottom w:w="80" w:type="dxa"/>
              <w:end w:w="120" w:type="dxa"/>
            </w:tcMar>
          </w:tcPr>
          <w:p>
            <w:pPr>
              <w:spacing w:after="40" w:line="259" w:lineRule="auto"/>
            </w:pPr>
            <w:r>
              <w:rPr>
                <w:rFonts w:ascii="Calibri" w:hAnsi="Calibri"/>
                <w:color w:val="222222"/>
                <w:sz w:val="18"/>
              </w:rPr>
              <w:t>nečujno ili preglasno</w:t>
            </w:r>
          </w:p>
        </w:tc>
        <w:tc>
          <w:tcPr>
            <w:tcW w:type="dxa" w:w="2250"/>
            <w:vAlign w:val="top"/>
            <w:tcMar>
              <w:top w:w="80" w:type="dxa"/>
              <w:start w:w="120" w:type="dxa"/>
              <w:bottom w:w="80" w:type="dxa"/>
              <w:end w:w="120" w:type="dxa"/>
            </w:tcMar>
          </w:tcPr>
          <w:p>
            <w:pPr>
              <w:spacing w:after="40" w:line="259" w:lineRule="auto"/>
            </w:pPr>
            <w:r>
              <w:rPr>
                <w:rFonts w:ascii="Calibri" w:hAnsi="Calibri"/>
                <w:color w:val="222222"/>
                <w:sz w:val="18"/>
              </w:rPr>
              <w:t>neujednačeno</w:t>
            </w:r>
          </w:p>
        </w:tc>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prilagođava glas i provjerava čujnost</w:t>
            </w:r>
          </w:p>
        </w:tc>
      </w:tr>
      <w:tr>
        <w:trPr>
          <w:cantSplit/>
        </w:trPr>
        <w:tc>
          <w:tcPr>
            <w:tcW w:type="dxa" w:w="1750"/>
            <w:vAlign w:val="top"/>
            <w:tcMar>
              <w:top w:w="80" w:type="dxa"/>
              <w:start w:w="120" w:type="dxa"/>
              <w:bottom w:w="80" w:type="dxa"/>
              <w:end w:w="120" w:type="dxa"/>
            </w:tcMar>
          </w:tcPr>
          <w:p>
            <w:pPr>
              <w:spacing w:after="40" w:line="259" w:lineRule="auto"/>
            </w:pPr>
            <w:r>
              <w:rPr>
                <w:rFonts w:ascii="Calibri" w:hAnsi="Calibri"/>
                <w:color w:val="222222"/>
                <w:sz w:val="18"/>
              </w:rPr>
              <w:t>Promjena uvjeta</w:t>
            </w:r>
          </w:p>
        </w:tc>
        <w:tc>
          <w:tcPr>
            <w:tcW w:type="dxa" w:w="2650"/>
            <w:vAlign w:val="top"/>
            <w:tcMar>
              <w:top w:w="80" w:type="dxa"/>
              <w:start w:w="120" w:type="dxa"/>
              <w:bottom w:w="80" w:type="dxa"/>
              <w:end w:w="120" w:type="dxa"/>
            </w:tcMar>
          </w:tcPr>
          <w:p>
            <w:pPr>
              <w:spacing w:after="40" w:line="259" w:lineRule="auto"/>
            </w:pPr>
            <w:r>
              <w:rPr>
                <w:rFonts w:ascii="Calibri" w:hAnsi="Calibri"/>
                <w:color w:val="222222"/>
                <w:sz w:val="18"/>
              </w:rPr>
              <w:t>raspravlja ili ignorira</w:t>
            </w:r>
          </w:p>
        </w:tc>
        <w:tc>
          <w:tcPr>
            <w:tcW w:type="dxa" w:w="2250"/>
            <w:vAlign w:val="top"/>
            <w:tcMar>
              <w:top w:w="80" w:type="dxa"/>
              <w:start w:w="120" w:type="dxa"/>
              <w:bottom w:w="80" w:type="dxa"/>
              <w:end w:w="120" w:type="dxa"/>
            </w:tcMar>
          </w:tcPr>
          <w:p>
            <w:pPr>
              <w:spacing w:after="40" w:line="259" w:lineRule="auto"/>
            </w:pPr>
            <w:r>
              <w:rPr>
                <w:rFonts w:ascii="Calibri" w:hAnsi="Calibri"/>
                <w:color w:val="222222"/>
                <w:sz w:val="18"/>
              </w:rPr>
              <w:t>odluka kasni</w:t>
            </w:r>
          </w:p>
        </w:tc>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smireno prilagođava i objašnjava</w:t>
            </w:r>
          </w:p>
        </w:tc>
      </w:tr>
      <w:tr>
        <w:trPr>
          <w:cantSplit/>
        </w:trPr>
        <w:tc>
          <w:tcPr>
            <w:tcW w:type="dxa" w:w="1750"/>
            <w:vAlign w:val="top"/>
            <w:tcMar>
              <w:top w:w="80" w:type="dxa"/>
              <w:start w:w="120" w:type="dxa"/>
              <w:bottom w:w="80" w:type="dxa"/>
              <w:end w:w="120" w:type="dxa"/>
            </w:tcMar>
          </w:tcPr>
          <w:p>
            <w:pPr>
              <w:spacing w:after="40" w:line="259" w:lineRule="auto"/>
            </w:pPr>
            <w:r>
              <w:rPr>
                <w:rFonts w:ascii="Calibri" w:hAnsi="Calibri"/>
                <w:color w:val="222222"/>
                <w:sz w:val="18"/>
              </w:rPr>
              <w:t>Izlaz i brojanje</w:t>
            </w:r>
          </w:p>
        </w:tc>
        <w:tc>
          <w:tcPr>
            <w:tcW w:type="dxa" w:w="2650"/>
            <w:vAlign w:val="top"/>
            <w:tcMar>
              <w:top w:w="80" w:type="dxa"/>
              <w:start w:w="120" w:type="dxa"/>
              <w:bottom w:w="80" w:type="dxa"/>
              <w:end w:w="120" w:type="dxa"/>
            </w:tcMar>
          </w:tcPr>
          <w:p>
            <w:pPr>
              <w:spacing w:after="40" w:line="259" w:lineRule="auto"/>
            </w:pPr>
            <w:r>
              <w:rPr>
                <w:rFonts w:ascii="Calibri" w:hAnsi="Calibri"/>
                <w:color w:val="222222"/>
                <w:sz w:val="18"/>
              </w:rPr>
              <w:t>nema kontrole</w:t>
            </w:r>
          </w:p>
        </w:tc>
        <w:tc>
          <w:tcPr>
            <w:tcW w:type="dxa" w:w="2250"/>
            <w:vAlign w:val="top"/>
            <w:tcMar>
              <w:top w:w="80" w:type="dxa"/>
              <w:start w:w="120" w:type="dxa"/>
              <w:bottom w:w="80" w:type="dxa"/>
              <w:end w:w="120" w:type="dxa"/>
            </w:tcMar>
          </w:tcPr>
          <w:p>
            <w:pPr>
              <w:spacing w:after="40" w:line="259" w:lineRule="auto"/>
            </w:pPr>
            <w:r>
              <w:rPr>
                <w:rFonts w:ascii="Calibri" w:hAnsi="Calibri"/>
                <w:color w:val="222222"/>
                <w:sz w:val="18"/>
              </w:rPr>
              <w:t>brojanje nepotpuno</w:t>
            </w:r>
          </w:p>
        </w:tc>
        <w:tc>
          <w:tcPr>
            <w:tcW w:type="dxa" w:w="2550"/>
            <w:vAlign w:val="top"/>
            <w:tcMar>
              <w:top w:w="80" w:type="dxa"/>
              <w:start w:w="120" w:type="dxa"/>
              <w:bottom w:w="80" w:type="dxa"/>
              <w:end w:w="120" w:type="dxa"/>
            </w:tcMar>
          </w:tcPr>
          <w:p>
            <w:pPr>
              <w:spacing w:after="40" w:line="259" w:lineRule="auto"/>
            </w:pPr>
            <w:r>
              <w:rPr>
                <w:rFonts w:ascii="Calibri" w:hAnsi="Calibri"/>
                <w:color w:val="222222"/>
                <w:sz w:val="18"/>
              </w:rPr>
              <w:t>jasna točka, izlaz i potvrđeni broj</w:t>
            </w:r>
          </w:p>
        </w:tc>
      </w:tr>
    </w:tbl>
    <w:p>
      <w:pPr>
        <w:spacing w:after="20"/>
      </w:pPr>
    </w:p>
    <w:p>
      <w:r>
        <w:br w:type="page"/>
      </w:r>
    </w:p>
    <w:p>
      <w:r>
        <w:rPr>
          <w:rFonts w:ascii="Calibri" w:hAnsi="Calibri"/>
          <w:b/>
          <w:color w:val="B78727"/>
          <w:sz w:val="48"/>
        </w:rPr>
        <w:t>R6.3</w:t>
      </w:r>
    </w:p>
    <w:p>
      <w:pPr>
        <w:pStyle w:val="Heading1"/>
        <w:spacing w:before="40"/>
      </w:pPr>
      <w:r>
        <w:t>Vođenje u zaštićenom području prirode</w:t>
      </w:r>
    </w:p>
    <w:tbl>
      <w:tblPr>
        <w:tblStyle w:val="TableGrid"/>
        <w:tblW w:type="dxa" w:w="9200"/>
        <w:jc w:val="left"/>
        <w:tblLayout w:type="fixed"/>
        <w:tblLook w:firstColumn="1" w:firstRow="1" w:lastColumn="0" w:lastRow="0" w:noHBand="0" w:noVBand="1" w:val="04A0"/>
        <w:tblInd w:w="120" w:type="dxa"/>
      </w:tblPr>
      <w:tblGrid>
        <w:gridCol w:w="1100"/>
        <w:gridCol w:w="3000"/>
        <w:gridCol w:w="5100"/>
      </w:tblGrid>
      <w:tr>
        <w:trPr>
          <w:tblHeader w:val="true"/>
          <w:cantSplit/>
        </w:trPr>
        <w:tc>
          <w:tcPr>
            <w:tcW w:type="dxa" w:w="1100"/>
            <w:shd w:fill="E8EEF5"/>
            <w:vAlign w:val="center"/>
            <w:tcMar>
              <w:top w:w="80" w:type="dxa"/>
              <w:start w:w="120" w:type="dxa"/>
              <w:bottom w:w="80" w:type="dxa"/>
              <w:end w:w="120" w:type="dxa"/>
            </w:tcMar>
          </w:tcPr>
          <w:p>
            <w:r>
              <w:rPr>
                <w:rFonts w:ascii="Calibri" w:hAnsi="Calibri"/>
                <w:b/>
                <w:color w:val="17324D"/>
                <w:sz w:val="19"/>
              </w:rPr>
              <w:t>Satnica</w:t>
            </w:r>
          </w:p>
        </w:tc>
        <w:tc>
          <w:tcPr>
            <w:tcW w:type="dxa" w:w="3000"/>
            <w:shd w:fill="E8EEF5"/>
            <w:vAlign w:val="center"/>
            <w:tcMar>
              <w:top w:w="80" w:type="dxa"/>
              <w:start w:w="120" w:type="dxa"/>
              <w:bottom w:w="80" w:type="dxa"/>
              <w:end w:w="120" w:type="dxa"/>
            </w:tcMar>
          </w:tcPr>
          <w:p>
            <w:r>
              <w:rPr>
                <w:rFonts w:ascii="Calibri" w:hAnsi="Calibri"/>
                <w:b/>
                <w:color w:val="17324D"/>
                <w:sz w:val="19"/>
              </w:rPr>
              <w:t>Metoda</w:t>
            </w:r>
          </w:p>
        </w:tc>
        <w:tc>
          <w:tcPr>
            <w:tcW w:type="dxa" w:w="5100"/>
            <w:shd w:fill="E8EEF5"/>
            <w:vAlign w:val="center"/>
            <w:tcMar>
              <w:top w:w="80" w:type="dxa"/>
              <w:start w:w="120" w:type="dxa"/>
              <w:bottom w:w="80" w:type="dxa"/>
              <w:end w:w="120" w:type="dxa"/>
            </w:tcMar>
          </w:tcPr>
          <w:p>
            <w:r>
              <w:rPr>
                <w:rFonts w:ascii="Calibri" w:hAnsi="Calibri"/>
                <w:b/>
                <w:color w:val="17324D"/>
                <w:sz w:val="19"/>
              </w:rPr>
              <w:t>Izlazni dokaz</w:t>
            </w:r>
          </w:p>
        </w:tc>
      </w:tr>
      <w:tr>
        <w:trPr>
          <w:cantSplit/>
        </w:trPr>
        <w:tc>
          <w:tcPr>
            <w:tcW w:type="dxa" w:w="1100"/>
            <w:vAlign w:val="top"/>
            <w:tcMar>
              <w:top w:w="80" w:type="dxa"/>
              <w:start w:w="120" w:type="dxa"/>
              <w:bottom w:w="80" w:type="dxa"/>
              <w:end w:w="120" w:type="dxa"/>
            </w:tcMar>
          </w:tcPr>
          <w:p>
            <w:pPr>
              <w:spacing w:after="40" w:line="259" w:lineRule="auto"/>
            </w:pPr>
            <w:r>
              <w:rPr>
                <w:rFonts w:ascii="Calibri" w:hAnsi="Calibri"/>
                <w:color w:val="222222"/>
                <w:sz w:val="18"/>
              </w:rPr>
              <w:t>4 sata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terenska vježba</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izvedba staze + dinamička procjena</w:t>
            </w:r>
          </w:p>
        </w:tc>
      </w:tr>
    </w:tbl>
    <w:p>
      <w:pPr>
        <w:spacing w:after="20"/>
      </w:pPr>
    </w:p>
    <w:p>
      <w:pPr>
        <w:widowControl/>
      </w:pPr>
      <w:r>
        <w:t>Zaštićeno područje prirode nije scenografija. Upravitelj određuje režim, a vodič mora uskladiti ponašanje skupine s očuvanjem prirode i stvarnim stanjem terena. U Regiji I Kopački rit i Papuk služe kao ključni konteksti vježbe uz prethodni dogovor s javnom ustanovom.</w:t>
      </w:r>
    </w:p>
    <w:p>
      <w:pPr>
        <w:spacing w:before="120" w:after="40"/>
        <w:jc w:val="center"/>
      </w:pPr>
      <w:r>
        <w:drawing>
          <wp:inline xmlns:a="http://schemas.openxmlformats.org/drawingml/2006/main" xmlns:pic="http://schemas.openxmlformats.org/drawingml/2006/picture">
            <wp:extent cx="4800000" cy="3600000"/>
            <wp:docPr id="606" name="Picture 606" descr="Slika 12. Staza kroz trstik u Kopačkom ritu — jednoredno kretanje, razmak i zabrana napuštanja staze." title="Slika 12. Staza kroz trstik u Kopačkom ritu — jednoredno kretanje, razmak i zabrana napuštanja staze."/>
            <wp:cNvGraphicFramePr>
              <a:graphicFrameLocks noChangeAspect="1"/>
            </wp:cNvGraphicFramePr>
            <a:graphic>
              <a:graphicData uri="http://schemas.openxmlformats.org/drawingml/2006/picture">
                <pic:pic>
                  <pic:nvPicPr>
                    <pic:cNvPr id="0" name="image18.jpg"/>
                    <pic:cNvPicPr/>
                  </pic:nvPicPr>
                  <pic:blipFill>
                    <a:blip r:embed="rId28"/>
                    <a:stretch>
                      <a:fillRect/>
                    </a:stretch>
                  </pic:blipFill>
                  <pic:spPr>
                    <a:xfrm>
                      <a:off x="0" y="0"/>
                      <a:ext cx="4800000" cy="3600000"/>
                    </a:xfrm>
                    <a:prstGeom prst="rect"/>
                  </pic:spPr>
                </pic:pic>
              </a:graphicData>
            </a:graphic>
          </wp:inline>
        </w:drawing>
      </w:r>
    </w:p>
    <w:p>
      <w:pPr>
        <w:spacing w:before="60" w:after="40"/>
        <w:jc w:val="center"/>
      </w:pPr>
      <w:r>
        <w:rPr>
          <w:rFonts w:ascii="Calibri" w:hAnsi="Calibri"/>
          <w:i/>
          <w:color w:val="1F4D78"/>
          <w:sz w:val="18"/>
        </w:rPr>
        <w:t xml:space="preserve">Slika 12. Staza kroz trstik u Kopačkom ritu — jednoredno kretanje, razmak i zabrana napuštanja staze.</w:t>
      </w:r>
    </w:p>
    <w:p>
      <w:pPr>
        <w:spacing w:before="0" w:after="160"/>
        <w:jc w:val="center"/>
      </w:pPr>
      <w:r>
        <w:rPr>
          <w:rFonts w:ascii="Calibri" w:hAnsi="Calibri"/>
          <w:color w:val="667085"/>
          <w:sz w:val="16"/>
        </w:rPr>
        <w:t xml:space="preserve">Foto: Antimuonium, Wikimedia Commons, CC BY-SA 4.0.</w:t>
      </w:r>
    </w:p>
    <w:p>
      <w:pPr>
        <w:spacing w:before="120" w:after="40"/>
        <w:jc w:val="center"/>
      </w:pPr>
      <w:r>
        <w:drawing>
          <wp:inline xmlns:a="http://schemas.openxmlformats.org/drawingml/2006/main" xmlns:pic="http://schemas.openxmlformats.org/drawingml/2006/picture">
            <wp:extent cx="5852160" cy="2626069"/>
            <wp:docPr id="7" name="Picture 7" descr="Slika 13. Odluka tijekom vođenja u zaštićenom području prirode." title="Slika 13. Odluka tijekom vođenja u zaštićenom području prirode."/>
            <wp:cNvGraphicFramePr>
              <a:graphicFrameLocks noChangeAspect="1"/>
            </wp:cNvGraphicFramePr>
            <a:graphic>
              <a:graphicData uri="http://schemas.openxmlformats.org/drawingml/2006/picture">
                <pic:pic>
                  <pic:nvPicPr>
                    <pic:cNvPr id="0" name="07_priroda.png"/>
                    <pic:cNvPicPr/>
                  </pic:nvPicPr>
                  <pic:blipFill>
                    <a:blip r:embed="rId17"/>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13. Odluka tijekom vođenja u zaštićenom području prirode.</w:t>
      </w:r>
    </w:p>
    <w:p>
      <w:pPr>
        <w:spacing w:before="0" w:after="160"/>
        <w:jc w:val="center"/>
      </w:pPr>
      <w:r>
        <w:rPr>
          <w:rFonts w:ascii="Calibri" w:hAnsi="Calibri"/>
          <w:color w:val="667085"/>
          <w:sz w:val="16"/>
        </w:rPr>
        <w:t>Izvorna ilustracija; sigurnosni slijed.</w:t>
      </w:r>
    </w:p>
    <w:p>
      <w:pPr>
        <w:pStyle w:val="Heading2"/>
        <w:keepNext/>
      </w:pPr>
      <w:r>
        <w:t>Briefing za prirodni teren</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Ruta i granice</w:t>
            </w:r>
          </w:p>
        </w:tc>
        <w:tc>
          <w:tcPr>
            <w:tcW w:type="dxa" w:w="7200"/>
            <w:vAlign w:val="top"/>
          </w:tcPr>
          <w:p>
            <w:pPr>
              <w:spacing w:after="60"/>
            </w:pPr>
            <w:r>
              <w:rPr>
                <w:rFonts w:ascii="Calibri" w:hAnsi="Calibri"/>
                <w:color w:val="222222"/>
                <w:sz w:val="18"/>
              </w:rPr>
              <w:t>označena staza / dopuštena plovidba · zabranjene zone · točka povratka</w:t>
            </w:r>
          </w:p>
        </w:tc>
        <w:trPr>
          <w:tblHeader/>
        </w:trPr>
      </w:tr>
      <w:tr>
        <w:tc>
          <w:tcPr>
            <w:tcW w:type="dxa" w:w="2376"/>
            <w:shd w:fill="E8EEF5"/>
            <w:vAlign w:val="top"/>
          </w:tcPr>
          <w:p>
            <w:pPr>
              <w:spacing w:after="60"/>
            </w:pPr>
            <w:r>
              <w:rPr>
                <w:rFonts w:ascii="Calibri" w:hAnsi="Calibri"/>
                <w:b/>
                <w:color w:val="17324D"/>
                <w:sz w:val="18"/>
              </w:rPr>
              <w:t>Uvjeti</w:t>
            </w:r>
          </w:p>
        </w:tc>
        <w:tc>
          <w:tcPr>
            <w:tcW w:type="dxa" w:w="7200"/>
            <w:vAlign w:val="top"/>
          </w:tcPr>
          <w:p>
            <w:pPr>
              <w:spacing w:after="60"/>
            </w:pPr>
            <w:r>
              <w:rPr>
                <w:rFonts w:ascii="Calibri" w:hAnsi="Calibri"/>
                <w:color w:val="222222"/>
                <w:sz w:val="18"/>
              </w:rPr>
              <w:t>prognoza i upozorenja · stanje staze/vode · svjetlo · sezonske pojave</w:t>
            </w:r>
          </w:p>
        </w:tc>
      </w:tr>
      <w:tr>
        <w:tc>
          <w:tcPr>
            <w:tcW w:type="dxa" w:w="2376"/>
            <w:shd w:fill="E8EEF5"/>
            <w:vAlign w:val="top"/>
          </w:tcPr>
          <w:p>
            <w:pPr>
              <w:spacing w:after="60"/>
            </w:pPr>
            <w:r>
              <w:rPr>
                <w:rFonts w:ascii="Calibri" w:hAnsi="Calibri"/>
                <w:b/>
                <w:color w:val="17324D"/>
                <w:sz w:val="18"/>
              </w:rPr>
              <w:t>Oprema</w:t>
            </w:r>
          </w:p>
        </w:tc>
        <w:tc>
          <w:tcPr>
            <w:tcW w:type="dxa" w:w="7200"/>
            <w:vAlign w:val="top"/>
          </w:tcPr>
          <w:p>
            <w:pPr>
              <w:spacing w:after="60"/>
            </w:pPr>
            <w:r>
              <w:rPr>
                <w:rFonts w:ascii="Calibri" w:hAnsi="Calibri"/>
                <w:color w:val="222222"/>
                <w:sz w:val="18"/>
              </w:rPr>
              <w:t>obuća i odjeća · voda · zaštita od sunca/kiše · osobni lijekovi</w:t>
            </w:r>
          </w:p>
        </w:tc>
      </w:tr>
      <w:tr>
        <w:tc>
          <w:tcPr>
            <w:tcW w:type="dxa" w:w="2376"/>
            <w:shd w:fill="E8EEF5"/>
            <w:vAlign w:val="top"/>
          </w:tcPr>
          <w:p>
            <w:pPr>
              <w:spacing w:after="60"/>
            </w:pPr>
            <w:r>
              <w:rPr>
                <w:rFonts w:ascii="Calibri" w:hAnsi="Calibri"/>
                <w:b/>
                <w:color w:val="17324D"/>
                <w:sz w:val="18"/>
              </w:rPr>
              <w:t>Ponašanje</w:t>
            </w:r>
          </w:p>
        </w:tc>
        <w:tc>
          <w:tcPr>
            <w:tcW w:type="dxa" w:w="7200"/>
            <w:vAlign w:val="top"/>
          </w:tcPr>
          <w:p>
            <w:pPr>
              <w:spacing w:after="60"/>
            </w:pPr>
            <w:r>
              <w:rPr>
                <w:rFonts w:ascii="Calibri" w:hAnsi="Calibri"/>
                <w:color w:val="222222"/>
                <w:sz w:val="18"/>
              </w:rPr>
              <w:t>ne napuštati stazu · ne uznemiravati životinje · ne brati · otpad ponijeti</w:t>
            </w:r>
          </w:p>
        </w:tc>
      </w:tr>
      <w:tr>
        <w:tc>
          <w:tcPr>
            <w:tcW w:type="dxa" w:w="2376"/>
            <w:shd w:fill="E8EEF5"/>
            <w:vAlign w:val="top"/>
          </w:tcPr>
          <w:p>
            <w:pPr>
              <w:spacing w:after="60"/>
            </w:pPr>
            <w:r>
              <w:rPr>
                <w:rFonts w:ascii="Calibri" w:hAnsi="Calibri"/>
                <w:b/>
                <w:color w:val="17324D"/>
                <w:sz w:val="18"/>
              </w:rPr>
              <w:t>Ritam</w:t>
            </w:r>
          </w:p>
        </w:tc>
        <w:tc>
          <w:tcPr>
            <w:tcW w:type="dxa" w:w="7200"/>
            <w:vAlign w:val="top"/>
          </w:tcPr>
          <w:p>
            <w:pPr>
              <w:spacing w:after="60"/>
            </w:pPr>
            <w:r>
              <w:rPr>
                <w:rFonts w:ascii="Calibri" w:hAnsi="Calibri"/>
                <w:color w:val="222222"/>
                <w:sz w:val="18"/>
              </w:rPr>
              <w:t>najsporiji održivi tempo · pauze · zatvaranje razmaka · pozicija začelja</w:t>
            </w:r>
          </w:p>
        </w:tc>
      </w:tr>
      <w:tr>
        <w:tc>
          <w:tcPr>
            <w:tcW w:type="dxa" w:w="2376"/>
            <w:shd w:fill="E8EEF5"/>
            <w:vAlign w:val="top"/>
          </w:tcPr>
          <w:p>
            <w:pPr>
              <w:spacing w:after="60"/>
            </w:pPr>
            <w:r>
              <w:rPr>
                <w:rFonts w:ascii="Calibri" w:hAnsi="Calibri"/>
                <w:b/>
                <w:color w:val="17324D"/>
                <w:sz w:val="18"/>
              </w:rPr>
              <w:t>Komunikacija</w:t>
            </w:r>
          </w:p>
        </w:tc>
        <w:tc>
          <w:tcPr>
            <w:tcW w:type="dxa" w:w="7200"/>
            <w:vAlign w:val="top"/>
          </w:tcPr>
          <w:p>
            <w:pPr>
              <w:spacing w:after="60"/>
            </w:pPr>
            <w:r>
              <w:rPr>
                <w:rFonts w:ascii="Calibri" w:hAnsi="Calibri"/>
                <w:color w:val="222222"/>
                <w:sz w:val="18"/>
              </w:rPr>
              <w:t>signal za zaustavljanje · kontakt · postupak kod odvajanja</w:t>
            </w:r>
          </w:p>
        </w:tc>
      </w:tr>
      <w:tr>
        <w:tc>
          <w:tcPr>
            <w:tcW w:type="dxa" w:w="2376"/>
            <w:shd w:fill="E8EEF5"/>
            <w:vAlign w:val="top"/>
          </w:tcPr>
          <w:p>
            <w:pPr>
              <w:spacing w:after="60"/>
            </w:pPr>
            <w:r>
              <w:rPr>
                <w:rFonts w:ascii="Calibri" w:hAnsi="Calibri"/>
                <w:b/>
                <w:color w:val="17324D"/>
                <w:sz w:val="18"/>
              </w:rPr>
              <w:t>Prekid</w:t>
            </w:r>
          </w:p>
        </w:tc>
        <w:tc>
          <w:tcPr>
            <w:tcW w:type="dxa" w:w="7200"/>
            <w:vAlign w:val="top"/>
          </w:tcPr>
          <w:p>
            <w:pPr>
              <w:spacing w:after="60"/>
            </w:pPr>
            <w:r>
              <w:rPr>
                <w:rFonts w:ascii="Calibri" w:hAnsi="Calibri"/>
                <w:color w:val="222222"/>
                <w:sz w:val="18"/>
              </w:rPr>
              <w:t>jasni okidači: upozorenje upravitelja, gubitak rute, grmljavina, voda, ozljeda, mrak</w:t>
            </w:r>
          </w:p>
        </w:tc>
      </w:tr>
    </w:tbl>
    <w:p>
      <w:pPr>
        <w:spacing w:after="20"/>
      </w:pPr>
    </w:p>
    <w:p>
      <w:r>
        <w:br w:type="page"/>
      </w:r>
    </w:p>
    <w:p>
      <w:pPr>
        <w:pStyle w:val="Heading1"/>
        <w:keepNext/>
      </w:pPr>
      <w:r>
        <w:t>Staza, voda, vrijeme i ponašanje</w:t>
      </w:r>
    </w:p>
    <w:tbl>
      <w:tblPr>
        <w:tblStyle w:val="TableGrid"/>
        <w:tblW w:type="dxa" w:w="9200"/>
        <w:jc w:val="left"/>
        <w:tblLayout w:type="fixed"/>
        <w:tblLook w:firstColumn="1" w:firstRow="1" w:lastColumn="0" w:lastRow="0" w:noHBand="0" w:noVBand="1" w:val="04A0"/>
        <w:tblInd w:w="120" w:type="dxa"/>
      </w:tblPr>
      <w:tblGrid>
        <w:gridCol w:w="1350"/>
        <w:gridCol w:w="2800"/>
        <w:gridCol w:w="2750"/>
        <w:gridCol w:w="2300"/>
      </w:tblGrid>
      <w:tr>
        <w:trPr>
          <w:tblHeader w:val="true"/>
          <w:cantSplit/>
        </w:trPr>
        <w:tc>
          <w:tcPr>
            <w:tcW w:type="dxa" w:w="1350"/>
            <w:shd w:fill="E8EEF5"/>
            <w:vAlign w:val="center"/>
            <w:tcMar>
              <w:top w:w="80" w:type="dxa"/>
              <w:start w:w="120" w:type="dxa"/>
              <w:bottom w:w="80" w:type="dxa"/>
              <w:end w:w="120" w:type="dxa"/>
            </w:tcMar>
          </w:tcPr>
          <w:p>
            <w:r>
              <w:rPr>
                <w:rFonts w:ascii="Calibri" w:hAnsi="Calibri"/>
                <w:b/>
                <w:color w:val="17324D"/>
                <w:sz w:val="19"/>
              </w:rPr>
              <w:t>Područje</w:t>
            </w:r>
          </w:p>
        </w:tc>
        <w:tc>
          <w:tcPr>
            <w:tcW w:type="dxa" w:w="2800"/>
            <w:shd w:fill="E8EEF5"/>
            <w:vAlign w:val="center"/>
            <w:tcMar>
              <w:top w:w="80" w:type="dxa"/>
              <w:start w:w="120" w:type="dxa"/>
              <w:bottom w:w="80" w:type="dxa"/>
              <w:end w:w="120" w:type="dxa"/>
            </w:tcMar>
          </w:tcPr>
          <w:p>
            <w:r>
              <w:rPr>
                <w:rFonts w:ascii="Calibri" w:hAnsi="Calibri"/>
                <w:b/>
                <w:color w:val="17324D"/>
                <w:sz w:val="19"/>
              </w:rPr>
              <w:t>Što vodič promatra</w:t>
            </w:r>
          </w:p>
        </w:tc>
        <w:tc>
          <w:tcPr>
            <w:tcW w:type="dxa" w:w="2750"/>
            <w:shd w:fill="E8EEF5"/>
            <w:vAlign w:val="center"/>
            <w:tcMar>
              <w:top w:w="80" w:type="dxa"/>
              <w:start w:w="120" w:type="dxa"/>
              <w:bottom w:w="80" w:type="dxa"/>
              <w:end w:w="120" w:type="dxa"/>
            </w:tcMar>
          </w:tcPr>
          <w:p>
            <w:r>
              <w:rPr>
                <w:rFonts w:ascii="Calibri" w:hAnsi="Calibri"/>
                <w:b/>
                <w:color w:val="17324D"/>
                <w:sz w:val="19"/>
              </w:rPr>
              <w:t>Preventivna mjera</w:t>
            </w:r>
          </w:p>
        </w:tc>
        <w:tc>
          <w:tcPr>
            <w:tcW w:type="dxa" w:w="2300"/>
            <w:shd w:fill="E8EEF5"/>
            <w:vAlign w:val="center"/>
            <w:tcMar>
              <w:top w:w="80" w:type="dxa"/>
              <w:start w:w="120" w:type="dxa"/>
              <w:bottom w:w="80" w:type="dxa"/>
              <w:end w:w="120" w:type="dxa"/>
            </w:tcMar>
          </w:tcPr>
          <w:p>
            <w:r>
              <w:rPr>
                <w:rFonts w:ascii="Calibri" w:hAnsi="Calibri"/>
                <w:b/>
                <w:color w:val="17324D"/>
                <w:sz w:val="19"/>
              </w:rPr>
              <w:t>Okidač za prekid/promjenu</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staza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podloga, nagib, klizanje, prepreke, osvijetljenost</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razmak, tempo, obuća, alternativa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prolaz nije siguran ili dopušten</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voda / plovilo</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razina vode, ukrcaj, rub, upute posade</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poštovanje kapaciteta i opreme</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nalog upravitelja/posade ili pogoršanje uvjeta</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vrijeme</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toplina, vjetar, oborina, grmljavina, vidljivost</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voda, hlad, skraćenje i sigurno sklonište</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službeno upozorenje ili uvjet iz plana</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skupina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umor, razmak, dezorijentacija, nelagoda</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češće provjere, pauze, začelje</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osoba ne može sigurno nastaviti</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priroda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divlje životinje, gniježđenje, požarna opasnost</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udaljenost, tišina i upute čuvara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naredba čuvara ili neposredna opasnost</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veza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signal, baterija, dostupnost lokacije</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offline karta, kontakt i rezervna veza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nema pouzdane komunikacije za planirani rizik</w:t>
            </w:r>
          </w:p>
        </w:tc>
      </w:tr>
    </w:tbl>
    <w:p>
      <w:pPr>
        <w:spacing w:after="20"/>
      </w:pPr>
    </w:p>
    <w:p>
      <w:pPr>
        <w:spacing w:before="120" w:after="160" w:line="283" w:lineRule="auto"/>
        <w:ind w:left="202" w:right="115"/>
        <w:shd w:fill="E8F5F6"/>
        <w:pBdr>
          <w:left w:val="single" w:sz="18" w:space="8" w:color="167D8D"/>
        </w:pBdr>
      </w:pPr>
      <w:r>
        <w:rPr>
          <w:rFonts w:ascii="Calibri" w:hAnsi="Calibri"/>
          <w:b/>
          <w:color w:val="167D8D"/>
          <w:sz w:val="19"/>
        </w:rPr>
        <w:t xml:space="preserve">PRAVILO PAPUKA KAO PRIMJER  </w:t>
      </w:r>
      <w:r>
        <w:rPr>
          <w:rFonts w:ascii="Calibri" w:hAnsi="Calibri"/>
          <w:b/>
          <w:color w:val="17324D"/>
          <w:sz w:val="21"/>
        </w:rPr>
        <w:t>Službena pravila Parka upućuju posjetitelje na označene staze, pridržavanje upozorenja, zaštitu biljaka, životinja i voda, držanje pasa na povodcu te posebnu dozvolu za komercijalno fotografiranje. Za konkretnu izvedbu uvijek se provjerava aktualni opći akt i obavijest upravitelja.</w:t>
      </w:r>
    </w:p>
    <w:p>
      <w:pPr>
        <w:spacing w:before="120" w:after="40"/>
        <w:jc w:val="center"/>
      </w:pPr>
      <w:r>
        <w:drawing>
          <wp:inline xmlns:a="http://schemas.openxmlformats.org/drawingml/2006/main" xmlns:pic="http://schemas.openxmlformats.org/drawingml/2006/picture">
            <wp:extent cx="5013927" cy="3600000"/>
            <wp:docPr id="607" name="Picture 607" descr="Slika 14. Park prirode Papuk iz zraka — razmjeri područja objašnjavaju zašto se skupina ne udaljava s označenih staza." title="Slika 14. Park prirode Papuk iz zraka — razmjeri područja objašnjavaju zašto se skupina ne udaljava s označenih staza."/>
            <wp:cNvGraphicFramePr>
              <a:graphicFrameLocks noChangeAspect="1"/>
            </wp:cNvGraphicFramePr>
            <a:graphic>
              <a:graphicData uri="http://schemas.openxmlformats.org/drawingml/2006/picture">
                <pic:pic>
                  <pic:nvPicPr>
                    <pic:cNvPr id="0" name="image19.jpg"/>
                    <pic:cNvPicPr/>
                  </pic:nvPicPr>
                  <pic:blipFill>
                    <a:blip r:embed="rId29"/>
                    <a:stretch>
                      <a:fillRect/>
                    </a:stretch>
                  </pic:blipFill>
                  <pic:spPr>
                    <a:xfrm>
                      <a:off x="0" y="0"/>
                      <a:ext cx="5013927" cy="3600000"/>
                    </a:xfrm>
                    <a:prstGeom prst="rect"/>
                  </pic:spPr>
                </pic:pic>
              </a:graphicData>
            </a:graphic>
          </wp:inline>
        </w:drawing>
      </w:r>
    </w:p>
    <w:p>
      <w:pPr>
        <w:spacing w:before="60" w:after="40"/>
        <w:jc w:val="center"/>
      </w:pPr>
      <w:r>
        <w:rPr>
          <w:rFonts w:ascii="Calibri" w:hAnsi="Calibri"/>
          <w:i/>
          <w:color w:val="1F4D78"/>
          <w:sz w:val="18"/>
        </w:rPr>
        <w:t xml:space="preserve">Slika 14. Park prirode Papuk iz zraka — razmjeri područja objašnjavaju zašto se skupina ne udaljava s označenih staza.</w:t>
      </w:r>
    </w:p>
    <w:p>
      <w:pPr>
        <w:spacing w:before="0" w:after="160"/>
        <w:jc w:val="center"/>
      </w:pPr>
      <w:r>
        <w:rPr>
          <w:rFonts w:ascii="Calibri" w:hAnsi="Calibri"/>
          <w:color w:val="667085"/>
          <w:sz w:val="16"/>
        </w:rPr>
        <w:t xml:space="preserve">Foto: Gpavic, Wikimedia Commons, javno vlasništvo.</w:t>
      </w:r>
    </w:p>
    <w:p>
      <w:pPr>
        <w:spacing w:before="120" w:after="160" w:line="283" w:lineRule="auto"/>
        <w:ind w:left="202" w:right="115"/>
        <w:shd w:fill="EDF5F1"/>
        <w:pBdr>
          <w:left w:val="single" w:sz="18" w:space="8" w:color="3E7C68"/>
        </w:pBdr>
      </w:pPr>
      <w:r>
        <w:rPr>
          <w:rFonts w:ascii="Calibri" w:hAnsi="Calibri"/>
          <w:b/>
          <w:color w:val="3E7C68"/>
          <w:sz w:val="19"/>
        </w:rPr>
        <w:t xml:space="preserve">VJEŽBA 3  </w:t>
      </w:r>
      <w:r>
        <w:rPr>
          <w:rFonts w:ascii="Calibri" w:hAnsi="Calibri"/>
          <w:b/>
          <w:color w:val="17324D"/>
          <w:sz w:val="21"/>
        </w:rPr>
        <w:t>Kandidat vodi dionicu sa stvarnim promjenama podloge i barem jednom kontrolnom točkom. Instruktor zadaje promjenu vremena ili umor člana. Kandidat procjenjuje, verbalizira mjeru, ponovno procjenjuje i po potrebi skraćuje ili prekida rutu.</w:t>
      </w:r>
    </w:p>
    <w:p>
      <w:pPr>
        <w:spacing w:before="120" w:after="40"/>
        <w:jc w:val="center"/>
      </w:pPr>
      <w:r>
        <w:drawing>
          <wp:inline xmlns:a="http://schemas.openxmlformats.org/drawingml/2006/main" xmlns:pic="http://schemas.openxmlformats.org/drawingml/2006/picture">
            <wp:extent cx="5400000" cy="3600000"/>
            <wp:docPr id="608" name="Picture 608" descr="Slika 15. Drvena šetnica nad vodom u Kopačkom ritu — kapacitet, rub i upute posade uvjet su za kretanje skupine." title="Slika 15. Drvena šetnica nad vodom u Kopačkom ritu — kapacitet, rub i upute posade uvjet su za kretanje skupine."/>
            <wp:cNvGraphicFramePr>
              <a:graphicFrameLocks noChangeAspect="1"/>
            </wp:cNvGraphicFramePr>
            <a:graphic>
              <a:graphicData uri="http://schemas.openxmlformats.org/drawingml/2006/picture">
                <pic:pic>
                  <pic:nvPicPr>
                    <pic:cNvPr id="0" name="image20.jpg"/>
                    <pic:cNvPicPr/>
                  </pic:nvPicPr>
                  <pic:blipFill>
                    <a:blip r:embed="rId30"/>
                    <a:stretch>
                      <a:fillRect/>
                    </a:stretch>
                  </pic:blipFill>
                  <pic:spPr>
                    <a:xfrm>
                      <a:off x="0" y="0"/>
                      <a:ext cx="5400000" cy="3600000"/>
                    </a:xfrm>
                    <a:prstGeom prst="rect"/>
                  </pic:spPr>
                </pic:pic>
              </a:graphicData>
            </a:graphic>
          </wp:inline>
        </w:drawing>
      </w:r>
    </w:p>
    <w:p>
      <w:pPr>
        <w:spacing w:before="60" w:after="40"/>
        <w:jc w:val="center"/>
      </w:pPr>
      <w:r>
        <w:rPr>
          <w:rFonts w:ascii="Calibri" w:hAnsi="Calibri"/>
          <w:i/>
          <w:color w:val="1F4D78"/>
          <w:sz w:val="18"/>
        </w:rPr>
        <w:t xml:space="preserve">Slika 15. Drvena šetnica nad vodom u Kopačkom ritu — kapacitet, rub i upute posade uvjet su za kretanje skupine.</w:t>
      </w:r>
    </w:p>
    <w:p>
      <w:pPr>
        <w:spacing w:before="0" w:after="160"/>
        <w:jc w:val="center"/>
      </w:pPr>
      <w:r>
        <w:rPr>
          <w:rFonts w:ascii="Calibri" w:hAnsi="Calibri"/>
          <w:color w:val="667085"/>
          <w:sz w:val="16"/>
        </w:rPr>
        <w:t xml:space="preserve">Foto: Misalalic, Wikimedia Commons, CC BY-SA 4.0.</w:t>
      </w:r>
    </w:p>
    <w:p>
      <w:r>
        <w:br w:type="page"/>
      </w:r>
    </w:p>
    <w:p>
      <w:r>
        <w:rPr>
          <w:rFonts w:ascii="Calibri" w:hAnsi="Calibri"/>
          <w:b/>
          <w:color w:val="B78727"/>
          <w:sz w:val="48"/>
        </w:rPr>
        <w:t>R6.4</w:t>
      </w:r>
    </w:p>
    <w:p>
      <w:pPr>
        <w:pStyle w:val="Heading1"/>
        <w:spacing w:before="40"/>
      </w:pPr>
      <w:r>
        <w:t>Procjena rizika i simulacija krizne situacije</w:t>
      </w:r>
    </w:p>
    <w:tbl>
      <w:tblPr>
        <w:tblStyle w:val="TableGrid"/>
        <w:tblW w:type="dxa" w:w="9200"/>
        <w:jc w:val="left"/>
        <w:tblLayout w:type="fixed"/>
        <w:tblLook w:firstColumn="1" w:firstRow="1" w:lastColumn="0" w:lastRow="0" w:noHBand="0" w:noVBand="1" w:val="04A0"/>
        <w:tblInd w:w="120" w:type="dxa"/>
      </w:tblPr>
      <w:tblGrid>
        <w:gridCol w:w="1100"/>
        <w:gridCol w:w="3000"/>
        <w:gridCol w:w="5100"/>
      </w:tblGrid>
      <w:tr>
        <w:trPr>
          <w:tblHeader w:val="true"/>
          <w:cantSplit/>
        </w:trPr>
        <w:tc>
          <w:tcPr>
            <w:tcW w:type="dxa" w:w="1100"/>
            <w:shd w:fill="E8EEF5"/>
            <w:vAlign w:val="center"/>
            <w:tcMar>
              <w:top w:w="80" w:type="dxa"/>
              <w:start w:w="120" w:type="dxa"/>
              <w:bottom w:w="80" w:type="dxa"/>
              <w:end w:w="120" w:type="dxa"/>
            </w:tcMar>
          </w:tcPr>
          <w:p>
            <w:r>
              <w:rPr>
                <w:rFonts w:ascii="Calibri" w:hAnsi="Calibri"/>
                <w:b/>
                <w:color w:val="17324D"/>
                <w:sz w:val="19"/>
              </w:rPr>
              <w:t>Satnica</w:t>
            </w:r>
          </w:p>
        </w:tc>
        <w:tc>
          <w:tcPr>
            <w:tcW w:type="dxa" w:w="3000"/>
            <w:shd w:fill="E8EEF5"/>
            <w:vAlign w:val="center"/>
            <w:tcMar>
              <w:top w:w="80" w:type="dxa"/>
              <w:start w:w="120" w:type="dxa"/>
              <w:bottom w:w="80" w:type="dxa"/>
              <w:end w:w="120" w:type="dxa"/>
            </w:tcMar>
          </w:tcPr>
          <w:p>
            <w:r>
              <w:rPr>
                <w:rFonts w:ascii="Calibri" w:hAnsi="Calibri"/>
                <w:b/>
                <w:color w:val="17324D"/>
                <w:sz w:val="19"/>
              </w:rPr>
              <w:t>Metoda</w:t>
            </w:r>
          </w:p>
        </w:tc>
        <w:tc>
          <w:tcPr>
            <w:tcW w:type="dxa" w:w="5100"/>
            <w:shd w:fill="E8EEF5"/>
            <w:vAlign w:val="center"/>
            <w:tcMar>
              <w:top w:w="80" w:type="dxa"/>
              <w:start w:w="120" w:type="dxa"/>
              <w:bottom w:w="80" w:type="dxa"/>
              <w:end w:w="120" w:type="dxa"/>
            </w:tcMar>
          </w:tcPr>
          <w:p>
            <w:r>
              <w:rPr>
                <w:rFonts w:ascii="Calibri" w:hAnsi="Calibri"/>
                <w:b/>
                <w:color w:val="17324D"/>
                <w:sz w:val="19"/>
              </w:rPr>
              <w:t>Izlazni dokaz</w:t>
            </w:r>
          </w:p>
        </w:tc>
      </w:tr>
      <w:tr>
        <w:trPr>
          <w:cantSplit/>
        </w:trPr>
        <w:tc>
          <w:tcPr>
            <w:tcW w:type="dxa" w:w="1100"/>
            <w:vAlign w:val="top"/>
            <w:tcMar>
              <w:top w:w="80" w:type="dxa"/>
              <w:start w:w="120" w:type="dxa"/>
              <w:bottom w:w="80" w:type="dxa"/>
              <w:end w:w="120" w:type="dxa"/>
            </w:tcMar>
          </w:tcPr>
          <w:p>
            <w:pPr>
              <w:spacing w:after="40" w:line="259" w:lineRule="auto"/>
            </w:pPr>
            <w:r>
              <w:rPr>
                <w:rFonts w:ascii="Calibri" w:hAnsi="Calibri"/>
                <w:color w:val="222222"/>
                <w:sz w:val="18"/>
              </w:rPr>
              <w:t>4 sata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simulacija</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procjena + krizni zapis + predaja</w:t>
            </w:r>
          </w:p>
        </w:tc>
      </w:tr>
    </w:tbl>
    <w:p>
      <w:pPr>
        <w:spacing w:after="20"/>
      </w:pPr>
    </w:p>
    <w:p>
      <w:pPr>
        <w:widowControl/>
      </w:pPr>
      <w:r>
        <w:t>Rizik je odnos vjerojatnosti i posljedice u konkretnim uvjetima. Procjenjuje se prije izvedbe i ponovno kada se promijene ljudi, prostor, vrijeme ili režim. Cilj nije dokazati hrabrost vodiča, nego pravodobno prepoznati kada uobičajena prilagodba više nije dovoljna.</w:t>
      </w:r>
    </w:p>
    <w:p>
      <w:pPr>
        <w:spacing w:before="120" w:after="40"/>
        <w:jc w:val="center"/>
      </w:pPr>
      <w:r>
        <w:drawing>
          <wp:inline xmlns:a="http://schemas.openxmlformats.org/drawingml/2006/main" xmlns:pic="http://schemas.openxmlformats.org/drawingml/2006/picture">
            <wp:extent cx="5623560" cy="2483932"/>
            <wp:docPr id="8" name="Picture 8" descr="Slika 16. Jednostavna matrica za početnu i ponovljenu procjenu rizika." title="Slika 16. Jednostavna matrica za početnu i ponovljenu procjenu rizika."/>
            <wp:cNvGraphicFramePr>
              <a:graphicFrameLocks noChangeAspect="1"/>
            </wp:cNvGraphicFramePr>
            <a:graphic>
              <a:graphicData uri="http://schemas.openxmlformats.org/drawingml/2006/picture">
                <pic:pic>
                  <pic:nvPicPr>
                    <pic:cNvPr id="0" name="08_rizik.png"/>
                    <pic:cNvPicPr/>
                  </pic:nvPicPr>
                  <pic:blipFill>
                    <a:blip r:embed="rId18"/>
                    <a:stretch>
                      <a:fillRect/>
                    </a:stretch>
                  </pic:blipFill>
                  <pic:spPr>
                    <a:xfrm>
                      <a:off x="0" y="0"/>
                      <a:ext cx="5623560" cy="2483932"/>
                    </a:xfrm>
                    <a:prstGeom prst="rect"/>
                  </pic:spPr>
                </pic:pic>
              </a:graphicData>
            </a:graphic>
          </wp:inline>
        </w:drawing>
      </w:r>
    </w:p>
    <w:p>
      <w:pPr>
        <w:spacing w:before="60" w:after="40"/>
        <w:jc w:val="center"/>
      </w:pPr>
      <w:r>
        <w:rPr>
          <w:rFonts w:ascii="Calibri" w:hAnsi="Calibri"/>
          <w:i/>
          <w:color w:val="1F4D78"/>
          <w:sz w:val="18"/>
        </w:rPr>
        <w:t>Slika 16. Jednostavna matrica za početnu i ponovljenu procjenu rizika.</w:t>
      </w:r>
    </w:p>
    <w:p>
      <w:pPr>
        <w:spacing w:before="0" w:after="160"/>
        <w:jc w:val="center"/>
      </w:pPr>
      <w:r>
        <w:rPr>
          <w:rFonts w:ascii="Calibri" w:hAnsi="Calibri"/>
          <w:color w:val="667085"/>
          <w:sz w:val="16"/>
        </w:rPr>
        <w:t>Izvorna ilustracija; edukacijska matrica 3 × 3.</w:t>
      </w:r>
    </w:p>
    <w:p>
      <w:pPr>
        <w:pStyle w:val="Heading2"/>
        <w:keepNext/>
      </w:pPr>
      <w:r>
        <w:t>Registar rizika — predložak</w:t>
      </w:r>
    </w:p>
    <w:tbl>
      <w:tblPr>
        <w:tblStyle w:val="TableGrid"/>
        <w:tblW w:type="dxa" w:w="9300"/>
        <w:jc w:val="left"/>
        <w:tblLayout w:type="fixed"/>
        <w:tblLook w:firstColumn="1" w:firstRow="1" w:lastColumn="0" w:lastRow="0" w:noHBand="0" w:noVBand="1" w:val="04A0"/>
        <w:tblInd w:w="120" w:type="dxa"/>
      </w:tblPr>
      <w:tblGrid>
        <w:gridCol w:w="1350"/>
        <w:gridCol w:w="1800"/>
        <w:gridCol w:w="1450"/>
        <w:gridCol w:w="1900"/>
        <w:gridCol w:w="1450"/>
        <w:gridCol w:w="1350"/>
      </w:tblGrid>
      <w:tr>
        <w:trPr>
          <w:tblHeader w:val="true"/>
          <w:cantSplit/>
        </w:trPr>
        <w:tc>
          <w:tcPr>
            <w:tcW w:type="dxa" w:w="1350"/>
            <w:shd w:fill="E8EEF5"/>
            <w:vAlign w:val="center"/>
            <w:tcMar>
              <w:top w:w="80" w:type="dxa"/>
              <w:start w:w="120" w:type="dxa"/>
              <w:bottom w:w="80" w:type="dxa"/>
              <w:end w:w="120" w:type="dxa"/>
            </w:tcMar>
          </w:tcPr>
          <w:p>
            <w:r>
              <w:rPr>
                <w:rFonts w:ascii="Calibri" w:hAnsi="Calibri"/>
                <w:b/>
                <w:color w:val="17324D"/>
                <w:sz w:val="19"/>
              </w:rPr>
              <w:t>Opasnost</w:t>
            </w:r>
          </w:p>
        </w:tc>
        <w:tc>
          <w:tcPr>
            <w:tcW w:type="dxa" w:w="1800"/>
            <w:shd w:fill="E8EEF5"/>
            <w:vAlign w:val="center"/>
            <w:tcMar>
              <w:top w:w="80" w:type="dxa"/>
              <w:start w:w="120" w:type="dxa"/>
              <w:bottom w:w="80" w:type="dxa"/>
              <w:end w:w="120" w:type="dxa"/>
            </w:tcMar>
          </w:tcPr>
          <w:p>
            <w:r>
              <w:rPr>
                <w:rFonts w:ascii="Calibri" w:hAnsi="Calibri"/>
                <w:b/>
                <w:color w:val="17324D"/>
                <w:sz w:val="19"/>
              </w:rPr>
              <w:t>Tko/što je izloženo</w:t>
            </w:r>
          </w:p>
        </w:tc>
        <w:tc>
          <w:tcPr>
            <w:tcW w:type="dxa" w:w="1450"/>
            <w:shd w:fill="E8EEF5"/>
            <w:vAlign w:val="center"/>
            <w:tcMar>
              <w:top w:w="80" w:type="dxa"/>
              <w:start w:w="120" w:type="dxa"/>
              <w:bottom w:w="80" w:type="dxa"/>
              <w:end w:w="120" w:type="dxa"/>
            </w:tcMar>
          </w:tcPr>
          <w:p>
            <w:r>
              <w:rPr>
                <w:rFonts w:ascii="Calibri" w:hAnsi="Calibri"/>
                <w:b/>
                <w:color w:val="17324D"/>
                <w:sz w:val="19"/>
              </w:rPr>
              <w:t>Početna procjena</w:t>
            </w:r>
          </w:p>
        </w:tc>
        <w:tc>
          <w:tcPr>
            <w:tcW w:type="dxa" w:w="1900"/>
            <w:shd w:fill="E8EEF5"/>
            <w:vAlign w:val="center"/>
            <w:tcMar>
              <w:top w:w="80" w:type="dxa"/>
              <w:start w:w="120" w:type="dxa"/>
              <w:bottom w:w="80" w:type="dxa"/>
              <w:end w:w="120" w:type="dxa"/>
            </w:tcMar>
          </w:tcPr>
          <w:p>
            <w:r>
              <w:rPr>
                <w:rFonts w:ascii="Calibri" w:hAnsi="Calibri"/>
                <w:b/>
                <w:color w:val="17324D"/>
                <w:sz w:val="19"/>
              </w:rPr>
              <w:t>Mjera</w:t>
            </w:r>
          </w:p>
        </w:tc>
        <w:tc>
          <w:tcPr>
            <w:tcW w:type="dxa" w:w="1450"/>
            <w:shd w:fill="E8EEF5"/>
            <w:vAlign w:val="center"/>
            <w:tcMar>
              <w:top w:w="80" w:type="dxa"/>
              <w:start w:w="120" w:type="dxa"/>
              <w:bottom w:w="80" w:type="dxa"/>
              <w:end w:w="120" w:type="dxa"/>
            </w:tcMar>
          </w:tcPr>
          <w:p>
            <w:r>
              <w:rPr>
                <w:rFonts w:ascii="Calibri" w:hAnsi="Calibri"/>
                <w:b/>
                <w:color w:val="17324D"/>
                <w:sz w:val="19"/>
              </w:rPr>
              <w:t>Preostali rizik</w:t>
            </w:r>
          </w:p>
        </w:tc>
        <w:tc>
          <w:tcPr>
            <w:tcW w:type="dxa" w:w="1350"/>
            <w:shd w:fill="E8EEF5"/>
            <w:vAlign w:val="center"/>
            <w:tcMar>
              <w:top w:w="80" w:type="dxa"/>
              <w:start w:w="120" w:type="dxa"/>
              <w:bottom w:w="80" w:type="dxa"/>
              <w:end w:w="120" w:type="dxa"/>
            </w:tcMar>
          </w:tcPr>
          <w:p>
            <w:r>
              <w:rPr>
                <w:rFonts w:ascii="Calibri" w:hAnsi="Calibri"/>
                <w:b/>
                <w:color w:val="17324D"/>
                <w:sz w:val="19"/>
              </w:rPr>
              <w:t>Odluka</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V__ × P__ = __</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V__ × P__ = __</w:t>
            </w:r>
          </w:p>
        </w:tc>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idi / prilagodi / ne idi</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V__ × P__ = __</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V__ × P__ = __</w:t>
            </w:r>
          </w:p>
        </w:tc>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idi / prilagodi / ne idi</w:t>
            </w:r>
          </w:p>
        </w:tc>
      </w:tr>
      <w:tr>
        <w:trPr>
          <w:cantSplit/>
        </w:trPr>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V__ × P__ = __</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________</w:t>
            </w:r>
          </w:p>
        </w:tc>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V__ × P__ = __</w:t>
            </w:r>
          </w:p>
        </w:tc>
        <w:tc>
          <w:tcPr>
            <w:tcW w:type="dxa" w:w="1350"/>
            <w:vAlign w:val="top"/>
            <w:tcMar>
              <w:top w:w="80" w:type="dxa"/>
              <w:start w:w="120" w:type="dxa"/>
              <w:bottom w:w="80" w:type="dxa"/>
              <w:end w:w="120" w:type="dxa"/>
            </w:tcMar>
          </w:tcPr>
          <w:p>
            <w:pPr>
              <w:spacing w:after="40" w:line="259" w:lineRule="auto"/>
            </w:pPr>
            <w:r>
              <w:rPr>
                <w:rFonts w:ascii="Calibri" w:hAnsi="Calibri"/>
                <w:color w:val="222222"/>
                <w:sz w:val="18"/>
              </w:rPr>
              <w:t>idi / prilagodi / ne idi</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GRANICA MODELA  </w:t>
      </w:r>
      <w:r>
        <w:rPr>
          <w:rFonts w:ascii="Calibri" w:hAnsi="Calibri"/>
          <w:b/>
          <w:color w:val="17324D"/>
          <w:sz w:val="21"/>
        </w:rPr>
        <w:t>Brojčana ocjena pomaže raspravi, ali nije dozvola za rizičnu izvedbu. Zabrana upravitelja, službeno upozorenje ili neposredna opasnost imaju prednost nad rezultatom matrice.</w:t>
      </w:r>
    </w:p>
    <w:p>
      <w:r>
        <w:br w:type="page"/>
      </w:r>
    </w:p>
    <w:p>
      <w:pPr>
        <w:pStyle w:val="Heading1"/>
        <w:keepNext/>
      </w:pPr>
      <w:r>
        <w:t>Krizni slijed i poziv 112</w:t>
      </w:r>
    </w:p>
    <w:p>
      <w:pPr>
        <w:spacing w:before="120" w:after="40"/>
        <w:jc w:val="center"/>
      </w:pPr>
      <w:r>
        <w:drawing>
          <wp:inline xmlns:a="http://schemas.openxmlformats.org/drawingml/2006/main" xmlns:pic="http://schemas.openxmlformats.org/drawingml/2006/picture">
            <wp:extent cx="5852160" cy="2626069"/>
            <wp:docPr id="9" name="Picture 9" descr="Slika 17. Slijed odluka od prekida do predaje i zapisa." title="Slika 17. Slijed odluka od prekida do predaje i zapisa."/>
            <wp:cNvGraphicFramePr>
              <a:graphicFrameLocks noChangeAspect="1"/>
            </wp:cNvGraphicFramePr>
            <a:graphic>
              <a:graphicData uri="http://schemas.openxmlformats.org/drawingml/2006/picture">
                <pic:pic>
                  <pic:nvPicPr>
                    <pic:cNvPr id="0" name="09_kriza.png"/>
                    <pic:cNvPicPr/>
                  </pic:nvPicPr>
                  <pic:blipFill>
                    <a:blip r:embed="rId19"/>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17. Slijed odluka od prekida do predaje i zapisa.</w:t>
      </w:r>
    </w:p>
    <w:p>
      <w:pPr>
        <w:spacing w:before="0" w:after="160"/>
        <w:jc w:val="center"/>
      </w:pPr>
      <w:r>
        <w:rPr>
          <w:rFonts w:ascii="Calibri" w:hAnsi="Calibri"/>
          <w:color w:val="667085"/>
          <w:sz w:val="16"/>
        </w:rPr>
        <w:t>Izvorna ilustracija; krizni protokol.</w:t>
      </w:r>
    </w:p>
    <w:p>
      <w:pPr>
        <w:numPr>
          <w:ilvl w:val="0"/>
          <w:numId w:val="13"/>
        </w:numPr>
      </w:pPr>
      <w:r>
        <w:t>Zaustavite kretanje ili sadržaj i kratkom naredbom uspostavite kontrolu.</w:t>
      </w:r>
    </w:p>
    <w:p>
      <w:pPr>
        <w:numPr>
          <w:ilvl w:val="0"/>
          <w:numId w:val="13"/>
        </w:numPr>
      </w:pPr>
      <w:r>
        <w:t>Uklonite skupinu iz dodatne opasnosti bez izlaganja vodiča ili drugih osoba nepotrebnom riziku.</w:t>
      </w:r>
    </w:p>
    <w:p>
      <w:pPr>
        <w:numPr>
          <w:ilvl w:val="0"/>
          <w:numId w:val="13"/>
        </w:numPr>
      </w:pPr>
      <w:r>
        <w:t>Utvrđujte činjenice: što se dogodilo, gdje, koliko je osoba ugroženo i koje opasnosti još postoje.</w:t>
      </w:r>
    </w:p>
    <w:p>
      <w:pPr>
        <w:numPr>
          <w:ilvl w:val="0"/>
          <w:numId w:val="13"/>
        </w:numPr>
      </w:pPr>
      <w:r>
        <w:t>Pozovite 112 kada je potrebna hitna služba. Navedite točnu lokaciju i odgovorite na pitanja operatera.</w:t>
      </w:r>
    </w:p>
    <w:p>
      <w:pPr>
        <w:numPr>
          <w:ilvl w:val="0"/>
          <w:numId w:val="13"/>
        </w:numPr>
      </w:pPr>
      <w:r>
        <w:t>Odredite tko ostaje s ugroženom osobom, tko nadzire skupinu i tko usmjerava službe do mjesta.</w:t>
      </w:r>
    </w:p>
    <w:p>
      <w:pPr>
        <w:numPr>
          <w:ilvl w:val="0"/>
          <w:numId w:val="13"/>
        </w:numPr>
      </w:pPr>
      <w:r>
        <w:t>Postupajte prema uputama nadležnih službi; ne improvizirajte radnje izvan osposobljenosti.</w:t>
      </w:r>
    </w:p>
    <w:p>
      <w:pPr>
        <w:numPr>
          <w:ilvl w:val="0"/>
          <w:numId w:val="13"/>
        </w:numPr>
      </w:pPr>
      <w:r>
        <w:t>Zabilježite vremena, činjenice, radnje, predaju i naknadne obavijesti.</w:t>
      </w:r>
    </w:p>
    <w:p>
      <w:pPr>
        <w:pStyle w:val="Heading2"/>
        <w:keepNext/>
      </w:pPr>
      <w:r>
        <w:t>Kartica dojave 112</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ŠTO</w:t>
            </w:r>
          </w:p>
        </w:tc>
        <w:tc>
          <w:tcPr>
            <w:tcW w:type="dxa" w:w="7200"/>
            <w:vAlign w:val="top"/>
          </w:tcPr>
          <w:p>
            <w:pPr>
              <w:spacing w:after="60"/>
            </w:pPr>
            <w:r>
              <w:rPr>
                <w:rFonts w:ascii="Calibri" w:hAnsi="Calibri"/>
                <w:color w:val="222222"/>
                <w:sz w:val="18"/>
              </w:rPr>
              <w:t>što se dogodilo; sadašnje stanje bez nagađanja</w:t>
            </w:r>
          </w:p>
        </w:tc>
        <w:trPr>
          <w:tblHeader/>
        </w:trPr>
      </w:tr>
      <w:tr>
        <w:tc>
          <w:tcPr>
            <w:tcW w:type="dxa" w:w="2376"/>
            <w:shd w:fill="E8EEF5"/>
            <w:vAlign w:val="top"/>
          </w:tcPr>
          <w:p>
            <w:pPr>
              <w:spacing w:after="60"/>
            </w:pPr>
            <w:r>
              <w:rPr>
                <w:rFonts w:ascii="Calibri" w:hAnsi="Calibri"/>
                <w:b/>
                <w:color w:val="17324D"/>
                <w:sz w:val="18"/>
              </w:rPr>
              <w:t>GDJE</w:t>
            </w:r>
          </w:p>
        </w:tc>
        <w:tc>
          <w:tcPr>
            <w:tcW w:type="dxa" w:w="7200"/>
            <w:vAlign w:val="top"/>
          </w:tcPr>
          <w:p>
            <w:pPr>
              <w:spacing w:after="60"/>
            </w:pPr>
            <w:r>
              <w:rPr>
                <w:rFonts w:ascii="Calibri" w:hAnsi="Calibri"/>
                <w:color w:val="222222"/>
                <w:sz w:val="18"/>
              </w:rPr>
              <w:t>naziv lokaliteta · ulaz/staza/postaja · koordinate ili prepoznatljiva točka</w:t>
            </w:r>
          </w:p>
        </w:tc>
      </w:tr>
      <w:tr>
        <w:tc>
          <w:tcPr>
            <w:tcW w:type="dxa" w:w="2376"/>
            <w:shd w:fill="E8EEF5"/>
            <w:vAlign w:val="top"/>
          </w:tcPr>
          <w:p>
            <w:pPr>
              <w:spacing w:after="60"/>
            </w:pPr>
            <w:r>
              <w:rPr>
                <w:rFonts w:ascii="Calibri" w:hAnsi="Calibri"/>
                <w:b/>
                <w:color w:val="17324D"/>
                <w:sz w:val="18"/>
              </w:rPr>
              <w:t>OZLIJEĐENI</w:t>
            </w:r>
          </w:p>
        </w:tc>
        <w:tc>
          <w:tcPr>
            <w:tcW w:type="dxa" w:w="7200"/>
            <w:vAlign w:val="top"/>
          </w:tcPr>
          <w:p>
            <w:pPr>
              <w:spacing w:after="60"/>
            </w:pPr>
            <w:r>
              <w:rPr>
                <w:rFonts w:ascii="Calibri" w:hAnsi="Calibri"/>
                <w:color w:val="222222"/>
                <w:sz w:val="18"/>
              </w:rPr>
              <w:t>ima li ozlijeđenih/ugroženih i koliko</w:t>
            </w:r>
          </w:p>
        </w:tc>
      </w:tr>
      <w:tr>
        <w:tc>
          <w:tcPr>
            <w:tcW w:type="dxa" w:w="2376"/>
            <w:shd w:fill="E8EEF5"/>
            <w:vAlign w:val="top"/>
          </w:tcPr>
          <w:p>
            <w:pPr>
              <w:spacing w:after="60"/>
            </w:pPr>
            <w:r>
              <w:rPr>
                <w:rFonts w:ascii="Calibri" w:hAnsi="Calibri"/>
                <w:b/>
                <w:color w:val="17324D"/>
                <w:sz w:val="18"/>
              </w:rPr>
              <w:t>POMOĆ</w:t>
            </w:r>
          </w:p>
        </w:tc>
        <w:tc>
          <w:tcPr>
            <w:tcW w:type="dxa" w:w="7200"/>
            <w:vAlign w:val="top"/>
          </w:tcPr>
          <w:p>
            <w:pPr>
              <w:spacing w:after="60"/>
            </w:pPr>
            <w:r>
              <w:rPr>
                <w:rFonts w:ascii="Calibri" w:hAnsi="Calibri"/>
                <w:color w:val="222222"/>
                <w:sz w:val="18"/>
              </w:rPr>
              <w:t>kakva je pomoć potrebna; je li teren teško dostupan</w:t>
            </w:r>
          </w:p>
        </w:tc>
      </w:tr>
      <w:tr>
        <w:tc>
          <w:tcPr>
            <w:tcW w:type="dxa" w:w="2376"/>
            <w:shd w:fill="E8EEF5"/>
            <w:vAlign w:val="top"/>
          </w:tcPr>
          <w:p>
            <w:pPr>
              <w:spacing w:after="60"/>
            </w:pPr>
            <w:r>
              <w:rPr>
                <w:rFonts w:ascii="Calibri" w:hAnsi="Calibri"/>
                <w:b/>
                <w:color w:val="17324D"/>
                <w:sz w:val="18"/>
              </w:rPr>
              <w:t>OPASNOSTI</w:t>
            </w:r>
          </w:p>
        </w:tc>
        <w:tc>
          <w:tcPr>
            <w:tcW w:type="dxa" w:w="7200"/>
            <w:vAlign w:val="top"/>
          </w:tcPr>
          <w:p>
            <w:pPr>
              <w:spacing w:after="60"/>
            </w:pPr>
            <w:r>
              <w:rPr>
                <w:rFonts w:ascii="Calibri" w:hAnsi="Calibri"/>
                <w:color w:val="222222"/>
                <w:sz w:val="18"/>
              </w:rPr>
              <w:t>promet · voda · požar · instalacije · vrijeme · druga prijetnja</w:t>
            </w:r>
          </w:p>
        </w:tc>
      </w:tr>
      <w:tr>
        <w:tc>
          <w:tcPr>
            <w:tcW w:type="dxa" w:w="2376"/>
            <w:shd w:fill="E8EEF5"/>
            <w:vAlign w:val="top"/>
          </w:tcPr>
          <w:p>
            <w:pPr>
              <w:spacing w:after="60"/>
            </w:pPr>
            <w:r>
              <w:rPr>
                <w:rFonts w:ascii="Calibri" w:hAnsi="Calibri"/>
                <w:b/>
                <w:color w:val="17324D"/>
                <w:sz w:val="18"/>
              </w:rPr>
              <w:t>TKO ZOVE</w:t>
            </w:r>
          </w:p>
        </w:tc>
        <w:tc>
          <w:tcPr>
            <w:tcW w:type="dxa" w:w="7200"/>
            <w:vAlign w:val="top"/>
          </w:tcPr>
          <w:p>
            <w:pPr>
              <w:spacing w:after="60"/>
            </w:pPr>
            <w:r>
              <w:rPr>
                <w:rFonts w:ascii="Calibri" w:hAnsi="Calibri"/>
                <w:color w:val="222222"/>
                <w:sz w:val="18"/>
              </w:rPr>
              <w:t>ime, uloga i broj za povratni poziv</w:t>
            </w:r>
          </w:p>
        </w:tc>
      </w:tr>
      <w:tr>
        <w:tc>
          <w:tcPr>
            <w:tcW w:type="dxa" w:w="2376"/>
            <w:shd w:fill="E8EEF5"/>
            <w:vAlign w:val="top"/>
          </w:tcPr>
          <w:p>
            <w:pPr>
              <w:spacing w:after="60"/>
            </w:pPr>
            <w:r>
              <w:rPr>
                <w:rFonts w:ascii="Calibri" w:hAnsi="Calibri"/>
                <w:b/>
                <w:color w:val="17324D"/>
                <w:sz w:val="18"/>
              </w:rPr>
              <w:t>UPUTE</w:t>
            </w:r>
          </w:p>
        </w:tc>
        <w:tc>
          <w:tcPr>
            <w:tcW w:type="dxa" w:w="7200"/>
            <w:vAlign w:val="top"/>
          </w:tcPr>
          <w:p>
            <w:pPr>
              <w:spacing w:after="60"/>
            </w:pPr>
            <w:r>
              <w:rPr>
                <w:rFonts w:ascii="Calibri" w:hAnsi="Calibri"/>
                <w:color w:val="222222"/>
                <w:sz w:val="18"/>
              </w:rPr>
              <w:t>ne prekidati vezu dok operater ne kaže; ponoviti ključnu uputu</w:t>
            </w:r>
          </w:p>
        </w:tc>
      </w:tr>
    </w:tbl>
    <w:p>
      <w:pPr>
        <w:spacing w:after="20"/>
      </w:pPr>
    </w:p>
    <w:p>
      <w:r>
        <w:br w:type="page"/>
      </w:r>
    </w:p>
    <w:p>
      <w:pPr>
        <w:pStyle w:val="Heading1"/>
        <w:keepNext/>
      </w:pPr>
      <w:r>
        <w:t>Simulacija: ozljeda i nestali član</w:t>
      </w:r>
    </w:p>
    <w:p>
      <w:pPr>
        <w:spacing w:before="120" w:after="40"/>
        <w:jc w:val="center"/>
      </w:pPr>
      <w:r>
        <w:drawing>
          <wp:inline xmlns:a="http://schemas.openxmlformats.org/drawingml/2006/main" xmlns:pic="http://schemas.openxmlformats.org/drawingml/2006/picture">
            <wp:extent cx="5852160" cy="2626069"/>
            <wp:docPr id="10" name="Picture 10" descr="Slika 18. Kontrolirani odgovor na nestanak člana skupine." title="Slika 18. Kontrolirani odgovor na nestanak člana skupine."/>
            <wp:cNvGraphicFramePr>
              <a:graphicFrameLocks noChangeAspect="1"/>
            </wp:cNvGraphicFramePr>
            <a:graphic>
              <a:graphicData uri="http://schemas.openxmlformats.org/drawingml/2006/picture">
                <pic:pic>
                  <pic:nvPicPr>
                    <pic:cNvPr id="0" name="10_nestanak.png"/>
                    <pic:cNvPicPr/>
                  </pic:nvPicPr>
                  <pic:blipFill>
                    <a:blip r:embed="rId20"/>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18. Kontrolirani odgovor na nestanak člana skupine.</w:t>
      </w:r>
    </w:p>
    <w:p>
      <w:pPr>
        <w:spacing w:before="0" w:after="160"/>
        <w:jc w:val="center"/>
      </w:pPr>
      <w:r>
        <w:rPr>
          <w:rFonts w:ascii="Calibri" w:hAnsi="Calibri"/>
          <w:color w:val="667085"/>
          <w:sz w:val="16"/>
        </w:rPr>
        <w:t>Izvorna ilustracija; operativni protokol.</w:t>
      </w:r>
    </w:p>
    <w:tbl>
      <w:tblPr>
        <w:tblStyle w:val="TableGrid"/>
        <w:tblW w:type="dxa" w:w="9200"/>
        <w:jc w:val="left"/>
        <w:tblLayout w:type="fixed"/>
        <w:tblLook w:firstColumn="1" w:firstRow="1" w:lastColumn="0" w:lastRow="0" w:noHBand="0" w:noVBand="1" w:val="04A0"/>
        <w:tblInd w:w="120" w:type="dxa"/>
      </w:tblPr>
      <w:tblGrid>
        <w:gridCol w:w="1700"/>
        <w:gridCol w:w="3300"/>
        <w:gridCol w:w="2700"/>
        <w:gridCol w:w="1500"/>
      </w:tblGrid>
      <w:tr>
        <w:trPr>
          <w:tblHeader w:val="true"/>
          <w:cantSplit/>
        </w:trPr>
        <w:tc>
          <w:tcPr>
            <w:tcW w:type="dxa" w:w="1700"/>
            <w:shd w:fill="E8EEF5"/>
            <w:vAlign w:val="center"/>
            <w:tcMar>
              <w:top w:w="80" w:type="dxa"/>
              <w:start w:w="120" w:type="dxa"/>
              <w:bottom w:w="80" w:type="dxa"/>
              <w:end w:w="120" w:type="dxa"/>
            </w:tcMar>
          </w:tcPr>
          <w:p>
            <w:r>
              <w:rPr>
                <w:rFonts w:ascii="Calibri" w:hAnsi="Calibri"/>
                <w:b/>
                <w:color w:val="17324D"/>
                <w:sz w:val="19"/>
              </w:rPr>
              <w:t>Scenarij</w:t>
            </w:r>
          </w:p>
        </w:tc>
        <w:tc>
          <w:tcPr>
            <w:tcW w:type="dxa" w:w="3300"/>
            <w:shd w:fill="E8EEF5"/>
            <w:vAlign w:val="center"/>
            <w:tcMar>
              <w:top w:w="80" w:type="dxa"/>
              <w:start w:w="120" w:type="dxa"/>
              <w:bottom w:w="80" w:type="dxa"/>
              <w:end w:w="120" w:type="dxa"/>
            </w:tcMar>
          </w:tcPr>
          <w:p>
            <w:r>
              <w:rPr>
                <w:rFonts w:ascii="Calibri" w:hAnsi="Calibri"/>
                <w:b/>
                <w:color w:val="17324D"/>
                <w:sz w:val="19"/>
              </w:rPr>
              <w:t>Prvih 60 sekundi</w:t>
            </w:r>
          </w:p>
        </w:tc>
        <w:tc>
          <w:tcPr>
            <w:tcW w:type="dxa" w:w="2700"/>
            <w:shd w:fill="E8EEF5"/>
            <w:vAlign w:val="center"/>
            <w:tcMar>
              <w:top w:w="80" w:type="dxa"/>
              <w:start w:w="120" w:type="dxa"/>
              <w:bottom w:w="80" w:type="dxa"/>
              <w:end w:w="120" w:type="dxa"/>
            </w:tcMar>
          </w:tcPr>
          <w:p>
            <w:r>
              <w:rPr>
                <w:rFonts w:ascii="Calibri" w:hAnsi="Calibri"/>
                <w:b/>
                <w:color w:val="17324D"/>
                <w:sz w:val="19"/>
              </w:rPr>
              <w:t>Ključna predaja</w:t>
            </w:r>
          </w:p>
        </w:tc>
        <w:tc>
          <w:tcPr>
            <w:tcW w:type="dxa" w:w="1500"/>
            <w:shd w:fill="E8EEF5"/>
            <w:vAlign w:val="center"/>
            <w:tcMar>
              <w:top w:w="80" w:type="dxa"/>
              <w:start w:w="120" w:type="dxa"/>
              <w:bottom w:w="80" w:type="dxa"/>
              <w:end w:w="120" w:type="dxa"/>
            </w:tcMar>
          </w:tcPr>
          <w:p>
            <w:r>
              <w:rPr>
                <w:rFonts w:ascii="Calibri" w:hAnsi="Calibri"/>
                <w:b/>
                <w:color w:val="17324D"/>
                <w:sz w:val="19"/>
              </w:rPr>
              <w:t>Pogreška koju treba spriječiti</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ozljeda</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zaustaviti, osigurati mjesto, provjeriti stanje i odrediti nadzor skupine</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112/upravitelj: lokacija, stanje, pristup i dodatne opasnosti</w:t>
            </w:r>
          </w:p>
        </w:tc>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pomicanje osobe ili postupak izvan osposobljenosti</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nestali član</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potvrditi identitet, zaustaviti skupinu, utvrditi zadnje viđenje i pokušati kontakt</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upravitelj/112 prema riziku: opis, vrijeme, mjesto, smjer i kontakt</w:t>
            </w:r>
          </w:p>
        </w:tc>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raspršiti cijelu skupinu u nekontroliranu potragu</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osoba se želi odvojiti</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utvrditi je li riječ o autonomnoj odluci i dogovoriti jasnu predaju odgovornosti</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organizatoru: vrijeme, dogovor i kontakt u skladu s pravilima</w:t>
            </w:r>
          </w:p>
        </w:tc>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prisilno zadržavanje ili nejasan status</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SIGURNOST SIMULACIJE  </w:t>
      </w:r>
      <w:r>
        <w:rPr>
          <w:rFonts w:ascii="Calibri" w:hAnsi="Calibri"/>
          <w:b/>
          <w:color w:val="17324D"/>
          <w:sz w:val="21"/>
        </w:rPr>
        <w:t>Nitko se stvarno ne skriva na rizičnom terenu i ne glumi gubitak svijesti bez neposrednog nadzora instruktora. Broj 112 se ne poziva u vježbi. Poziv se uvježbava kao izgovoreni scenarij prema kartici dojave.</w:t>
      </w:r>
    </w:p>
    <w:p>
      <w:r>
        <w:br w:type="page"/>
      </w:r>
    </w:p>
    <w:p>
      <w:pPr>
        <w:pStyle w:val="Heading1"/>
        <w:keepNext/>
      </w:pPr>
      <w:r>
        <w:t>Simulacija: nagla vremenska promjena i evakuacija</w:t>
      </w:r>
    </w:p>
    <w:tbl>
      <w:tblPr>
        <w:tblStyle w:val="TableGrid"/>
        <w:tblW w:type="dxa" w:w="9200"/>
        <w:jc w:val="left"/>
        <w:tblLayout w:type="fixed"/>
        <w:tblLook w:firstColumn="1" w:firstRow="1" w:lastColumn="0" w:lastRow="0" w:noHBand="0" w:noVBand="1" w:val="04A0"/>
        <w:tblInd w:w="120" w:type="dxa"/>
      </w:tblPr>
      <w:tblGrid>
        <w:gridCol w:w="1400"/>
        <w:gridCol w:w="3900"/>
        <w:gridCol w:w="3900"/>
      </w:tblGrid>
      <w:tr>
        <w:trPr>
          <w:tblHeader w:val="true"/>
          <w:cantSplit/>
        </w:trPr>
        <w:tc>
          <w:tcPr>
            <w:tcW w:type="dxa" w:w="1400"/>
            <w:shd w:fill="E8EEF5"/>
            <w:vAlign w:val="center"/>
            <w:tcMar>
              <w:top w:w="80" w:type="dxa"/>
              <w:start w:w="120" w:type="dxa"/>
              <w:bottom w:w="80" w:type="dxa"/>
              <w:end w:w="120" w:type="dxa"/>
            </w:tcMar>
          </w:tcPr>
          <w:p>
            <w:r>
              <w:rPr>
                <w:rFonts w:ascii="Calibri" w:hAnsi="Calibri"/>
                <w:b/>
                <w:color w:val="17324D"/>
                <w:sz w:val="19"/>
              </w:rPr>
              <w:t>Faza</w:t>
            </w:r>
          </w:p>
        </w:tc>
        <w:tc>
          <w:tcPr>
            <w:tcW w:type="dxa" w:w="3900"/>
            <w:shd w:fill="E8EEF5"/>
            <w:vAlign w:val="center"/>
            <w:tcMar>
              <w:top w:w="80" w:type="dxa"/>
              <w:start w:w="120" w:type="dxa"/>
              <w:bottom w:w="80" w:type="dxa"/>
              <w:end w:w="120" w:type="dxa"/>
            </w:tcMar>
          </w:tcPr>
          <w:p>
            <w:r>
              <w:rPr>
                <w:rFonts w:ascii="Calibri" w:hAnsi="Calibri"/>
                <w:b/>
                <w:color w:val="17324D"/>
                <w:sz w:val="19"/>
              </w:rPr>
              <w:t>Vremenska promjena</w:t>
            </w:r>
          </w:p>
        </w:tc>
        <w:tc>
          <w:tcPr>
            <w:tcW w:type="dxa" w:w="3900"/>
            <w:shd w:fill="E8EEF5"/>
            <w:vAlign w:val="center"/>
            <w:tcMar>
              <w:top w:w="80" w:type="dxa"/>
              <w:start w:w="120" w:type="dxa"/>
              <w:bottom w:w="80" w:type="dxa"/>
              <w:end w:w="120" w:type="dxa"/>
            </w:tcMar>
          </w:tcPr>
          <w:p>
            <w:r>
              <w:rPr>
                <w:rFonts w:ascii="Calibri" w:hAnsi="Calibri"/>
                <w:b/>
                <w:color w:val="17324D"/>
                <w:sz w:val="19"/>
              </w:rPr>
              <w:t>Evakuacija interijera/terena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Signal</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službeno upozorenje, promjena vidljivosti, grmljavina, vjetar, voda ili toplinski stres</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alarm, uputa upravitelja, dim, požar, oštećenje ili druga neposredna opasnost</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Odluka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skratiti, vratiti ili prekinuti prema unaprijed definiranoj granici</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odmah prekinuti sadržaj i slijediti označeni/upravljani put</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Komunikacija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jedna jasna uputa: smjer, tempo, razmak i mjesto okupljanja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bez vraćanja po stvari; pomoć prema dogovorenim ulogama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Kretanje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najsigurnija potvrđena ruta, kontrolne točke i začelje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ne koristiti zabranjeni put; ne blokirati pristup službama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Okupljanje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sigurna točka izvan dodatne opasnosti</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dogovoreno mjesto; brojanje i prijava odstupanja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Predaja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upravitelj/112 prema potrebi; stanje skupine i ruta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službama: broj, nestali/ozlijeđeni, zadnja lokacija i opasnosti</w:t>
            </w:r>
          </w:p>
        </w:tc>
      </w:tr>
    </w:tbl>
    <w:p>
      <w:pPr>
        <w:spacing w:after="20"/>
      </w:pPr>
    </w:p>
    <w:p>
      <w:pPr>
        <w:pStyle w:val="Heading2"/>
        <w:keepNext/>
      </w:pPr>
      <w:r>
        <w:t>Vježba 4 — scenarijska stanica</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Scenarij</w:t>
            </w:r>
          </w:p>
        </w:tc>
        <w:tc>
          <w:tcPr>
            <w:tcW w:type="dxa" w:w="7200"/>
            <w:vAlign w:val="top"/>
          </w:tcPr>
          <w:p>
            <w:pPr>
              <w:spacing w:after="60"/>
            </w:pPr>
            <w:r>
              <w:rPr>
                <w:rFonts w:ascii="Calibri" w:hAnsi="Calibri"/>
                <w:color w:val="222222"/>
                <w:sz w:val="18"/>
              </w:rPr>
              <w:t>ozljeda / nestanak / vrijeme / evakuacija</w:t>
            </w:r>
          </w:p>
        </w:tc>
        <w:trPr>
          <w:tblHeader/>
        </w:trPr>
      </w:tr>
      <w:tr>
        <w:tc>
          <w:tcPr>
            <w:tcW w:type="dxa" w:w="2376"/>
            <w:shd w:fill="E8EEF5"/>
            <w:vAlign w:val="top"/>
          </w:tcPr>
          <w:p>
            <w:pPr>
              <w:spacing w:after="60"/>
            </w:pPr>
            <w:r>
              <w:rPr>
                <w:rFonts w:ascii="Calibri" w:hAnsi="Calibri"/>
                <w:b/>
                <w:color w:val="17324D"/>
                <w:sz w:val="18"/>
              </w:rPr>
              <w:t>Početne činjenice</w:t>
            </w:r>
          </w:p>
        </w:tc>
        <w:tc>
          <w:tcPr>
            <w:tcW w:type="dxa" w:w="7200"/>
            <w:vAlign w:val="top"/>
          </w:tcPr>
          <w:p>
            <w:pPr>
              <w:spacing w:after="60"/>
            </w:pPr>
            <w:r>
              <w:rPr>
                <w:rFonts w:ascii="Calibri" w:hAnsi="Calibri"/>
                <w:color w:val="222222"/>
                <w:sz w:val="18"/>
              </w:rPr>
              <w:t>što kandidat zna; što još mora pitati</w:t>
            </w:r>
          </w:p>
        </w:tc>
      </w:tr>
      <w:tr>
        <w:tc>
          <w:tcPr>
            <w:tcW w:type="dxa" w:w="2376"/>
            <w:shd w:fill="E8EEF5"/>
            <w:vAlign w:val="top"/>
          </w:tcPr>
          <w:p>
            <w:pPr>
              <w:spacing w:after="60"/>
            </w:pPr>
            <w:r>
              <w:rPr>
                <w:rFonts w:ascii="Calibri" w:hAnsi="Calibri"/>
                <w:b/>
                <w:color w:val="17324D"/>
                <w:sz w:val="18"/>
              </w:rPr>
              <w:t>Otežanje</w:t>
            </w:r>
          </w:p>
        </w:tc>
        <w:tc>
          <w:tcPr>
            <w:tcW w:type="dxa" w:w="7200"/>
            <w:vAlign w:val="top"/>
          </w:tcPr>
          <w:p>
            <w:pPr>
              <w:spacing w:after="60"/>
            </w:pPr>
            <w:r>
              <w:rPr>
                <w:rFonts w:ascii="Calibri" w:hAnsi="Calibri"/>
                <w:color w:val="222222"/>
                <w:sz w:val="18"/>
              </w:rPr>
              <w:t>gužva · jezična prepreka · slab signal · emocionalna reakcija</w:t>
            </w:r>
          </w:p>
        </w:tc>
      </w:tr>
      <w:tr>
        <w:tc>
          <w:tcPr>
            <w:tcW w:type="dxa" w:w="2376"/>
            <w:shd w:fill="E8EEF5"/>
            <w:vAlign w:val="top"/>
          </w:tcPr>
          <w:p>
            <w:pPr>
              <w:spacing w:after="60"/>
            </w:pPr>
            <w:r>
              <w:rPr>
                <w:rFonts w:ascii="Calibri" w:hAnsi="Calibri"/>
                <w:b/>
                <w:color w:val="17324D"/>
                <w:sz w:val="18"/>
              </w:rPr>
              <w:t>Očekivane radnje</w:t>
            </w:r>
          </w:p>
        </w:tc>
        <w:tc>
          <w:tcPr>
            <w:tcW w:type="dxa" w:w="7200"/>
            <w:vAlign w:val="top"/>
          </w:tcPr>
          <w:p>
            <w:pPr>
              <w:spacing w:after="60"/>
            </w:pPr>
            <w:r>
              <w:rPr>
                <w:rFonts w:ascii="Calibri" w:hAnsi="Calibri"/>
                <w:color w:val="222222"/>
                <w:sz w:val="18"/>
              </w:rPr>
              <w:t>zaustavljanje · osiguranje · procjena · komunikacija · raspodjela uloga</w:t>
            </w:r>
          </w:p>
        </w:tc>
      </w:tr>
      <w:tr>
        <w:tc>
          <w:tcPr>
            <w:tcW w:type="dxa" w:w="2376"/>
            <w:shd w:fill="E8EEF5"/>
            <w:vAlign w:val="top"/>
          </w:tcPr>
          <w:p>
            <w:pPr>
              <w:spacing w:after="60"/>
            </w:pPr>
            <w:r>
              <w:rPr>
                <w:rFonts w:ascii="Calibri" w:hAnsi="Calibri"/>
                <w:b/>
                <w:color w:val="17324D"/>
                <w:sz w:val="18"/>
              </w:rPr>
              <w:t>Kriterij prekida</w:t>
            </w:r>
          </w:p>
        </w:tc>
        <w:tc>
          <w:tcPr>
            <w:tcW w:type="dxa" w:w="7200"/>
            <w:vAlign w:val="top"/>
          </w:tcPr>
          <w:p>
            <w:pPr>
              <w:spacing w:after="60"/>
            </w:pPr>
            <w:r>
              <w:rPr>
                <w:rFonts w:ascii="Calibri" w:hAnsi="Calibri"/>
                <w:color w:val="222222"/>
                <w:sz w:val="18"/>
              </w:rPr>
              <w:t>sigurnosna riječ · instruktor prekida stvarni rizik ili neprikladnu radnju</w:t>
            </w:r>
          </w:p>
        </w:tc>
      </w:tr>
      <w:tr>
        <w:tc>
          <w:tcPr>
            <w:tcW w:type="dxa" w:w="2376"/>
            <w:shd w:fill="E8EEF5"/>
            <w:vAlign w:val="top"/>
          </w:tcPr>
          <w:p>
            <w:pPr>
              <w:spacing w:after="60"/>
            </w:pPr>
            <w:r>
              <w:rPr>
                <w:rFonts w:ascii="Calibri" w:hAnsi="Calibri"/>
                <w:b/>
                <w:color w:val="17324D"/>
                <w:sz w:val="18"/>
              </w:rPr>
              <w:t>Dokaz</w:t>
            </w:r>
          </w:p>
        </w:tc>
        <w:tc>
          <w:tcPr>
            <w:tcW w:type="dxa" w:w="7200"/>
            <w:vAlign w:val="top"/>
          </w:tcPr>
          <w:p>
            <w:pPr>
              <w:spacing w:after="60"/>
            </w:pPr>
            <w:r>
              <w:rPr>
                <w:rFonts w:ascii="Calibri" w:hAnsi="Calibri"/>
                <w:color w:val="222222"/>
                <w:sz w:val="18"/>
              </w:rPr>
              <w:t>vremenska crta · izgovoreni poziv 112 · incidentni zapis · korektivna mjera</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OCJENJUJE SE  </w:t>
      </w:r>
      <w:r>
        <w:rPr>
          <w:rFonts w:ascii="Calibri" w:hAnsi="Calibri"/>
          <w:b/>
          <w:color w:val="17324D"/>
          <w:sz w:val="21"/>
        </w:rPr>
        <w:t>Prioriteti, jasnoća odluke, lokacijska preciznost, kontrola ostatka skupine, suradnja s upraviteljem/službama i sposobnost razlikovanja činjenice od pretpostavke — ne glumačka uvjerljivost.</w:t>
      </w:r>
    </w:p>
    <w:p>
      <w:r>
        <w:br w:type="page"/>
      </w:r>
    </w:p>
    <w:p>
      <w:r>
        <w:rPr>
          <w:rFonts w:ascii="Calibri" w:hAnsi="Calibri"/>
          <w:b/>
          <w:color w:val="B78727"/>
          <w:sz w:val="48"/>
        </w:rPr>
        <w:t>R6.5</w:t>
      </w:r>
    </w:p>
    <w:p>
      <w:pPr>
        <w:pStyle w:val="Heading1"/>
        <w:spacing w:before="40"/>
      </w:pPr>
      <w:r>
        <w:t>Konflikti, prigovori, debriefing i izvješće</w:t>
      </w:r>
    </w:p>
    <w:tbl>
      <w:tblPr>
        <w:tblStyle w:val="TableGrid"/>
        <w:tblW w:type="dxa" w:w="9200"/>
        <w:jc w:val="left"/>
        <w:tblLayout w:type="fixed"/>
        <w:tblLook w:firstColumn="1" w:firstRow="1" w:lastColumn="0" w:lastRow="0" w:noHBand="0" w:noVBand="1" w:val="04A0"/>
        <w:tblInd w:w="120" w:type="dxa"/>
      </w:tblPr>
      <w:tblGrid>
        <w:gridCol w:w="1100"/>
        <w:gridCol w:w="3000"/>
        <w:gridCol w:w="5100"/>
      </w:tblGrid>
      <w:tr>
        <w:trPr>
          <w:tblHeader w:val="true"/>
          <w:cantSplit/>
        </w:trPr>
        <w:tc>
          <w:tcPr>
            <w:tcW w:type="dxa" w:w="1100"/>
            <w:shd w:fill="E8EEF5"/>
            <w:vAlign w:val="center"/>
            <w:tcMar>
              <w:top w:w="80" w:type="dxa"/>
              <w:start w:w="120" w:type="dxa"/>
              <w:bottom w:w="80" w:type="dxa"/>
              <w:end w:w="120" w:type="dxa"/>
            </w:tcMar>
          </w:tcPr>
          <w:p>
            <w:r>
              <w:rPr>
                <w:rFonts w:ascii="Calibri" w:hAnsi="Calibri"/>
                <w:b/>
                <w:color w:val="17324D"/>
                <w:sz w:val="19"/>
              </w:rPr>
              <w:t>Satnica</w:t>
            </w:r>
          </w:p>
        </w:tc>
        <w:tc>
          <w:tcPr>
            <w:tcW w:type="dxa" w:w="3000"/>
            <w:shd w:fill="E8EEF5"/>
            <w:vAlign w:val="center"/>
            <w:tcMar>
              <w:top w:w="80" w:type="dxa"/>
              <w:start w:w="120" w:type="dxa"/>
              <w:bottom w:w="80" w:type="dxa"/>
              <w:end w:w="120" w:type="dxa"/>
            </w:tcMar>
          </w:tcPr>
          <w:p>
            <w:r>
              <w:rPr>
                <w:rFonts w:ascii="Calibri" w:hAnsi="Calibri"/>
                <w:b/>
                <w:color w:val="17324D"/>
                <w:sz w:val="19"/>
              </w:rPr>
              <w:t>Metoda</w:t>
            </w:r>
          </w:p>
        </w:tc>
        <w:tc>
          <w:tcPr>
            <w:tcW w:type="dxa" w:w="5100"/>
            <w:shd w:fill="E8EEF5"/>
            <w:vAlign w:val="center"/>
            <w:tcMar>
              <w:top w:w="80" w:type="dxa"/>
              <w:start w:w="120" w:type="dxa"/>
              <w:bottom w:w="80" w:type="dxa"/>
              <w:end w:w="120" w:type="dxa"/>
            </w:tcMar>
          </w:tcPr>
          <w:p>
            <w:r>
              <w:rPr>
                <w:rFonts w:ascii="Calibri" w:hAnsi="Calibri"/>
                <w:b/>
                <w:color w:val="17324D"/>
                <w:sz w:val="19"/>
              </w:rPr>
              <w:t>Izlazni dokaz</w:t>
            </w:r>
          </w:p>
        </w:tc>
      </w:tr>
      <w:tr>
        <w:trPr>
          <w:cantSplit/>
        </w:trPr>
        <w:tc>
          <w:tcPr>
            <w:tcW w:type="dxa" w:w="1100"/>
            <w:vAlign w:val="top"/>
            <w:tcMar>
              <w:top w:w="80" w:type="dxa"/>
              <w:start w:w="120" w:type="dxa"/>
              <w:bottom w:w="80" w:type="dxa"/>
              <w:end w:w="120" w:type="dxa"/>
            </w:tcMar>
          </w:tcPr>
          <w:p>
            <w:pPr>
              <w:spacing w:after="40" w:line="259" w:lineRule="auto"/>
            </w:pPr>
            <w:r>
              <w:rPr>
                <w:rFonts w:ascii="Calibri" w:hAnsi="Calibri"/>
                <w:color w:val="222222"/>
                <w:sz w:val="18"/>
              </w:rPr>
              <w:t>4 sata</w:t>
            </w:r>
          </w:p>
        </w:tc>
        <w:tc>
          <w:tcPr>
            <w:tcW w:type="dxa" w:w="3000"/>
            <w:vAlign w:val="top"/>
            <w:tcMar>
              <w:top w:w="80" w:type="dxa"/>
              <w:start w:w="120" w:type="dxa"/>
              <w:bottom w:w="80" w:type="dxa"/>
              <w:end w:w="120" w:type="dxa"/>
            </w:tcMar>
          </w:tcPr>
          <w:p>
            <w:pPr>
              <w:spacing w:after="40" w:line="259" w:lineRule="auto"/>
            </w:pPr>
            <w:r>
              <w:rPr>
                <w:rFonts w:ascii="Calibri" w:hAnsi="Calibri"/>
                <w:color w:val="222222"/>
                <w:sz w:val="18"/>
              </w:rPr>
              <w:t>igranje uloga · radionica</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riješen scenarij + incidentni zapis + korekcija</w:t>
            </w:r>
          </w:p>
        </w:tc>
      </w:tr>
    </w:tbl>
    <w:p>
      <w:pPr>
        <w:spacing w:after="20"/>
      </w:pPr>
    </w:p>
    <w:p>
      <w:pPr>
        <w:widowControl/>
      </w:pPr>
      <w:r>
        <w:t>Prigovor je informacija o raskoraku između očekivanja i iskustva. Konflikt nastaje kada se potrebe, pravila ili ponašanja sudare. Vodič ne mora prihvatiti uvredu, prijetnju ili nesigurno ponašanje, ali mora zadržati miran ton, jasnu granicu i mogućnost uredne predaje organizatoru, upravitelju ili službi.</w:t>
      </w:r>
    </w:p>
    <w:p>
      <w:pPr>
        <w:spacing w:before="120" w:after="40"/>
        <w:jc w:val="center"/>
      </w:pPr>
      <w:r>
        <w:drawing>
          <wp:inline xmlns:a="http://schemas.openxmlformats.org/drawingml/2006/main" xmlns:pic="http://schemas.openxmlformats.org/drawingml/2006/picture">
            <wp:extent cx="5852160" cy="2626069"/>
            <wp:docPr id="11" name="Picture 11" descr="Slika 19. Deeskalacija od saslušanja do potvrđenoga dogovora." title="Slika 19. Deeskalacija od saslušanja do potvrđenoga dogovora."/>
            <wp:cNvGraphicFramePr>
              <a:graphicFrameLocks noChangeAspect="1"/>
            </wp:cNvGraphicFramePr>
            <a:graphic>
              <a:graphicData uri="http://schemas.openxmlformats.org/drawingml/2006/picture">
                <pic:pic>
                  <pic:nvPicPr>
                    <pic:cNvPr id="0" name="11_sukob.png"/>
                    <pic:cNvPicPr/>
                  </pic:nvPicPr>
                  <pic:blipFill>
                    <a:blip r:embed="rId21"/>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19. Deeskalacija od saslušanja do potvrđenoga dogovora.</w:t>
      </w:r>
    </w:p>
    <w:p>
      <w:pPr>
        <w:spacing w:before="0" w:after="160"/>
        <w:jc w:val="center"/>
      </w:pPr>
      <w:r>
        <w:rPr>
          <w:rFonts w:ascii="Calibri" w:hAnsi="Calibri"/>
          <w:color w:val="667085"/>
          <w:sz w:val="16"/>
        </w:rPr>
        <w:t>Izvorna ilustracija; komunikacijski protokol.</w:t>
      </w:r>
    </w:p>
    <w:p>
      <w:pPr>
        <w:pStyle w:val="Heading2"/>
        <w:keepNext/>
      </w:pPr>
      <w:r>
        <w:t>Jezik koji smanjuje napetost</w:t>
      </w:r>
    </w:p>
    <w:tbl>
      <w:tblPr>
        <w:tblStyle w:val="TableGrid"/>
        <w:tblW w:type="dxa" w:w="9200"/>
        <w:jc w:val="left"/>
        <w:tblLayout w:type="fixed"/>
        <w:tblLook w:firstColumn="1" w:firstRow="1" w:lastColumn="0" w:lastRow="0" w:noHBand="0" w:noVBand="1" w:val="04A0"/>
        <w:tblInd w:w="120" w:type="dxa"/>
      </w:tblPr>
      <w:tblGrid>
        <w:gridCol w:w="1600"/>
        <w:gridCol w:w="4850"/>
        <w:gridCol w:w="2750"/>
      </w:tblGrid>
      <w:tr>
        <w:trPr>
          <w:tblHeader w:val="true"/>
          <w:cantSplit/>
        </w:trPr>
        <w:tc>
          <w:tcPr>
            <w:tcW w:type="dxa" w:w="1600"/>
            <w:shd w:fill="E8EEF5"/>
            <w:vAlign w:val="center"/>
            <w:tcMar>
              <w:top w:w="80" w:type="dxa"/>
              <w:start w:w="120" w:type="dxa"/>
              <w:bottom w:w="80" w:type="dxa"/>
              <w:end w:w="120" w:type="dxa"/>
            </w:tcMar>
          </w:tcPr>
          <w:p>
            <w:r>
              <w:rPr>
                <w:rFonts w:ascii="Calibri" w:hAnsi="Calibri"/>
                <w:b/>
                <w:color w:val="17324D"/>
                <w:sz w:val="19"/>
              </w:rPr>
              <w:t>Funkcija</w:t>
            </w:r>
          </w:p>
        </w:tc>
        <w:tc>
          <w:tcPr>
            <w:tcW w:type="dxa" w:w="4850"/>
            <w:shd w:fill="E8EEF5"/>
            <w:vAlign w:val="center"/>
            <w:tcMar>
              <w:top w:w="80" w:type="dxa"/>
              <w:start w:w="120" w:type="dxa"/>
              <w:bottom w:w="80" w:type="dxa"/>
              <w:end w:w="120" w:type="dxa"/>
            </w:tcMar>
          </w:tcPr>
          <w:p>
            <w:r>
              <w:rPr>
                <w:rFonts w:ascii="Calibri" w:hAnsi="Calibri"/>
                <w:b/>
                <w:color w:val="17324D"/>
                <w:sz w:val="19"/>
              </w:rPr>
              <w:t>Primjer formulacije</w:t>
            </w:r>
          </w:p>
        </w:tc>
        <w:tc>
          <w:tcPr>
            <w:tcW w:type="dxa" w:w="2750"/>
            <w:shd w:fill="E8EEF5"/>
            <w:vAlign w:val="center"/>
            <w:tcMar>
              <w:top w:w="80" w:type="dxa"/>
              <w:start w:w="120" w:type="dxa"/>
              <w:bottom w:w="80" w:type="dxa"/>
              <w:end w:w="120" w:type="dxa"/>
            </w:tcMar>
          </w:tcPr>
          <w:p>
            <w:r>
              <w:rPr>
                <w:rFonts w:ascii="Calibri" w:hAnsi="Calibri"/>
                <w:b/>
                <w:color w:val="17324D"/>
                <w:sz w:val="19"/>
              </w:rPr>
              <w:t>Izbjegavati</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priznati iskustvo</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„Čujem da vam ova promjena stvara problem.”</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„Smirite se.” / „Nije to ništa.”</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pojasniti</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„Da provjerim: problem je kašnjenje ili promjena sadržaja?”</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pretpostaviti motiv ili govoriti preko osobe</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objasniti granicu</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„Ne mogu prekršiti pravilo prostora niti nastaviti nesigurnom rutom.”</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pozivati se na autoritet bez objašnjenja</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ponuditi opcije</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„Mogu ponuditi kraću postaju sada ili cjelovit materijal nakon obilaska.”</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obećati naknadu, ulaz ili uslugu bez ovlasti</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potvrditi</w:t>
            </w:r>
          </w:p>
        </w:tc>
        <w:tc>
          <w:tcPr>
            <w:tcW w:type="dxa" w:w="4850"/>
            <w:vAlign w:val="top"/>
            <w:tcMar>
              <w:top w:w="80" w:type="dxa"/>
              <w:start w:w="120" w:type="dxa"/>
              <w:bottom w:w="80" w:type="dxa"/>
              <w:end w:w="120" w:type="dxa"/>
            </w:tcMar>
          </w:tcPr>
          <w:p>
            <w:pPr>
              <w:spacing w:after="40" w:line="259" w:lineRule="auto"/>
            </w:pPr>
            <w:r>
              <w:rPr>
                <w:rFonts w:ascii="Calibri" w:hAnsi="Calibri"/>
                <w:color w:val="222222"/>
                <w:sz w:val="18"/>
              </w:rPr>
              <w:t>„Dogovorili smo X do Y; kontakt je Z.”</w:t>
            </w:r>
          </w:p>
        </w:tc>
        <w:tc>
          <w:tcPr>
            <w:tcW w:type="dxa" w:w="2750"/>
            <w:vAlign w:val="top"/>
            <w:tcMar>
              <w:top w:w="80" w:type="dxa"/>
              <w:start w:w="120" w:type="dxa"/>
              <w:bottom w:w="80" w:type="dxa"/>
              <w:end w:w="120" w:type="dxa"/>
            </w:tcMar>
          </w:tcPr>
          <w:p>
            <w:pPr>
              <w:spacing w:after="40" w:line="259" w:lineRule="auto"/>
            </w:pPr>
            <w:r>
              <w:rPr>
                <w:rFonts w:ascii="Calibri" w:hAnsi="Calibri"/>
                <w:color w:val="222222"/>
                <w:sz w:val="18"/>
              </w:rPr>
              <w:t>završiti bez jasnoga sljedećeg koraka</w:t>
            </w:r>
          </w:p>
        </w:tc>
      </w:tr>
    </w:tbl>
    <w:p>
      <w:pPr>
        <w:spacing w:after="20"/>
      </w:pPr>
    </w:p>
    <w:p>
      <w:r>
        <w:br w:type="page"/>
      </w:r>
    </w:p>
    <w:p>
      <w:pPr>
        <w:pStyle w:val="Heading1"/>
        <w:keepNext/>
      </w:pPr>
      <w:r>
        <w:t>Scenariji prigovora i granice</w:t>
      </w:r>
    </w:p>
    <w:tbl>
      <w:tblPr>
        <w:tblStyle w:val="TableGrid"/>
        <w:tblW w:type="dxa" w:w="9200"/>
        <w:jc w:val="left"/>
        <w:tblLayout w:type="fixed"/>
        <w:tblLook w:firstColumn="1" w:firstRow="1" w:lastColumn="0" w:lastRow="0" w:noHBand="0" w:noVBand="1" w:val="04A0"/>
        <w:tblInd w:w="120" w:type="dxa"/>
      </w:tblPr>
      <w:tblGrid>
        <w:gridCol w:w="1700"/>
        <w:gridCol w:w="2500"/>
        <w:gridCol w:w="3300"/>
        <w:gridCol w:w="1700"/>
      </w:tblGrid>
      <w:tr>
        <w:trPr>
          <w:tblHeader w:val="true"/>
          <w:cantSplit/>
        </w:trPr>
        <w:tc>
          <w:tcPr>
            <w:tcW w:type="dxa" w:w="1700"/>
            <w:shd w:fill="E8EEF5"/>
            <w:vAlign w:val="center"/>
            <w:tcMar>
              <w:top w:w="80" w:type="dxa"/>
              <w:start w:w="120" w:type="dxa"/>
              <w:bottom w:w="80" w:type="dxa"/>
              <w:end w:w="120" w:type="dxa"/>
            </w:tcMar>
          </w:tcPr>
          <w:p>
            <w:r>
              <w:rPr>
                <w:rFonts w:ascii="Calibri" w:hAnsi="Calibri"/>
                <w:b/>
                <w:color w:val="17324D"/>
                <w:sz w:val="19"/>
              </w:rPr>
              <w:t>Scenarij</w:t>
            </w:r>
          </w:p>
        </w:tc>
        <w:tc>
          <w:tcPr>
            <w:tcW w:type="dxa" w:w="2500"/>
            <w:shd w:fill="E8EEF5"/>
            <w:vAlign w:val="center"/>
            <w:tcMar>
              <w:top w:w="80" w:type="dxa"/>
              <w:start w:w="120" w:type="dxa"/>
              <w:bottom w:w="80" w:type="dxa"/>
              <w:end w:w="120" w:type="dxa"/>
            </w:tcMar>
          </w:tcPr>
          <w:p>
            <w:r>
              <w:rPr>
                <w:rFonts w:ascii="Calibri" w:hAnsi="Calibri"/>
                <w:b/>
                <w:color w:val="17324D"/>
                <w:sz w:val="19"/>
              </w:rPr>
              <w:t>Interes / rizik</w:t>
            </w:r>
          </w:p>
        </w:tc>
        <w:tc>
          <w:tcPr>
            <w:tcW w:type="dxa" w:w="3300"/>
            <w:shd w:fill="E8EEF5"/>
            <w:vAlign w:val="center"/>
            <w:tcMar>
              <w:top w:w="80" w:type="dxa"/>
              <w:start w:w="120" w:type="dxa"/>
              <w:bottom w:w="80" w:type="dxa"/>
              <w:end w:w="120" w:type="dxa"/>
            </w:tcMar>
          </w:tcPr>
          <w:p>
            <w:r>
              <w:rPr>
                <w:rFonts w:ascii="Calibri" w:hAnsi="Calibri"/>
                <w:b/>
                <w:color w:val="17324D"/>
                <w:sz w:val="19"/>
              </w:rPr>
              <w:t>Odgovor vodiča</w:t>
            </w:r>
          </w:p>
        </w:tc>
        <w:tc>
          <w:tcPr>
            <w:tcW w:type="dxa" w:w="1700"/>
            <w:shd w:fill="E8EEF5"/>
            <w:vAlign w:val="center"/>
            <w:tcMar>
              <w:top w:w="80" w:type="dxa"/>
              <w:start w:w="120" w:type="dxa"/>
              <w:bottom w:w="80" w:type="dxa"/>
              <w:end w:w="120" w:type="dxa"/>
            </w:tcMar>
          </w:tcPr>
          <w:p>
            <w:r>
              <w:rPr>
                <w:rFonts w:ascii="Calibri" w:hAnsi="Calibri"/>
                <w:b/>
                <w:color w:val="17324D"/>
                <w:sz w:val="19"/>
              </w:rPr>
              <w:t>Kada eskalirati</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kašnjenje i skraćenje</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gubitak plaćenoga sadržaja</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objasniti činjenice, što se čuva i koje su opcije</w:t>
            </w:r>
          </w:p>
        </w:tc>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organizatoru za komercijalnu odluku</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zabrana fotografiranja</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očekivanje gosta nasuprot pravilu</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ponoviti uvjet i ponuditi dopuštenu alternativu</w:t>
            </w:r>
          </w:p>
        </w:tc>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upravitelju kod odbijanja pravila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nedostupan ulaz</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dostojanstvo i ravnopravno sudjelovanje</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aktivirati potvrđenu ekvivalentnu alternativu</w:t>
            </w:r>
          </w:p>
        </w:tc>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organizatoru/upravitelju ako nema održivoga pristupa</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osjetljiv ili uvredljiv komentar</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dostojanstvo osobe/skupine i pijetet</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zaustaviti govor, imenovati granicu i vratiti fokus</w:t>
            </w:r>
          </w:p>
        </w:tc>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organizatoru/upravitelju; službama kod prijetnje</w:t>
            </w:r>
          </w:p>
        </w:tc>
      </w:tr>
      <w:tr>
        <w:trPr>
          <w:cantSplit/>
        </w:trPr>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nesigurno ponašanje</w:t>
            </w:r>
          </w:p>
        </w:tc>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opasnost za osobu, skupinu ili baštinu</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jedna jasna uputa i posljedica: prekid/izdvajanje prema ovlasti</w:t>
            </w:r>
          </w:p>
        </w:tc>
        <w:tc>
          <w:tcPr>
            <w:tcW w:type="dxa" w:w="1700"/>
            <w:vAlign w:val="top"/>
            <w:tcMar>
              <w:top w:w="80" w:type="dxa"/>
              <w:start w:w="120" w:type="dxa"/>
              <w:bottom w:w="80" w:type="dxa"/>
              <w:end w:w="120" w:type="dxa"/>
            </w:tcMar>
          </w:tcPr>
          <w:p>
            <w:pPr>
              <w:spacing w:after="40" w:line="259" w:lineRule="auto"/>
            </w:pPr>
            <w:r>
              <w:rPr>
                <w:rFonts w:ascii="Calibri" w:hAnsi="Calibri"/>
                <w:color w:val="222222"/>
                <w:sz w:val="18"/>
              </w:rPr>
              <w:t>upravitelju ili 112/policiji kod neposredne opasnosti</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VJEŽBA 5A  </w:t>
      </w:r>
      <w:r>
        <w:rPr>
          <w:rFonts w:ascii="Calibri" w:hAnsi="Calibri"/>
          <w:b/>
          <w:color w:val="17324D"/>
          <w:sz w:val="21"/>
        </w:rPr>
        <w:t>U trojkama se igraju uloge gosta, vodiča i opažača. Gost dobiva potrebu i granicu koju ne smije prijeći; vodič smije ponuditi samo realne opcije; opažač bilježi jezik, ton, sigurnost, jasnoću ovlasti i potvrdu dogovora.</w:t>
      </w:r>
    </w:p>
    <w:p>
      <w:r>
        <w:br w:type="page"/>
      </w:r>
    </w:p>
    <w:p>
      <w:pPr>
        <w:pStyle w:val="Heading1"/>
        <w:keepNext/>
      </w:pPr>
      <w:r>
        <w:t>Izvješće o incidentu</w:t>
      </w:r>
    </w:p>
    <w:p>
      <w:pPr>
        <w:spacing w:before="120" w:after="40"/>
        <w:jc w:val="center"/>
      </w:pPr>
      <w:r>
        <w:drawing>
          <wp:inline xmlns:a="http://schemas.openxmlformats.org/drawingml/2006/main" xmlns:pic="http://schemas.openxmlformats.org/drawingml/2006/picture">
            <wp:extent cx="5852160" cy="2626069"/>
            <wp:docPr id="12" name="Picture 12" descr="Slika 20. Zatvaranje incidenta kroz zapis, debrief i korektivnu mjeru." title="Slika 20. Zatvaranje incidenta kroz zapis, debrief i korektivnu mjeru."/>
            <wp:cNvGraphicFramePr>
              <a:graphicFrameLocks noChangeAspect="1"/>
            </wp:cNvGraphicFramePr>
            <a:graphic>
              <a:graphicData uri="http://schemas.openxmlformats.org/drawingml/2006/picture">
                <pic:pic>
                  <pic:nvPicPr>
                    <pic:cNvPr id="0" name="12_incident.png"/>
                    <pic:cNvPicPr/>
                  </pic:nvPicPr>
                  <pic:blipFill>
                    <a:blip r:embed="rId22"/>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20. Zatvaranje incidenta kroz zapis, debrief i korektivnu mjeru.</w:t>
      </w:r>
    </w:p>
    <w:p>
      <w:pPr>
        <w:spacing w:before="0" w:after="160"/>
        <w:jc w:val="center"/>
      </w:pPr>
      <w:r>
        <w:rPr>
          <w:rFonts w:ascii="Calibri" w:hAnsi="Calibri"/>
          <w:color w:val="667085"/>
          <w:sz w:val="16"/>
        </w:rPr>
        <w:t>Izvorna ilustracija; ciklus učenja.</w:t>
      </w:r>
    </w:p>
    <w:p>
      <w:pPr>
        <w:spacing w:before="120" w:after="160" w:line="283" w:lineRule="auto"/>
        <w:ind w:left="202" w:right="115"/>
        <w:shd w:fill="FBF5E8"/>
        <w:pBdr>
          <w:left w:val="single" w:sz="18" w:space="8" w:color="B78727"/>
        </w:pBdr>
      </w:pPr>
      <w:r>
        <w:rPr>
          <w:rFonts w:ascii="Calibri" w:hAnsi="Calibri"/>
          <w:b/>
          <w:color w:val="B78727"/>
          <w:sz w:val="19"/>
        </w:rPr>
        <w:t xml:space="preserve">NAČELO ZAPISA  </w:t>
      </w:r>
      <w:r>
        <w:rPr>
          <w:rFonts w:ascii="Calibri" w:hAnsi="Calibri"/>
          <w:b/>
          <w:color w:val="17324D"/>
          <w:sz w:val="21"/>
        </w:rPr>
        <w:t>Bilježite opažene činjenice, vremena, odluke, radnje i predaju. Ne postavljajte dijagnoze, ne pripisujte krivnju i ne unosite osobne podatke koji nisu potrebni svrsi izvješća.</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Identitet zapisa</w:t>
            </w:r>
          </w:p>
        </w:tc>
        <w:tc>
          <w:tcPr>
            <w:tcW w:type="dxa" w:w="7200"/>
            <w:vAlign w:val="top"/>
          </w:tcPr>
          <w:p>
            <w:pPr>
              <w:spacing w:after="60"/>
            </w:pPr>
            <w:r>
              <w:rPr>
                <w:rFonts w:ascii="Calibri" w:hAnsi="Calibri"/>
                <w:color w:val="222222"/>
                <w:sz w:val="18"/>
              </w:rPr>
              <w:t>broj predmeta · datum · autor · verzija · razina povjerljivosti</w:t>
            </w:r>
          </w:p>
        </w:tc>
        <w:trPr>
          <w:tblHeader/>
        </w:trPr>
      </w:tr>
      <w:tr>
        <w:tc>
          <w:tcPr>
            <w:tcW w:type="dxa" w:w="2376"/>
            <w:shd w:fill="E8EEF5"/>
            <w:vAlign w:val="top"/>
          </w:tcPr>
          <w:p>
            <w:pPr>
              <w:spacing w:after="60"/>
            </w:pPr>
            <w:r>
              <w:rPr>
                <w:rFonts w:ascii="Calibri" w:hAnsi="Calibri"/>
                <w:b/>
                <w:color w:val="17324D"/>
                <w:sz w:val="18"/>
              </w:rPr>
              <w:t>Događaj</w:t>
            </w:r>
          </w:p>
        </w:tc>
        <w:tc>
          <w:tcPr>
            <w:tcW w:type="dxa" w:w="7200"/>
            <w:vAlign w:val="top"/>
          </w:tcPr>
          <w:p>
            <w:pPr>
              <w:spacing w:after="60"/>
            </w:pPr>
            <w:r>
              <w:rPr>
                <w:rFonts w:ascii="Calibri" w:hAnsi="Calibri"/>
                <w:color w:val="222222"/>
                <w:sz w:val="18"/>
              </w:rPr>
              <w:t>datum i vrijeme · točna lokacija · vrsta događaja</w:t>
            </w:r>
          </w:p>
        </w:tc>
      </w:tr>
      <w:tr>
        <w:tc>
          <w:tcPr>
            <w:tcW w:type="dxa" w:w="2376"/>
            <w:shd w:fill="E8EEF5"/>
            <w:vAlign w:val="top"/>
          </w:tcPr>
          <w:p>
            <w:pPr>
              <w:spacing w:after="60"/>
            </w:pPr>
            <w:r>
              <w:rPr>
                <w:rFonts w:ascii="Calibri" w:hAnsi="Calibri"/>
                <w:b/>
                <w:color w:val="17324D"/>
                <w:sz w:val="18"/>
              </w:rPr>
              <w:t>Činjenice</w:t>
            </w:r>
          </w:p>
        </w:tc>
        <w:tc>
          <w:tcPr>
            <w:tcW w:type="dxa" w:w="7200"/>
            <w:vAlign w:val="top"/>
          </w:tcPr>
          <w:p>
            <w:pPr>
              <w:spacing w:after="60"/>
            </w:pPr>
            <w:r>
              <w:rPr>
                <w:rFonts w:ascii="Calibri" w:hAnsi="Calibri"/>
                <w:color w:val="222222"/>
                <w:sz w:val="18"/>
              </w:rPr>
              <w:t>što je neposredno opaženo ili pouzdano prijavljeno; označiti izvor</w:t>
            </w:r>
          </w:p>
        </w:tc>
      </w:tr>
      <w:tr>
        <w:tc>
          <w:tcPr>
            <w:tcW w:type="dxa" w:w="2376"/>
            <w:shd w:fill="E8EEF5"/>
            <w:vAlign w:val="top"/>
          </w:tcPr>
          <w:p>
            <w:pPr>
              <w:spacing w:after="60"/>
            </w:pPr>
            <w:r>
              <w:rPr>
                <w:rFonts w:ascii="Calibri" w:hAnsi="Calibri"/>
                <w:b/>
                <w:color w:val="17324D"/>
                <w:sz w:val="18"/>
              </w:rPr>
              <w:t>Osobe</w:t>
            </w:r>
          </w:p>
        </w:tc>
        <w:tc>
          <w:tcPr>
            <w:tcW w:type="dxa" w:w="7200"/>
            <w:vAlign w:val="top"/>
          </w:tcPr>
          <w:p>
            <w:pPr>
              <w:spacing w:after="60"/>
            </w:pPr>
            <w:r>
              <w:rPr>
                <w:rFonts w:ascii="Calibri" w:hAnsi="Calibri"/>
                <w:color w:val="222222"/>
                <w:sz w:val="18"/>
              </w:rPr>
              <w:t>uloge i nužni identifikatori; izbjegavati nepotrebne osjetljive podatke</w:t>
            </w:r>
          </w:p>
        </w:tc>
      </w:tr>
      <w:tr>
        <w:tc>
          <w:tcPr>
            <w:tcW w:type="dxa" w:w="2376"/>
            <w:shd w:fill="E8EEF5"/>
            <w:vAlign w:val="top"/>
          </w:tcPr>
          <w:p>
            <w:pPr>
              <w:spacing w:after="60"/>
            </w:pPr>
            <w:r>
              <w:rPr>
                <w:rFonts w:ascii="Calibri" w:hAnsi="Calibri"/>
                <w:b/>
                <w:color w:val="17324D"/>
                <w:sz w:val="18"/>
              </w:rPr>
              <w:t>Radnje</w:t>
            </w:r>
          </w:p>
        </w:tc>
        <w:tc>
          <w:tcPr>
            <w:tcW w:type="dxa" w:w="7200"/>
            <w:vAlign w:val="top"/>
          </w:tcPr>
          <w:p>
            <w:pPr>
              <w:spacing w:after="60"/>
            </w:pPr>
            <w:r>
              <w:rPr>
                <w:rFonts w:ascii="Calibri" w:hAnsi="Calibri"/>
                <w:color w:val="222222"/>
                <w:sz w:val="18"/>
              </w:rPr>
              <w:t>tko je što učinio i kada; komunikacija s upraviteljem/112/službom</w:t>
            </w:r>
          </w:p>
        </w:tc>
      </w:tr>
      <w:tr>
        <w:tc>
          <w:tcPr>
            <w:tcW w:type="dxa" w:w="2376"/>
            <w:shd w:fill="E8EEF5"/>
            <w:vAlign w:val="top"/>
          </w:tcPr>
          <w:p>
            <w:pPr>
              <w:spacing w:after="60"/>
            </w:pPr>
            <w:r>
              <w:rPr>
                <w:rFonts w:ascii="Calibri" w:hAnsi="Calibri"/>
                <w:b/>
                <w:color w:val="17324D"/>
                <w:sz w:val="18"/>
              </w:rPr>
              <w:t>Predaja</w:t>
            </w:r>
          </w:p>
        </w:tc>
        <w:tc>
          <w:tcPr>
            <w:tcW w:type="dxa" w:w="7200"/>
            <w:vAlign w:val="top"/>
          </w:tcPr>
          <w:p>
            <w:pPr>
              <w:spacing w:after="60"/>
            </w:pPr>
            <w:r>
              <w:rPr>
                <w:rFonts w:ascii="Calibri" w:hAnsi="Calibri"/>
                <w:color w:val="222222"/>
                <w:sz w:val="18"/>
              </w:rPr>
              <w:t>kojoj osobi ili službi, kada i s kojim informacijama</w:t>
            </w:r>
          </w:p>
        </w:tc>
      </w:tr>
      <w:tr>
        <w:tc>
          <w:tcPr>
            <w:tcW w:type="dxa" w:w="2376"/>
            <w:shd w:fill="E8EEF5"/>
            <w:vAlign w:val="top"/>
          </w:tcPr>
          <w:p>
            <w:pPr>
              <w:spacing w:after="60"/>
            </w:pPr>
            <w:r>
              <w:rPr>
                <w:rFonts w:ascii="Calibri" w:hAnsi="Calibri"/>
                <w:b/>
                <w:color w:val="17324D"/>
                <w:sz w:val="18"/>
              </w:rPr>
              <w:t>Ishod</w:t>
            </w:r>
          </w:p>
        </w:tc>
        <w:tc>
          <w:tcPr>
            <w:tcW w:type="dxa" w:w="7200"/>
            <w:vAlign w:val="top"/>
          </w:tcPr>
          <w:p>
            <w:pPr>
              <w:spacing w:after="60"/>
            </w:pPr>
            <w:r>
              <w:rPr>
                <w:rFonts w:ascii="Calibri" w:hAnsi="Calibri"/>
                <w:color w:val="222222"/>
                <w:sz w:val="18"/>
              </w:rPr>
              <w:t>stanje skupine i programa u trenutku zatvaranja vodičeve radnje</w:t>
            </w:r>
          </w:p>
        </w:tc>
      </w:tr>
      <w:tr>
        <w:tc>
          <w:tcPr>
            <w:tcW w:type="dxa" w:w="2376"/>
            <w:shd w:fill="E8EEF5"/>
            <w:vAlign w:val="top"/>
          </w:tcPr>
          <w:p>
            <w:pPr>
              <w:spacing w:after="60"/>
            </w:pPr>
            <w:r>
              <w:rPr>
                <w:rFonts w:ascii="Calibri" w:hAnsi="Calibri"/>
                <w:b/>
                <w:color w:val="17324D"/>
                <w:sz w:val="18"/>
              </w:rPr>
              <w:t>Dokazi</w:t>
            </w:r>
          </w:p>
        </w:tc>
        <w:tc>
          <w:tcPr>
            <w:tcW w:type="dxa" w:w="7200"/>
            <w:vAlign w:val="top"/>
          </w:tcPr>
          <w:p>
            <w:pPr>
              <w:spacing w:after="60"/>
            </w:pPr>
            <w:r>
              <w:rPr>
                <w:rFonts w:ascii="Calibri" w:hAnsi="Calibri"/>
                <w:color w:val="222222"/>
                <w:sz w:val="18"/>
              </w:rPr>
              <w:t>fotografija samo ako je dopuštena i potrebna · poruka · zapis vremena</w:t>
            </w:r>
          </w:p>
        </w:tc>
      </w:tr>
      <w:tr>
        <w:tc>
          <w:tcPr>
            <w:tcW w:type="dxa" w:w="2376"/>
            <w:shd w:fill="E8EEF5"/>
            <w:vAlign w:val="top"/>
          </w:tcPr>
          <w:p>
            <w:pPr>
              <w:spacing w:after="60"/>
            </w:pPr>
            <w:r>
              <w:rPr>
                <w:rFonts w:ascii="Calibri" w:hAnsi="Calibri"/>
                <w:b/>
                <w:color w:val="17324D"/>
                <w:sz w:val="18"/>
              </w:rPr>
              <w:t>Otvorene radnje</w:t>
            </w:r>
          </w:p>
        </w:tc>
        <w:tc>
          <w:tcPr>
            <w:tcW w:type="dxa" w:w="7200"/>
            <w:vAlign w:val="top"/>
          </w:tcPr>
          <w:p>
            <w:pPr>
              <w:spacing w:after="60"/>
            </w:pPr>
            <w:r>
              <w:rPr>
                <w:rFonts w:ascii="Calibri" w:hAnsi="Calibri"/>
                <w:color w:val="222222"/>
                <w:sz w:val="18"/>
              </w:rPr>
              <w:t>tko obavještava · kome · do kada · što se ne zna</w:t>
            </w:r>
          </w:p>
        </w:tc>
      </w:tr>
      <w:tr>
        <w:tc>
          <w:tcPr>
            <w:tcW w:type="dxa" w:w="2376"/>
            <w:shd w:fill="E8EEF5"/>
            <w:vAlign w:val="top"/>
          </w:tcPr>
          <w:p>
            <w:pPr>
              <w:spacing w:after="60"/>
            </w:pPr>
            <w:r>
              <w:rPr>
                <w:rFonts w:ascii="Calibri" w:hAnsi="Calibri"/>
                <w:b/>
                <w:color w:val="17324D"/>
                <w:sz w:val="18"/>
              </w:rPr>
              <w:t>Korekcija</w:t>
            </w:r>
          </w:p>
        </w:tc>
        <w:tc>
          <w:tcPr>
            <w:tcW w:type="dxa" w:w="7200"/>
            <w:vAlign w:val="top"/>
          </w:tcPr>
          <w:p>
            <w:pPr>
              <w:spacing w:after="60"/>
            </w:pPr>
            <w:r>
              <w:rPr>
                <w:rFonts w:ascii="Calibri" w:hAnsi="Calibri"/>
                <w:color w:val="222222"/>
                <w:sz w:val="18"/>
              </w:rPr>
              <w:t>izmjena plana, uloge, opreme, briefinga ili suradnje</w:t>
            </w:r>
          </w:p>
        </w:tc>
      </w:tr>
    </w:tbl>
    <w:p>
      <w:pPr>
        <w:spacing w:after="20"/>
      </w:pPr>
    </w:p>
    <w:p>
      <w:r>
        <w:br w:type="page"/>
      </w:r>
    </w:p>
    <w:p>
      <w:pPr>
        <w:pStyle w:val="Heading1"/>
        <w:keepNext/>
      </w:pPr>
      <w:r>
        <w:t>Debriefing nakon vježbe ili incidenta</w:t>
      </w:r>
    </w:p>
    <w:p>
      <w:pPr>
        <w:widowControl/>
      </w:pPr>
      <w:r>
        <w:t>Debrief se provodi tek kada su ljudi sigurni i operativne obveze završene. Nije javno traženje krivca. Cilj je rekonstruirati odluke, prepoznati što je djelovalo, zatvoriti informacijske praznine i pretvoriti pouku u vlasnički zadatak s rokom.</w:t>
      </w:r>
    </w:p>
    <w:tbl>
      <w:tblPr>
        <w:tblStyle w:val="TableGrid"/>
        <w:tblW w:type="dxa" w:w="9200"/>
        <w:jc w:val="left"/>
        <w:tblLayout w:type="fixed"/>
        <w:tblLook w:firstColumn="1" w:firstRow="1" w:lastColumn="0" w:lastRow="0" w:noHBand="0" w:noVBand="1" w:val="04A0"/>
        <w:tblInd w:w="120" w:type="dxa"/>
      </w:tblPr>
      <w:tblGrid>
        <w:gridCol w:w="1400"/>
        <w:gridCol w:w="5100"/>
        <w:gridCol w:w="2700"/>
      </w:tblGrid>
      <w:tr>
        <w:trPr>
          <w:tblHeader w:val="true"/>
          <w:cantSplit/>
        </w:trPr>
        <w:tc>
          <w:tcPr>
            <w:tcW w:type="dxa" w:w="1400"/>
            <w:shd w:fill="E8EEF5"/>
            <w:vAlign w:val="center"/>
            <w:tcMar>
              <w:top w:w="80" w:type="dxa"/>
              <w:start w:w="120" w:type="dxa"/>
              <w:bottom w:w="80" w:type="dxa"/>
              <w:end w:w="120" w:type="dxa"/>
            </w:tcMar>
          </w:tcPr>
          <w:p>
            <w:r>
              <w:rPr>
                <w:rFonts w:ascii="Calibri" w:hAnsi="Calibri"/>
                <w:b/>
                <w:color w:val="17324D"/>
                <w:sz w:val="19"/>
              </w:rPr>
              <w:t>Faza</w:t>
            </w:r>
          </w:p>
        </w:tc>
        <w:tc>
          <w:tcPr>
            <w:tcW w:type="dxa" w:w="5100"/>
            <w:shd w:fill="E8EEF5"/>
            <w:vAlign w:val="center"/>
            <w:tcMar>
              <w:top w:w="80" w:type="dxa"/>
              <w:start w:w="120" w:type="dxa"/>
              <w:bottom w:w="80" w:type="dxa"/>
              <w:end w:w="120" w:type="dxa"/>
            </w:tcMar>
          </w:tcPr>
          <w:p>
            <w:r>
              <w:rPr>
                <w:rFonts w:ascii="Calibri" w:hAnsi="Calibri"/>
                <w:b/>
                <w:color w:val="17324D"/>
                <w:sz w:val="19"/>
              </w:rPr>
              <w:t>Pitanje</w:t>
            </w:r>
          </w:p>
        </w:tc>
        <w:tc>
          <w:tcPr>
            <w:tcW w:type="dxa" w:w="2700"/>
            <w:shd w:fill="E8EEF5"/>
            <w:vAlign w:val="center"/>
            <w:tcMar>
              <w:top w:w="80" w:type="dxa"/>
              <w:start w:w="120" w:type="dxa"/>
              <w:bottom w:w="80" w:type="dxa"/>
              <w:end w:w="120" w:type="dxa"/>
            </w:tcMar>
          </w:tcPr>
          <w:p>
            <w:r>
              <w:rPr>
                <w:rFonts w:ascii="Calibri" w:hAnsi="Calibri"/>
                <w:b/>
                <w:color w:val="17324D"/>
                <w:sz w:val="19"/>
              </w:rPr>
              <w:t>Dokaz / izlaz</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1 · Činjenice</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Što se dogodilo, kojim redoslijedom i što znamo pouzdano?</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zajednička vremenska crta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2 · Odluke</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Koje su odluke donesene, na temelju kojih podataka i tko ih je priopćio?</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odluka + razlog + vrijeme</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3 · Učinci</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Što je zaštitilo ljude i prostor; što je otežalo odgovor?</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djelotvorne i slabe mjere</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4 · Perspektive</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Kako su događaj doživjeli gost, vodič, asistent, upravitelj i organizator?</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razlike bez preglasavanja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5 · Korekcija</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Što mijenjamo prije sljedeće izvedbe?</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vlasnik + rok + verzija plana</w:t>
            </w:r>
          </w:p>
        </w:tc>
      </w:tr>
      <w:tr>
        <w:trPr>
          <w:cantSplit/>
        </w:trPr>
        <w:tc>
          <w:tcPr>
            <w:tcW w:type="dxa" w:w="1400"/>
            <w:vAlign w:val="top"/>
            <w:tcMar>
              <w:top w:w="80" w:type="dxa"/>
              <w:start w:w="120" w:type="dxa"/>
              <w:bottom w:w="80" w:type="dxa"/>
              <w:end w:w="120" w:type="dxa"/>
            </w:tcMar>
          </w:tcPr>
          <w:p>
            <w:pPr>
              <w:spacing w:after="40" w:line="259" w:lineRule="auto"/>
            </w:pPr>
            <w:r>
              <w:rPr>
                <w:rFonts w:ascii="Calibri" w:hAnsi="Calibri"/>
                <w:color w:val="222222"/>
                <w:sz w:val="18"/>
              </w:rPr>
              <w:t>6 · Zatvaranje</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Kome se još izvještava i kako se čuvaju podaci?</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potvrđena predaja i pohrana</w:t>
            </w:r>
          </w:p>
        </w:tc>
      </w:tr>
    </w:tbl>
    <w:p>
      <w:pPr>
        <w:spacing w:after="20"/>
      </w:pPr>
    </w:p>
    <w:p>
      <w:pPr>
        <w:pStyle w:val="Heading2"/>
        <w:keepNext/>
      </w:pPr>
      <w:r>
        <w:t>Vježba 5B</w:t>
      </w:r>
    </w:p>
    <w:tbl>
      <w:tblPr>
        <w:tblStyle w:val="TableGrid"/>
        <w:tblW w:type="auto" w:w="0"/>
        <w:tblLayout w:type="fixed"/>
        <w:tblLook w:firstColumn="1" w:firstRow="1" w:lastColumn="0" w:lastRow="0" w:noHBand="0" w:noVBand="1" w:val="04A0"/>
      </w:tblPr>
      <w:tblGrid>
        <w:gridCol w:w="4939"/>
        <w:gridCol w:w="4939"/>
      </w:tblGrid>
      <w:tr>
        <w:tc>
          <w:tcPr>
            <w:tcW w:type="dxa" w:w="2376"/>
            <w:shd w:fill="E8EEF5"/>
            <w:vAlign w:val="top"/>
          </w:tcPr>
          <w:p>
            <w:pPr>
              <w:spacing w:after="60"/>
            </w:pPr>
            <w:r>
              <w:rPr>
                <w:rFonts w:ascii="Calibri" w:hAnsi="Calibri"/>
                <w:b/>
                <w:color w:val="17324D"/>
                <w:sz w:val="18"/>
              </w:rPr>
              <w:t>Jedna dobra odluka</w:t>
            </w:r>
          </w:p>
        </w:tc>
        <w:tc>
          <w:tcPr>
            <w:tcW w:type="dxa" w:w="7200"/>
            <w:vAlign w:val="top"/>
          </w:tcPr>
          <w:p>
            <w:pPr>
              <w:spacing w:after="60"/>
            </w:pPr>
            <w:r>
              <w:rPr>
                <w:rFonts w:ascii="Calibri" w:hAnsi="Calibri"/>
                <w:color w:val="222222"/>
                <w:sz w:val="18"/>
              </w:rPr>
              <w:t>što je bilo dobro i koji je dokaz</w:t>
            </w:r>
          </w:p>
        </w:tc>
        <w:trPr>
          <w:tblHeader/>
        </w:trPr>
      </w:tr>
      <w:tr>
        <w:tc>
          <w:tcPr>
            <w:tcW w:type="dxa" w:w="2376"/>
            <w:shd w:fill="E8EEF5"/>
            <w:vAlign w:val="top"/>
          </w:tcPr>
          <w:p>
            <w:pPr>
              <w:spacing w:after="60"/>
            </w:pPr>
            <w:r>
              <w:rPr>
                <w:rFonts w:ascii="Calibri" w:hAnsi="Calibri"/>
                <w:b/>
                <w:color w:val="17324D"/>
                <w:sz w:val="18"/>
              </w:rPr>
              <w:t>Jedna zakašnjela odluka</w:t>
            </w:r>
          </w:p>
        </w:tc>
        <w:tc>
          <w:tcPr>
            <w:tcW w:type="dxa" w:w="7200"/>
            <w:vAlign w:val="top"/>
          </w:tcPr>
          <w:p>
            <w:pPr>
              <w:spacing w:after="60"/>
            </w:pPr>
            <w:r>
              <w:rPr>
                <w:rFonts w:ascii="Calibri" w:hAnsi="Calibri"/>
                <w:color w:val="222222"/>
                <w:sz w:val="18"/>
              </w:rPr>
              <w:t>koji je signal bio vidljiv ranije</w:t>
            </w:r>
          </w:p>
        </w:tc>
      </w:tr>
      <w:tr>
        <w:tc>
          <w:tcPr>
            <w:tcW w:type="dxa" w:w="2376"/>
            <w:shd w:fill="E8EEF5"/>
            <w:vAlign w:val="top"/>
          </w:tcPr>
          <w:p>
            <w:pPr>
              <w:spacing w:after="60"/>
            </w:pPr>
            <w:r>
              <w:rPr>
                <w:rFonts w:ascii="Calibri" w:hAnsi="Calibri"/>
                <w:b/>
                <w:color w:val="17324D"/>
                <w:sz w:val="18"/>
              </w:rPr>
              <w:t>Jedna komunikacijska pogreška</w:t>
            </w:r>
          </w:p>
        </w:tc>
        <w:tc>
          <w:tcPr>
            <w:tcW w:type="dxa" w:w="7200"/>
            <w:vAlign w:val="top"/>
          </w:tcPr>
          <w:p>
            <w:pPr>
              <w:spacing w:after="60"/>
            </w:pPr>
            <w:r>
              <w:rPr>
                <w:rFonts w:ascii="Calibri" w:hAnsi="Calibri"/>
                <w:color w:val="222222"/>
                <w:sz w:val="18"/>
              </w:rPr>
              <w:t>što je osoba čula i što je trebalo reći</w:t>
            </w:r>
          </w:p>
        </w:tc>
      </w:tr>
      <w:tr>
        <w:tc>
          <w:tcPr>
            <w:tcW w:type="dxa" w:w="2376"/>
            <w:shd w:fill="E8EEF5"/>
            <w:vAlign w:val="top"/>
          </w:tcPr>
          <w:p>
            <w:pPr>
              <w:spacing w:after="60"/>
            </w:pPr>
            <w:r>
              <w:rPr>
                <w:rFonts w:ascii="Calibri" w:hAnsi="Calibri"/>
                <w:b/>
                <w:color w:val="17324D"/>
                <w:sz w:val="18"/>
              </w:rPr>
              <w:t>Jedna sistemska korekcija</w:t>
            </w:r>
          </w:p>
        </w:tc>
        <w:tc>
          <w:tcPr>
            <w:tcW w:type="dxa" w:w="7200"/>
            <w:vAlign w:val="top"/>
          </w:tcPr>
          <w:p>
            <w:pPr>
              <w:spacing w:after="60"/>
            </w:pPr>
            <w:r>
              <w:rPr>
                <w:rFonts w:ascii="Calibri" w:hAnsi="Calibri"/>
                <w:color w:val="222222"/>
                <w:sz w:val="18"/>
              </w:rPr>
              <w:t>plan · uloga · dopuštenje · oprema · obuka</w:t>
            </w:r>
          </w:p>
        </w:tc>
      </w:tr>
      <w:tr>
        <w:tc>
          <w:tcPr>
            <w:tcW w:type="dxa" w:w="2376"/>
            <w:shd w:fill="E8EEF5"/>
            <w:vAlign w:val="top"/>
          </w:tcPr>
          <w:p>
            <w:pPr>
              <w:spacing w:after="60"/>
            </w:pPr>
            <w:r>
              <w:rPr>
                <w:rFonts w:ascii="Calibri" w:hAnsi="Calibri"/>
                <w:b/>
                <w:color w:val="17324D"/>
                <w:sz w:val="18"/>
              </w:rPr>
              <w:t>Vlasnik i rok</w:t>
            </w:r>
          </w:p>
        </w:tc>
        <w:tc>
          <w:tcPr>
            <w:tcW w:type="dxa" w:w="7200"/>
            <w:vAlign w:val="top"/>
          </w:tcPr>
          <w:p>
            <w:pPr>
              <w:spacing w:after="60"/>
            </w:pPr>
            <w:r>
              <w:rPr>
                <w:rFonts w:ascii="Calibri" w:hAnsi="Calibri"/>
                <w:color w:val="222222"/>
                <w:sz w:val="18"/>
              </w:rPr>
              <w:t>tko zatvara korekciju i kako se potvrđuje</w:t>
            </w:r>
          </w:p>
        </w:tc>
      </w:tr>
    </w:tbl>
    <w:p>
      <w:pPr>
        <w:spacing w:after="20"/>
      </w:pPr>
    </w:p>
    <w:p>
      <w:r>
        <w:br w:type="page"/>
      </w:r>
    </w:p>
    <w:p>
      <w:pPr>
        <w:pStyle w:val="Heading1"/>
        <w:keepNext/>
      </w:pPr>
      <w:r>
        <w:t>Dokazna mapa kandidata</w:t>
      </w:r>
    </w:p>
    <w:p>
      <w:pPr>
        <w:spacing w:before="120" w:after="160" w:line="283" w:lineRule="auto"/>
        <w:ind w:left="202" w:right="115"/>
        <w:shd w:fill="FBF5E8"/>
        <w:pBdr>
          <w:left w:val="single" w:sz="18" w:space="8" w:color="B78727"/>
        </w:pBdr>
      </w:pPr>
      <w:r>
        <w:rPr>
          <w:rFonts w:ascii="Calibri" w:hAnsi="Calibri"/>
          <w:b/>
          <w:color w:val="B78727"/>
          <w:sz w:val="19"/>
        </w:rPr>
        <w:t xml:space="preserve">IZLAZNI PROIZVOD R6  </w:t>
      </w:r>
      <w:r>
        <w:rPr>
          <w:rFonts w:ascii="Calibri" w:hAnsi="Calibri"/>
          <w:b/>
          <w:color w:val="17324D"/>
          <w:sz w:val="21"/>
        </w:rPr>
        <w:t>Dokaz da kandidat može provesti plan iz R5 u tri terenska konteksta, upravljati odstupanjem, izvesti krizni i konfliktni scenarij te zatvoriti postupanje incidentnim zapisom i korektivnom mjerom.</w:t>
      </w:r>
    </w:p>
    <w:p>
      <w:pPr>
        <w:numPr>
          <w:ilvl w:val="0"/>
          <w:numId w:val="10"/>
        </w:numPr>
      </w:pPr>
      <w:r>
        <w:t>Naslovnica mape: kandidat, Regija I, datum, verzija i mentor/izvođač vježbi.</w:t>
      </w:r>
    </w:p>
    <w:p>
      <w:pPr>
        <w:numPr>
          <w:ilvl w:val="0"/>
          <w:numId w:val="10"/>
        </w:numPr>
      </w:pPr>
      <w:r>
        <w:t>Terenski dosje preuzet iz R5: ruta, vremenica, uloge, kontakti, potvrde i plan B.</w:t>
      </w:r>
    </w:p>
    <w:p>
      <w:pPr>
        <w:numPr>
          <w:ilvl w:val="0"/>
          <w:numId w:val="10"/>
        </w:numPr>
      </w:pPr>
      <w:r>
        <w:t>Urbana izvedba: briefing, karta, kontrolne točke, opažački list i samorefleksija.</w:t>
      </w:r>
    </w:p>
    <w:p>
      <w:pPr>
        <w:numPr>
          <w:ilvl w:val="0"/>
          <w:numId w:val="10"/>
        </w:numPr>
      </w:pPr>
      <w:r>
        <w:t>Zatvorena/sakralna izvedba: dopuštenje, pravila, skica položaja, ulaz/izlaz i opažački list.</w:t>
      </w:r>
    </w:p>
    <w:p>
      <w:pPr>
        <w:numPr>
          <w:ilvl w:val="0"/>
          <w:numId w:val="10"/>
        </w:numPr>
      </w:pPr>
      <w:r>
        <w:t>Prirodni teren: potvrda upravitelja, registar rizika, briefing, odluke i zapis promjene.</w:t>
      </w:r>
    </w:p>
    <w:p>
      <w:pPr>
        <w:numPr>
          <w:ilvl w:val="0"/>
          <w:numId w:val="10"/>
        </w:numPr>
      </w:pPr>
      <w:r>
        <w:t>Krizna simulacija: scenarij, vremenska crta, izgovoreni poziv 112 i raspodjela uloga.</w:t>
      </w:r>
    </w:p>
    <w:p>
      <w:pPr>
        <w:numPr>
          <w:ilvl w:val="0"/>
          <w:numId w:val="10"/>
        </w:numPr>
      </w:pPr>
      <w:r>
        <w:t>Konfliktna simulacija: uloge, korištene formulacije, ponuđene opcije i granica eskalacije.</w:t>
      </w:r>
    </w:p>
    <w:p>
      <w:pPr>
        <w:numPr>
          <w:ilvl w:val="0"/>
          <w:numId w:val="10"/>
        </w:numPr>
      </w:pPr>
      <w:r>
        <w:t>Izvješće o simuliranom incidentu bez nepotrebnih osobnih podataka.</w:t>
      </w:r>
    </w:p>
    <w:p>
      <w:pPr>
        <w:numPr>
          <w:ilvl w:val="0"/>
          <w:numId w:val="10"/>
        </w:numPr>
      </w:pPr>
      <w:r>
        <w:t>Debrief i najmanje tri korektivne mjere s vlasnikom, rokom i dokazom zatvaranja.</w:t>
      </w:r>
    </w:p>
    <w:p>
      <w:pPr>
        <w:numPr>
          <w:ilvl w:val="0"/>
          <w:numId w:val="10"/>
        </w:numPr>
      </w:pPr>
      <w:r>
        <w:t>Završna samoprocjena: koje postupanje kandidat može ponoviti pouzdano, a što traži dodatnu obuku.</w:t>
      </w:r>
    </w:p>
    <w:p>
      <w:pPr>
        <w:pStyle w:val="Heading2"/>
        <w:keepNext/>
      </w:pPr>
      <w:r>
        <w:t>Brza kontrola prije predaje</w:t>
      </w:r>
    </w:p>
    <w:p>
      <w:pPr>
        <w:spacing w:after="60"/>
        <w:ind w:left="173" w:hanging="29"/>
      </w:pPr>
      <w:r>
        <w:rPr>
          <w:rFonts w:ascii="Calibri" w:hAnsi="Calibri"/>
          <w:color w:val="1F4D78"/>
          <w:sz w:val="20"/>
        </w:rPr>
        <w:t xml:space="preserve">☐  </w:t>
      </w:r>
      <w:r>
        <w:rPr>
          <w:rFonts w:ascii="Calibri" w:hAnsi="Calibri"/>
          <w:color w:val="222222"/>
          <w:sz w:val="19"/>
        </w:rPr>
        <w:t>svaki dokaz navodi datum, lokalitet, kontekst, ulogu kandidata i verziju plana</w:t>
      </w:r>
    </w:p>
    <w:p>
      <w:pPr>
        <w:spacing w:after="60"/>
        <w:ind w:left="173" w:hanging="29"/>
      </w:pPr>
      <w:r>
        <w:rPr>
          <w:rFonts w:ascii="Calibri" w:hAnsi="Calibri"/>
          <w:color w:val="1F4D78"/>
          <w:sz w:val="20"/>
        </w:rPr>
        <w:t xml:space="preserve">☐  </w:t>
      </w:r>
      <w:r>
        <w:rPr>
          <w:rFonts w:ascii="Calibri" w:hAnsi="Calibri"/>
          <w:color w:val="222222"/>
          <w:sz w:val="19"/>
        </w:rPr>
        <w:t>jasno je označeno što je stvarna terenska izvedba, a što simulacija</w:t>
      </w:r>
    </w:p>
    <w:p>
      <w:pPr>
        <w:spacing w:after="60"/>
        <w:ind w:left="173" w:hanging="29"/>
      </w:pPr>
      <w:r>
        <w:rPr>
          <w:rFonts w:ascii="Calibri" w:hAnsi="Calibri"/>
          <w:color w:val="1F4D78"/>
          <w:sz w:val="20"/>
        </w:rPr>
        <w:t xml:space="preserve">☐  </w:t>
      </w:r>
      <w:r>
        <w:rPr>
          <w:rFonts w:ascii="Calibri" w:hAnsi="Calibri"/>
          <w:color w:val="222222"/>
          <w:sz w:val="19"/>
        </w:rPr>
        <w:t>nema lažnog poziva 112, stvarnoga ugrožavanja ni nedopuštenoga snimanja</w:t>
      </w:r>
    </w:p>
    <w:p>
      <w:pPr>
        <w:spacing w:after="60"/>
        <w:ind w:left="173" w:hanging="29"/>
      </w:pPr>
      <w:r>
        <w:rPr>
          <w:rFonts w:ascii="Calibri" w:hAnsi="Calibri"/>
          <w:color w:val="1F4D78"/>
          <w:sz w:val="20"/>
        </w:rPr>
        <w:t xml:space="preserve">☐  </w:t>
      </w:r>
      <w:r>
        <w:rPr>
          <w:rFonts w:ascii="Calibri" w:hAnsi="Calibri"/>
          <w:color w:val="222222"/>
          <w:sz w:val="19"/>
        </w:rPr>
        <w:t>sve procjene razlikuju činjenicu, pretpostavku i otvorenu stavku</w:t>
      </w:r>
    </w:p>
    <w:p>
      <w:pPr>
        <w:spacing w:after="60"/>
        <w:ind w:left="173" w:hanging="29"/>
      </w:pPr>
      <w:r>
        <w:rPr>
          <w:rFonts w:ascii="Calibri" w:hAnsi="Calibri"/>
          <w:color w:val="1F4D78"/>
          <w:sz w:val="20"/>
        </w:rPr>
        <w:t xml:space="preserve">☐  </w:t>
      </w:r>
      <w:r>
        <w:rPr>
          <w:rFonts w:ascii="Calibri" w:hAnsi="Calibri"/>
          <w:color w:val="222222"/>
          <w:sz w:val="19"/>
        </w:rPr>
        <w:t>incidentni zapis sadrži samo svrhovite podatke i kontroliran je pristup</w:t>
      </w:r>
    </w:p>
    <w:p>
      <w:pPr>
        <w:spacing w:after="60"/>
        <w:ind w:left="173" w:hanging="29"/>
      </w:pPr>
      <w:r>
        <w:rPr>
          <w:rFonts w:ascii="Calibri" w:hAnsi="Calibri"/>
          <w:color w:val="1F4D78"/>
          <w:sz w:val="20"/>
        </w:rPr>
        <w:t xml:space="preserve">☐  </w:t>
      </w:r>
      <w:r>
        <w:rPr>
          <w:rFonts w:ascii="Calibri" w:hAnsi="Calibri"/>
          <w:color w:val="222222"/>
          <w:sz w:val="19"/>
        </w:rPr>
        <w:t>svaka pouka iz debriefa prevedena je u izmjenu plana, uloge, opreme ili obuke</w:t>
      </w:r>
    </w:p>
    <w:p>
      <w:r>
        <w:br w:type="page"/>
      </w:r>
    </w:p>
    <w:p>
      <w:pPr>
        <w:pStyle w:val="Heading1"/>
        <w:keepNext/>
      </w:pPr>
      <w:r>
        <w:t>Vrednovanje R6</w:t>
      </w:r>
    </w:p>
    <w:p>
      <w:pPr>
        <w:widowControl/>
      </w:pPr>
      <w:r>
        <w:t>Radni Program predviđa jedno situacijsko pitanje za ishod f), ukupno 5 bodova, s pragom 2,5. Sljedeća rubrika služi nastavi, terenskoj povratnoj informaciji i pripremi za ispit; konačni način provedbe potvrđuju visoko učilište i ispitna komisija.</w:t>
      </w:r>
    </w:p>
    <w:tbl>
      <w:tblPr>
        <w:tblStyle w:val="TableGrid"/>
        <w:tblW w:type="dxa" w:w="9200"/>
        <w:jc w:val="left"/>
        <w:tblLayout w:type="fixed"/>
        <w:tblLook w:firstColumn="1" w:firstRow="1" w:lastColumn="0" w:lastRow="0" w:noHBand="0" w:noVBand="1" w:val="04A0"/>
        <w:tblInd w:w="120" w:type="dxa"/>
      </w:tblPr>
      <w:tblGrid>
        <w:gridCol w:w="1800"/>
        <w:gridCol w:w="2350"/>
        <w:gridCol w:w="2450"/>
        <w:gridCol w:w="2600"/>
      </w:tblGrid>
      <w:tr>
        <w:trPr>
          <w:tblHeader w:val="true"/>
          <w:cantSplit/>
        </w:trPr>
        <w:tc>
          <w:tcPr>
            <w:tcW w:type="dxa" w:w="1800"/>
            <w:shd w:fill="E8EEF5"/>
            <w:vAlign w:val="center"/>
            <w:tcMar>
              <w:top w:w="80" w:type="dxa"/>
              <w:start w:w="120" w:type="dxa"/>
              <w:bottom w:w="80" w:type="dxa"/>
              <w:end w:w="120" w:type="dxa"/>
            </w:tcMar>
          </w:tcPr>
          <w:p>
            <w:r>
              <w:rPr>
                <w:rFonts w:ascii="Calibri" w:hAnsi="Calibri"/>
                <w:b/>
                <w:color w:val="17324D"/>
                <w:sz w:val="19"/>
              </w:rPr>
              <w:t>Kriterij</w:t>
            </w:r>
          </w:p>
        </w:tc>
        <w:tc>
          <w:tcPr>
            <w:tcW w:type="dxa" w:w="2350"/>
            <w:shd w:fill="E8EEF5"/>
            <w:vAlign w:val="center"/>
            <w:tcMar>
              <w:top w:w="80" w:type="dxa"/>
              <w:start w:w="120" w:type="dxa"/>
              <w:bottom w:w="80" w:type="dxa"/>
              <w:end w:w="120" w:type="dxa"/>
            </w:tcMar>
          </w:tcPr>
          <w:p>
            <w:r>
              <w:rPr>
                <w:rFonts w:ascii="Calibri" w:hAnsi="Calibri"/>
                <w:b/>
                <w:color w:val="17324D"/>
                <w:sz w:val="19"/>
              </w:rPr>
              <w:t>0 bodova</w:t>
            </w:r>
          </w:p>
        </w:tc>
        <w:tc>
          <w:tcPr>
            <w:tcW w:type="dxa" w:w="2450"/>
            <w:shd w:fill="E8EEF5"/>
            <w:vAlign w:val="center"/>
            <w:tcMar>
              <w:top w:w="80" w:type="dxa"/>
              <w:start w:w="120" w:type="dxa"/>
              <w:bottom w:w="80" w:type="dxa"/>
              <w:end w:w="120" w:type="dxa"/>
            </w:tcMar>
          </w:tcPr>
          <w:p>
            <w:r>
              <w:rPr>
                <w:rFonts w:ascii="Calibri" w:hAnsi="Calibri"/>
                <w:b/>
                <w:color w:val="17324D"/>
                <w:sz w:val="19"/>
              </w:rPr>
              <w:t>0,5 boda</w:t>
            </w:r>
          </w:p>
        </w:tc>
        <w:tc>
          <w:tcPr>
            <w:tcW w:type="dxa" w:w="2600"/>
            <w:shd w:fill="E8EEF5"/>
            <w:vAlign w:val="center"/>
            <w:tcMar>
              <w:top w:w="80" w:type="dxa"/>
              <w:start w:w="120" w:type="dxa"/>
              <w:bottom w:w="80" w:type="dxa"/>
              <w:end w:w="120" w:type="dxa"/>
            </w:tcMar>
          </w:tcPr>
          <w:p>
            <w:r>
              <w:rPr>
                <w:rFonts w:ascii="Calibri" w:hAnsi="Calibri"/>
                <w:b/>
                <w:color w:val="17324D"/>
                <w:sz w:val="19"/>
              </w:rPr>
              <w:t>1 bod</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Kontrola skupine</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nema briefinga, uloga ni brojanja</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kontrola je povremena ili nejasna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jasan briefing, uloge, položaj i potvrđeno brojanje</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Vrijeme i prostor</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nastavlja bez obzira na uvjete</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kasno prilagođava tempo/rutu</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pravodobno mijenja položaj, tempo, prijelaz ili plan</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Rizik i kriza</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ne prepoznaje prioritet ili povećava rizik</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prepoznaje problem, ali slijed nije potpun</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zaustavlja, osigurava, procjenjuje, uključuje pomoć i raspoređuje uloge</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Komunikacija i sukob</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eskalira, omalovažava ili obećava bez ovlasti</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smiruje, ali ne potvrđuje opciju/granicu</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sasluša, pojasni, ponudi realno, postavi granicu i potvrdi</w:t>
            </w:r>
          </w:p>
        </w:tc>
      </w:tr>
      <w:tr>
        <w:trPr>
          <w:cantSplit/>
        </w:trPr>
        <w:tc>
          <w:tcPr>
            <w:tcW w:type="dxa" w:w="1800"/>
            <w:vAlign w:val="top"/>
            <w:tcMar>
              <w:top w:w="80" w:type="dxa"/>
              <w:start w:w="120" w:type="dxa"/>
              <w:bottom w:w="80" w:type="dxa"/>
              <w:end w:w="120" w:type="dxa"/>
            </w:tcMar>
          </w:tcPr>
          <w:p>
            <w:pPr>
              <w:spacing w:after="40" w:line="259" w:lineRule="auto"/>
            </w:pPr>
            <w:r>
              <w:rPr>
                <w:rFonts w:ascii="Calibri" w:hAnsi="Calibri"/>
                <w:color w:val="222222"/>
                <w:sz w:val="18"/>
              </w:rPr>
              <w:t>Zapis i učenje</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nema zapisa ili nagađa</w:t>
            </w:r>
          </w:p>
        </w:tc>
        <w:tc>
          <w:tcPr>
            <w:tcW w:type="dxa" w:w="2450"/>
            <w:vAlign w:val="top"/>
            <w:tcMar>
              <w:top w:w="80" w:type="dxa"/>
              <w:start w:w="120" w:type="dxa"/>
              <w:bottom w:w="80" w:type="dxa"/>
              <w:end w:w="120" w:type="dxa"/>
            </w:tcMar>
          </w:tcPr>
          <w:p>
            <w:pPr>
              <w:spacing w:after="40" w:line="259" w:lineRule="auto"/>
            </w:pPr>
            <w:r>
              <w:rPr>
                <w:rFonts w:ascii="Calibri" w:hAnsi="Calibri"/>
                <w:color w:val="222222"/>
                <w:sz w:val="18"/>
              </w:rPr>
              <w:t>zapis nepotpun, korekcija opća</w:t>
            </w:r>
          </w:p>
        </w:tc>
        <w:tc>
          <w:tcPr>
            <w:tcW w:type="dxa" w:w="2600"/>
            <w:vAlign w:val="top"/>
            <w:tcMar>
              <w:top w:w="80" w:type="dxa"/>
              <w:start w:w="120" w:type="dxa"/>
              <w:bottom w:w="80" w:type="dxa"/>
              <w:end w:w="120" w:type="dxa"/>
            </w:tcMar>
          </w:tcPr>
          <w:p>
            <w:pPr>
              <w:spacing w:after="40" w:line="259" w:lineRule="auto"/>
            </w:pPr>
            <w:r>
              <w:rPr>
                <w:rFonts w:ascii="Calibri" w:hAnsi="Calibri"/>
                <w:color w:val="222222"/>
                <w:sz w:val="18"/>
              </w:rPr>
              <w:t>činjenice, vremena, predaja, debrief i vlasnička korekcija</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AUTOMATSKI OZBILJAN NALAZ U NASTAVI  </w:t>
      </w:r>
      <w:r>
        <w:rPr>
          <w:rFonts w:ascii="Calibri" w:hAnsi="Calibri"/>
          <w:b/>
          <w:color w:val="17324D"/>
          <w:sz w:val="21"/>
        </w:rPr>
        <w:t>Kandidat ne smije zanemariti neposrednu opasnost, napustiti ugroženu osobu bez odgovarajuće predaje, raspršiti skupinu u nekontroliranu potragu, lažno pozvati 112 ili svjesno prekršiti nalog upravitelja prostora.</w:t>
      </w:r>
    </w:p>
    <w:p>
      <w:r>
        <w:br w:type="page"/>
      </w:r>
    </w:p>
    <w:p>
      <w:pPr>
        <w:pStyle w:val="Heading1"/>
        <w:keepNext/>
      </w:pPr>
      <w:r>
        <w:t>Primjeri situacijskih pitanja</w:t>
      </w:r>
    </w:p>
    <w:p>
      <w:pPr>
        <w:numPr>
          <w:ilvl w:val="0"/>
          <w:numId w:val="12"/>
        </w:numPr>
      </w:pPr>
      <w:r>
        <w:t>U Osijeku vodite Opću publiku od 32 osobe. Na uskom prijelazu dio skupine ostaje iza semafora, a vremenica kasni deset minuta. Opišite radnje vodiča, uloge, brojanje, komunikaciju i izmjenu plana.</w:t>
      </w:r>
    </w:p>
    <w:p>
      <w:pPr>
        <w:numPr>
          <w:ilvl w:val="0"/>
          <w:numId w:val="12"/>
        </w:numPr>
      </w:pPr>
      <w:r>
        <w:t>U sakralnom prostoru neposredno prije vaše postaje započinje obred, iako je termin ranije potvrđen. Jedan gost inzistira na fotografiranju. Kako štitite funkciju prostora, upravljate skupinom i čuvate ishod?</w:t>
      </w:r>
    </w:p>
    <w:p>
      <w:pPr>
        <w:numPr>
          <w:ilvl w:val="0"/>
          <w:numId w:val="12"/>
        </w:numPr>
      </w:pPr>
      <w:r>
        <w:t>Na stazi u Parku prirode Papuk vrijeme se naglo pogoršava, a član skupine pokazuje znakove iscrpljenosti. Objasnite procjenu, odluku, komunikaciju, prekid/povratak i predaju.</w:t>
      </w:r>
    </w:p>
    <w:p>
      <w:pPr>
        <w:numPr>
          <w:ilvl w:val="0"/>
          <w:numId w:val="12"/>
        </w:numPr>
      </w:pPr>
      <w:r>
        <w:t>Tijekom vježbe u Kopačkom ritu nakon kontrolne točke nedostaje jedan član. Posljednji je put viđen deset minuta ranije. Što radite, što ne dopuštate skupini i koje podatke pripremate za upravitelja ili 112?</w:t>
      </w:r>
    </w:p>
    <w:p>
      <w:pPr>
        <w:numPr>
          <w:ilvl w:val="0"/>
          <w:numId w:val="12"/>
        </w:numPr>
      </w:pPr>
      <w:r>
        <w:t>Nakon skraćene memorijalne postaje gost podiže ton i tvrdi da nije dobio plaćeni sadržaj. Istodobno uznemiruje druge posjetitelje. Demonstrirajte deeskalaciju, granicu ovlasti i završni zapis.</w:t>
      </w:r>
    </w:p>
    <w:p>
      <w:pPr>
        <w:pStyle w:val="Heading2"/>
        <w:keepNext/>
      </w:pPr>
      <w:r>
        <w:t>Obrazac odgovora u šest koraka</w:t>
      </w:r>
    </w:p>
    <w:tbl>
      <w:tblPr>
        <w:tblStyle w:val="TableGrid"/>
        <w:tblW w:type="dxa" w:w="9200"/>
        <w:jc w:val="left"/>
        <w:tblLayout w:type="fixed"/>
        <w:tblLook w:firstColumn="1" w:firstRow="1" w:lastColumn="0" w:lastRow="0" w:noHBand="0" w:noVBand="1" w:val="04A0"/>
        <w:tblInd w:w="120" w:type="dxa"/>
      </w:tblPr>
      <w:tblGrid>
        <w:gridCol w:w="1650"/>
        <w:gridCol w:w="7550"/>
      </w:tblGrid>
      <w:tr>
        <w:trPr>
          <w:tblHeader w:val="true"/>
          <w:cantSplit/>
        </w:trPr>
        <w:tc>
          <w:tcPr>
            <w:tcW w:type="dxa" w:w="1650"/>
            <w:shd w:fill="E8EEF5"/>
            <w:vAlign w:val="center"/>
            <w:tcMar>
              <w:top w:w="80" w:type="dxa"/>
              <w:start w:w="120" w:type="dxa"/>
              <w:bottom w:w="80" w:type="dxa"/>
              <w:end w:w="120" w:type="dxa"/>
            </w:tcMar>
          </w:tcPr>
          <w:p>
            <w:r>
              <w:rPr>
                <w:rFonts w:ascii="Calibri" w:hAnsi="Calibri"/>
                <w:b/>
                <w:color w:val="17324D"/>
                <w:sz w:val="19"/>
              </w:rPr>
              <w:t>Korak</w:t>
            </w:r>
          </w:p>
        </w:tc>
        <w:tc>
          <w:tcPr>
            <w:tcW w:type="dxa" w:w="7550"/>
            <w:shd w:fill="E8EEF5"/>
            <w:vAlign w:val="center"/>
            <w:tcMar>
              <w:top w:w="80" w:type="dxa"/>
              <w:start w:w="120" w:type="dxa"/>
              <w:bottom w:w="80" w:type="dxa"/>
              <w:end w:w="120" w:type="dxa"/>
            </w:tcMar>
          </w:tcPr>
          <w:p>
            <w:r>
              <w:rPr>
                <w:rFonts w:ascii="Calibri" w:hAnsi="Calibri"/>
                <w:b/>
                <w:color w:val="17324D"/>
                <w:sz w:val="19"/>
              </w:rPr>
              <w:t>Što kandidat mora reći</w:t>
            </w:r>
          </w:p>
        </w:tc>
      </w:tr>
      <w:tr>
        <w:trPr>
          <w:cantSplit/>
        </w:trPr>
        <w:tc>
          <w:tcPr>
            <w:tcW w:type="dxa" w:w="1650"/>
            <w:vAlign w:val="top"/>
            <w:tcMar>
              <w:top w:w="80" w:type="dxa"/>
              <w:start w:w="120" w:type="dxa"/>
              <w:bottom w:w="80" w:type="dxa"/>
              <w:end w:w="120" w:type="dxa"/>
            </w:tcMar>
          </w:tcPr>
          <w:p>
            <w:pPr>
              <w:spacing w:after="40" w:line="259" w:lineRule="auto"/>
            </w:pPr>
            <w:r>
              <w:rPr>
                <w:rFonts w:ascii="Calibri" w:hAnsi="Calibri"/>
                <w:color w:val="222222"/>
                <w:sz w:val="18"/>
              </w:rPr>
              <w:t>1 · Prioritet</w:t>
            </w:r>
          </w:p>
        </w:tc>
        <w:tc>
          <w:tcPr>
            <w:tcW w:type="dxa" w:w="7550"/>
            <w:vAlign w:val="top"/>
            <w:tcMar>
              <w:top w:w="80" w:type="dxa"/>
              <w:start w:w="120" w:type="dxa"/>
              <w:bottom w:w="80" w:type="dxa"/>
              <w:end w:w="120" w:type="dxa"/>
            </w:tcMar>
          </w:tcPr>
          <w:p>
            <w:pPr>
              <w:spacing w:after="40" w:line="259" w:lineRule="auto"/>
            </w:pPr>
            <w:r>
              <w:rPr>
                <w:rFonts w:ascii="Calibri" w:hAnsi="Calibri"/>
                <w:color w:val="222222"/>
                <w:sz w:val="18"/>
              </w:rPr>
              <w:t>koji su ljudi/prostor najprije zaštićeni i zašto</w:t>
            </w:r>
          </w:p>
        </w:tc>
      </w:tr>
      <w:tr>
        <w:trPr>
          <w:cantSplit/>
        </w:trPr>
        <w:tc>
          <w:tcPr>
            <w:tcW w:type="dxa" w:w="1650"/>
            <w:vAlign w:val="top"/>
            <w:tcMar>
              <w:top w:w="80" w:type="dxa"/>
              <w:start w:w="120" w:type="dxa"/>
              <w:bottom w:w="80" w:type="dxa"/>
              <w:end w:w="120" w:type="dxa"/>
            </w:tcMar>
          </w:tcPr>
          <w:p>
            <w:pPr>
              <w:spacing w:after="40" w:line="259" w:lineRule="auto"/>
            </w:pPr>
            <w:r>
              <w:rPr>
                <w:rFonts w:ascii="Calibri" w:hAnsi="Calibri"/>
                <w:color w:val="222222"/>
                <w:sz w:val="18"/>
              </w:rPr>
              <w:t>2 · Činjenice</w:t>
            </w:r>
          </w:p>
        </w:tc>
        <w:tc>
          <w:tcPr>
            <w:tcW w:type="dxa" w:w="7550"/>
            <w:vAlign w:val="top"/>
            <w:tcMar>
              <w:top w:w="80" w:type="dxa"/>
              <w:start w:w="120" w:type="dxa"/>
              <w:bottom w:w="80" w:type="dxa"/>
              <w:end w:w="120" w:type="dxa"/>
            </w:tcMar>
          </w:tcPr>
          <w:p>
            <w:pPr>
              <w:spacing w:after="40" w:line="259" w:lineRule="auto"/>
            </w:pPr>
            <w:r>
              <w:rPr>
                <w:rFonts w:ascii="Calibri" w:hAnsi="Calibri"/>
                <w:color w:val="222222"/>
                <w:sz w:val="18"/>
              </w:rPr>
              <w:t>što je poznato, što nije i kako se provjerava</w:t>
            </w:r>
          </w:p>
        </w:tc>
      </w:tr>
      <w:tr>
        <w:trPr>
          <w:cantSplit/>
        </w:trPr>
        <w:tc>
          <w:tcPr>
            <w:tcW w:type="dxa" w:w="1650"/>
            <w:vAlign w:val="top"/>
            <w:tcMar>
              <w:top w:w="80" w:type="dxa"/>
              <w:start w:w="120" w:type="dxa"/>
              <w:bottom w:w="80" w:type="dxa"/>
              <w:end w:w="120" w:type="dxa"/>
            </w:tcMar>
          </w:tcPr>
          <w:p>
            <w:pPr>
              <w:spacing w:after="40" w:line="259" w:lineRule="auto"/>
            </w:pPr>
            <w:r>
              <w:rPr>
                <w:rFonts w:ascii="Calibri" w:hAnsi="Calibri"/>
                <w:color w:val="222222"/>
                <w:sz w:val="18"/>
              </w:rPr>
              <w:t>3 · Odluka</w:t>
            </w:r>
          </w:p>
        </w:tc>
        <w:tc>
          <w:tcPr>
            <w:tcW w:type="dxa" w:w="7550"/>
            <w:vAlign w:val="top"/>
            <w:tcMar>
              <w:top w:w="80" w:type="dxa"/>
              <w:start w:w="120" w:type="dxa"/>
              <w:bottom w:w="80" w:type="dxa"/>
              <w:end w:w="120" w:type="dxa"/>
            </w:tcMar>
          </w:tcPr>
          <w:p>
            <w:pPr>
              <w:spacing w:after="40" w:line="259" w:lineRule="auto"/>
            </w:pPr>
            <w:r>
              <w:rPr>
                <w:rFonts w:ascii="Calibri" w:hAnsi="Calibri"/>
                <w:color w:val="222222"/>
                <w:sz w:val="18"/>
              </w:rPr>
              <w:t>nastaviti, prilagoditi, zaustaviti ili prekinuti</w:t>
            </w:r>
          </w:p>
        </w:tc>
      </w:tr>
      <w:tr>
        <w:trPr>
          <w:cantSplit/>
        </w:trPr>
        <w:tc>
          <w:tcPr>
            <w:tcW w:type="dxa" w:w="1650"/>
            <w:vAlign w:val="top"/>
            <w:tcMar>
              <w:top w:w="80" w:type="dxa"/>
              <w:start w:w="120" w:type="dxa"/>
              <w:bottom w:w="80" w:type="dxa"/>
              <w:end w:w="120" w:type="dxa"/>
            </w:tcMar>
          </w:tcPr>
          <w:p>
            <w:pPr>
              <w:spacing w:after="40" w:line="259" w:lineRule="auto"/>
            </w:pPr>
            <w:r>
              <w:rPr>
                <w:rFonts w:ascii="Calibri" w:hAnsi="Calibri"/>
                <w:color w:val="222222"/>
                <w:sz w:val="18"/>
              </w:rPr>
              <w:t>4 · Uloge i komunikacija</w:t>
            </w:r>
          </w:p>
        </w:tc>
        <w:tc>
          <w:tcPr>
            <w:tcW w:type="dxa" w:w="7550"/>
            <w:vAlign w:val="top"/>
            <w:tcMar>
              <w:top w:w="80" w:type="dxa"/>
              <w:start w:w="120" w:type="dxa"/>
              <w:bottom w:w="80" w:type="dxa"/>
              <w:end w:w="120" w:type="dxa"/>
            </w:tcMar>
          </w:tcPr>
          <w:p>
            <w:pPr>
              <w:spacing w:after="40" w:line="259" w:lineRule="auto"/>
            </w:pPr>
            <w:r>
              <w:rPr>
                <w:rFonts w:ascii="Calibri" w:hAnsi="Calibri"/>
                <w:color w:val="222222"/>
                <w:sz w:val="18"/>
              </w:rPr>
              <w:t>tko vodi skupinu, tko kontaktira i koja se poruka daje</w:t>
            </w:r>
          </w:p>
        </w:tc>
      </w:tr>
      <w:tr>
        <w:trPr>
          <w:cantSplit/>
        </w:trPr>
        <w:tc>
          <w:tcPr>
            <w:tcW w:type="dxa" w:w="1650"/>
            <w:vAlign w:val="top"/>
            <w:tcMar>
              <w:top w:w="80" w:type="dxa"/>
              <w:start w:w="120" w:type="dxa"/>
              <w:bottom w:w="80" w:type="dxa"/>
              <w:end w:w="120" w:type="dxa"/>
            </w:tcMar>
          </w:tcPr>
          <w:p>
            <w:pPr>
              <w:spacing w:after="40" w:line="259" w:lineRule="auto"/>
            </w:pPr>
            <w:r>
              <w:rPr>
                <w:rFonts w:ascii="Calibri" w:hAnsi="Calibri"/>
                <w:color w:val="222222"/>
                <w:sz w:val="18"/>
              </w:rPr>
              <w:t>5 · Eskalacija</w:t>
            </w:r>
          </w:p>
        </w:tc>
        <w:tc>
          <w:tcPr>
            <w:tcW w:type="dxa" w:w="7550"/>
            <w:vAlign w:val="top"/>
            <w:tcMar>
              <w:top w:w="80" w:type="dxa"/>
              <w:start w:w="120" w:type="dxa"/>
              <w:bottom w:w="80" w:type="dxa"/>
              <w:end w:w="120" w:type="dxa"/>
            </w:tcMar>
          </w:tcPr>
          <w:p>
            <w:pPr>
              <w:spacing w:after="40" w:line="259" w:lineRule="auto"/>
            </w:pPr>
            <w:r>
              <w:rPr>
                <w:rFonts w:ascii="Calibri" w:hAnsi="Calibri"/>
                <w:color w:val="222222"/>
                <w:sz w:val="18"/>
              </w:rPr>
              <w:t>kada se uključuje upravitelj, organizator ili 112</w:t>
            </w:r>
          </w:p>
        </w:tc>
      </w:tr>
      <w:tr>
        <w:trPr>
          <w:cantSplit/>
        </w:trPr>
        <w:tc>
          <w:tcPr>
            <w:tcW w:type="dxa" w:w="1650"/>
            <w:vAlign w:val="top"/>
            <w:tcMar>
              <w:top w:w="80" w:type="dxa"/>
              <w:start w:w="120" w:type="dxa"/>
              <w:bottom w:w="80" w:type="dxa"/>
              <w:end w:w="120" w:type="dxa"/>
            </w:tcMar>
          </w:tcPr>
          <w:p>
            <w:pPr>
              <w:spacing w:after="40" w:line="259" w:lineRule="auto"/>
            </w:pPr>
            <w:r>
              <w:rPr>
                <w:rFonts w:ascii="Calibri" w:hAnsi="Calibri"/>
                <w:color w:val="222222"/>
                <w:sz w:val="18"/>
              </w:rPr>
              <w:t>6 · Zapis i korekcija</w:t>
            </w:r>
          </w:p>
        </w:tc>
        <w:tc>
          <w:tcPr>
            <w:tcW w:type="dxa" w:w="7550"/>
            <w:vAlign w:val="top"/>
            <w:tcMar>
              <w:top w:w="80" w:type="dxa"/>
              <w:start w:w="120" w:type="dxa"/>
              <w:bottom w:w="80" w:type="dxa"/>
              <w:end w:w="120" w:type="dxa"/>
            </w:tcMar>
          </w:tcPr>
          <w:p>
            <w:pPr>
              <w:spacing w:after="40" w:line="259" w:lineRule="auto"/>
            </w:pPr>
            <w:r>
              <w:rPr>
                <w:rFonts w:ascii="Calibri" w:hAnsi="Calibri"/>
                <w:color w:val="222222"/>
                <w:sz w:val="18"/>
              </w:rPr>
              <w:t>što se bilježi i što se mijenja za sljedeću izvedbu</w:t>
            </w:r>
          </w:p>
        </w:tc>
      </w:tr>
    </w:tbl>
    <w:p>
      <w:pPr>
        <w:spacing w:after="20"/>
      </w:pPr>
    </w:p>
    <w:p>
      <w:r>
        <w:br w:type="page"/>
      </w:r>
    </w:p>
    <w:p>
      <w:pPr>
        <w:pStyle w:val="Heading1"/>
        <w:keepNext/>
      </w:pPr>
      <w:r>
        <w:t>Izvori i pravilo ažuriranja</w:t>
      </w:r>
    </w:p>
    <w:p>
      <w:pPr>
        <w:widowControl/>
      </w:pPr>
      <w:r>
        <w:t>Pravni i operativni izvori provjereni su 30. kolovoza 2026. Kanonski tekst namjerno ne fiksira promjenjive kontakte, radno vrijeme, stanje staza i posebne režime; ti se podaci vode u terenskom dosjeu s datumom provjere.</w:t>
      </w:r>
    </w:p>
    <w:p>
      <w:pPr>
        <w:numPr>
          <w:ilvl w:val="0"/>
          <w:numId w:val="11"/>
        </w:numPr>
      </w:pPr>
      <w:r>
        <w:t>Narodne novine, Pravilnik o stručnom ispitu za turističke vodiče, NN 53/2026, br. 668: https://narodne-novine.nn.hr/clanci/sluzbeni/2026_05_53_668.html</w:t>
      </w:r>
    </w:p>
    <w:p>
      <w:pPr>
        <w:numPr>
          <w:ilvl w:val="0"/>
          <w:numId w:val="11"/>
        </w:numPr>
      </w:pPr>
      <w:r>
        <w:t>Narodne novine, Pravilnik o popisu zaštićenih cjelina (lokaliteta), NN 53/2026, br. 669: https://narodne-novine.nn.hr/clanci/sluzbeni/2026_05_53_669.html</w:t>
      </w:r>
    </w:p>
    <w:p>
      <w:pPr>
        <w:numPr>
          <w:ilvl w:val="0"/>
          <w:numId w:val="11"/>
        </w:numPr>
      </w:pPr>
      <w:r>
        <w:t>Program seminara posebnog dijela po regijama, radni dokument projekta: cjelina R6, satnica, metode, klasteri i provedba ispita.</w:t>
      </w:r>
    </w:p>
    <w:p>
      <w:pPr>
        <w:numPr>
          <w:ilvl w:val="0"/>
          <w:numId w:val="11"/>
        </w:numPr>
      </w:pPr>
      <w:r>
        <w:t>Ravnateljstvo civilne zaštite MUP-a, Broj 112: https://civilna-zastita.gov.hr/broj-112/81</w:t>
      </w:r>
    </w:p>
    <w:p>
      <w:pPr>
        <w:numPr>
          <w:ilvl w:val="0"/>
          <w:numId w:val="11"/>
        </w:numPr>
      </w:pPr>
      <w:r>
        <w:t>Javna ustanova Park prirode Papuk, Pravila parka: https://www.pp-papuk.hr/o-nama/pravila-parka/</w:t>
      </w:r>
    </w:p>
    <w:p>
      <w:pPr>
        <w:numPr>
          <w:ilvl w:val="0"/>
          <w:numId w:val="11"/>
        </w:numPr>
      </w:pPr>
      <w:r>
        <w:t>Javna ustanova Park prirode Kopački rit: službeni opći akti, upute čuvara prirode, uvjeti posjeta i izravna potvrda prije vježbe.</w:t>
      </w:r>
    </w:p>
    <w:p>
      <w:pPr>
        <w:numPr>
          <w:ilvl w:val="0"/>
          <w:numId w:val="11"/>
        </w:numPr>
      </w:pPr>
      <w:r>
        <w:t>Hrvatski Crveni križ i ovlašteni izvođači: formalna obuka prve pomoći; ovaj dokument ne zamjenjuje praktično osposobljavanje.</w:t>
      </w:r>
    </w:p>
    <w:p>
      <w:pPr>
        <w:numPr>
          <w:ilvl w:val="0"/>
          <w:numId w:val="11"/>
        </w:numPr>
      </w:pPr>
      <w:r>
        <w:t>Upravitelji muzeja, galerija, crkava, samostana, zbirki, memorijalnih i drugih prostora: dopuštenje i aktualne upute za konkretnu izvedbu.</w:t>
      </w:r>
    </w:p>
    <w:p>
      <w:pPr>
        <w:pStyle w:val="Heading2"/>
        <w:keepNext/>
      </w:pPr>
      <w:r>
        <w:t>Hijerarhija odluke na terenu</w:t>
      </w:r>
    </w:p>
    <w:tbl>
      <w:tblPr>
        <w:tblStyle w:val="TableGrid"/>
        <w:tblW w:type="dxa" w:w="9200"/>
        <w:jc w:val="left"/>
        <w:tblLayout w:type="fixed"/>
        <w:tblLook w:firstColumn="1" w:firstRow="1" w:lastColumn="0" w:lastRow="0" w:noHBand="0" w:noVBand="1" w:val="04A0"/>
        <w:tblInd w:w="120" w:type="dxa"/>
      </w:tblPr>
      <w:tblGrid>
        <w:gridCol w:w="1000"/>
        <w:gridCol w:w="4300"/>
        <w:gridCol w:w="3900"/>
      </w:tblGrid>
      <w:tr>
        <w:trPr>
          <w:tblHeader w:val="true"/>
          <w:cantSplit/>
        </w:trPr>
        <w:tc>
          <w:tcPr>
            <w:tcW w:type="dxa" w:w="1000"/>
            <w:shd w:fill="E8EEF5"/>
            <w:vAlign w:val="center"/>
            <w:tcMar>
              <w:top w:w="80" w:type="dxa"/>
              <w:start w:w="120" w:type="dxa"/>
              <w:bottom w:w="80" w:type="dxa"/>
              <w:end w:w="120" w:type="dxa"/>
            </w:tcMar>
          </w:tcPr>
          <w:p>
            <w:r>
              <w:rPr>
                <w:rFonts w:ascii="Calibri" w:hAnsi="Calibri"/>
                <w:b/>
                <w:color w:val="17324D"/>
                <w:sz w:val="19"/>
              </w:rPr>
              <w:t>Prednost</w:t>
            </w:r>
          </w:p>
        </w:tc>
        <w:tc>
          <w:tcPr>
            <w:tcW w:type="dxa" w:w="4300"/>
            <w:shd w:fill="E8EEF5"/>
            <w:vAlign w:val="center"/>
            <w:tcMar>
              <w:top w:w="80" w:type="dxa"/>
              <w:start w:w="120" w:type="dxa"/>
              <w:bottom w:w="80" w:type="dxa"/>
              <w:end w:w="120" w:type="dxa"/>
            </w:tcMar>
          </w:tcPr>
          <w:p>
            <w:r>
              <w:rPr>
                <w:rFonts w:ascii="Calibri" w:hAnsi="Calibri"/>
                <w:b/>
                <w:color w:val="17324D"/>
                <w:sz w:val="19"/>
              </w:rPr>
              <w:t>Izvor</w:t>
            </w:r>
          </w:p>
        </w:tc>
        <w:tc>
          <w:tcPr>
            <w:tcW w:type="dxa" w:w="3900"/>
            <w:shd w:fill="E8EEF5"/>
            <w:vAlign w:val="center"/>
            <w:tcMar>
              <w:top w:w="80" w:type="dxa"/>
              <w:start w:w="120" w:type="dxa"/>
              <w:bottom w:w="80" w:type="dxa"/>
              <w:end w:w="120" w:type="dxa"/>
            </w:tcMar>
          </w:tcPr>
          <w:p>
            <w:r>
              <w:rPr>
                <w:rFonts w:ascii="Calibri" w:hAnsi="Calibri"/>
                <w:b/>
                <w:color w:val="17324D"/>
                <w:sz w:val="19"/>
              </w:rPr>
              <w:t>Primjena</w:t>
            </w:r>
          </w:p>
        </w:tc>
      </w:tr>
      <w:tr>
        <w:trPr>
          <w:cantSplit/>
        </w:trPr>
        <w:tc>
          <w:tcPr>
            <w:tcW w:type="dxa" w:w="1000"/>
            <w:vAlign w:val="top"/>
            <w:tcMar>
              <w:top w:w="80" w:type="dxa"/>
              <w:start w:w="120" w:type="dxa"/>
              <w:bottom w:w="80" w:type="dxa"/>
              <w:end w:w="120" w:type="dxa"/>
            </w:tcMar>
          </w:tcPr>
          <w:p>
            <w:pPr>
              <w:spacing w:after="40" w:line="259" w:lineRule="auto"/>
            </w:pPr>
            <w:r>
              <w:rPr>
                <w:rFonts w:ascii="Calibri" w:hAnsi="Calibri"/>
                <w:color w:val="222222"/>
                <w:sz w:val="18"/>
              </w:rPr>
              <w:t>1</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neposredna sigurnost i nalog hitne službe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zaustavlja ili mijenja svaku planiranu radnju</w:t>
            </w:r>
          </w:p>
        </w:tc>
      </w:tr>
      <w:tr>
        <w:trPr>
          <w:cantSplit/>
        </w:trPr>
        <w:tc>
          <w:tcPr>
            <w:tcW w:type="dxa" w:w="100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uputa/nalog upravitelja i važeći opći akt</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određuje dopušteno kretanje i ponašanje u prostoru</w:t>
            </w:r>
          </w:p>
        </w:tc>
      </w:tr>
      <w:tr>
        <w:trPr>
          <w:cantSplit/>
        </w:trPr>
        <w:tc>
          <w:tcPr>
            <w:tcW w:type="dxa" w:w="1000"/>
            <w:vAlign w:val="top"/>
            <w:tcMar>
              <w:top w:w="80" w:type="dxa"/>
              <w:start w:w="120" w:type="dxa"/>
              <w:bottom w:w="80" w:type="dxa"/>
              <w:end w:w="120" w:type="dxa"/>
            </w:tcMar>
          </w:tcPr>
          <w:p>
            <w:pPr>
              <w:spacing w:after="40" w:line="259" w:lineRule="auto"/>
            </w:pPr>
            <w:r>
              <w:rPr>
                <w:rFonts w:ascii="Calibri" w:hAnsi="Calibri"/>
                <w:color w:val="222222"/>
                <w:sz w:val="18"/>
              </w:rPr>
              <w:t>3</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službeno upozorenje i stvarni uvjeti</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aktivira mjeru, plan B, povratak ili prekid</w:t>
            </w:r>
          </w:p>
        </w:tc>
      </w:tr>
      <w:tr>
        <w:trPr>
          <w:cantSplit/>
        </w:trPr>
        <w:tc>
          <w:tcPr>
            <w:tcW w:type="dxa" w:w="1000"/>
            <w:vAlign w:val="top"/>
            <w:tcMar>
              <w:top w:w="80" w:type="dxa"/>
              <w:start w:w="120" w:type="dxa"/>
              <w:bottom w:w="80" w:type="dxa"/>
              <w:end w:w="120" w:type="dxa"/>
            </w:tcMar>
          </w:tcPr>
          <w:p>
            <w:pPr>
              <w:spacing w:after="40" w:line="259" w:lineRule="auto"/>
            </w:pPr>
            <w:r>
              <w:rPr>
                <w:rFonts w:ascii="Calibri" w:hAnsi="Calibri"/>
                <w:color w:val="222222"/>
                <w:sz w:val="18"/>
              </w:rPr>
              <w:t>4</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zaključani plan R5 i terenski dosje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usmjerava izvedbu kada su uvjeti u granicama</w:t>
            </w:r>
          </w:p>
        </w:tc>
      </w:tr>
      <w:tr>
        <w:trPr>
          <w:cantSplit/>
        </w:trPr>
        <w:tc>
          <w:tcPr>
            <w:tcW w:type="dxa" w:w="1000"/>
            <w:vAlign w:val="top"/>
            <w:tcMar>
              <w:top w:w="80" w:type="dxa"/>
              <w:start w:w="120" w:type="dxa"/>
              <w:bottom w:w="80" w:type="dxa"/>
              <w:end w:w="120" w:type="dxa"/>
            </w:tcMar>
          </w:tcPr>
          <w:p>
            <w:pPr>
              <w:spacing w:after="40" w:line="259" w:lineRule="auto"/>
            </w:pPr>
            <w:r>
              <w:rPr>
                <w:rFonts w:ascii="Calibri" w:hAnsi="Calibri"/>
                <w:color w:val="222222"/>
                <w:sz w:val="18"/>
              </w:rPr>
              <w:t>5</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interpretacijski sadržaj</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skraćuje se ili izostavlja prije ugrožavanja sigurnosti i režima</w:t>
            </w:r>
          </w:p>
        </w:tc>
      </w:tr>
    </w:tbl>
    <w:p>
      <w:pPr>
        <w:spacing w:after="20"/>
      </w:pPr>
    </w:p>
    <w:p>
      <w:r>
        <w:br w:type="page"/>
      </w:r>
    </w:p>
    <w:p>
      <w:pPr>
        <w:pStyle w:val="Heading1"/>
        <w:keepNext/>
      </w:pPr>
      <w:r>
        <w:t>Popis ilustracija i prava uporabe</w:t>
      </w:r>
    </w:p>
    <w:p>
      <w:pPr>
        <w:widowControl/>
      </w:pPr>
      <w:r>
        <w:t xml:space="preserve">Dokument sadrži dvije vrste ilustracija. Dvanaest shema izrađeno je izvorno za ovaj kanonski tekst; one su operativne i sigurnosne sheme, a ne nacrti prostora, evakuacijski planovi ni prikazi stvarnih ruta. Osam fotografija preuzeto je s Wikimedia Commonsa pod licencijama CC BY, CC BY-SA ili u javnom vlasništvu i prikazuje tipove terenskoga konteksta iz R6. Fotografija ilustrira uvjet izvedbe, ali ne zamjenjuje procjenu na licu mjesta: stanje staze, kapacitet, režim i dopuštenje provjeravaju se kod upravitelja neposredno prije svake izvedbe. Ilustracije su numerirane redoslijedom pojavljivanja.</w:t>
      </w:r>
    </w:p>
    <w:tbl>
      <w:tblPr>
        <w:tblStyle w:val="TableGrid"/>
        <w:tblW w:type="dxa" w:w="9200"/>
        <w:jc w:val="left"/>
        <w:tblLayout w:type="fixed"/>
        <w:tblLook w:firstColumn="1" w:firstRow="1" w:lastColumn="0" w:lastRow="0" w:noHBand="0" w:noVBand="1" w:val="04A0"/>
        <w:tblInd w:w="120" w:type="dxa"/>
      </w:tblPr>
      <w:tblGrid>
        <w:gridCol w:w="620"/>
        <w:gridCol w:w="3100"/>
        <w:gridCol w:w="3800"/>
        <w:gridCol w:w="1680"/>
      </w:tblGrid>
      <w:tr>
        <w:trPr>
          <w:tblHeader w:val="true"/>
          <w:cantSplit/>
        </w:trPr>
        <w:tc>
          <w:tcPr>
            <w:tcW w:type="dxa" w:w="620"/>
            <w:shd w:fill="E8EEF5"/>
            <w:vAlign w:val="center"/>
            <w:tcMar>
              <w:top w:w="80" w:type="dxa"/>
              <w:start w:w="120" w:type="dxa"/>
              <w:bottom w:w="80" w:type="dxa"/>
              <w:end w:w="120" w:type="dxa"/>
            </w:tcMar>
          </w:tcPr>
          <w:p>
            <w:r>
              <w:rPr>
                <w:rFonts w:ascii="Calibri" w:hAnsi="Calibri"/>
                <w:b/>
                <w:color w:val="17324D"/>
                <w:sz w:val="19"/>
              </w:rPr>
              <w:t xml:space="preserve">Br.</w:t>
            </w:r>
          </w:p>
        </w:tc>
        <w:tc>
          <w:tcPr>
            <w:tcW w:type="dxa" w:w="3100"/>
            <w:shd w:fill="E8EEF5"/>
            <w:vAlign w:val="center"/>
            <w:tcMar>
              <w:top w:w="80" w:type="dxa"/>
              <w:start w:w="120" w:type="dxa"/>
              <w:bottom w:w="80" w:type="dxa"/>
              <w:end w:w="120" w:type="dxa"/>
            </w:tcMar>
          </w:tcPr>
          <w:p>
            <w:r>
              <w:rPr>
                <w:rFonts w:ascii="Calibri" w:hAnsi="Calibri"/>
                <w:b/>
                <w:color w:val="17324D"/>
                <w:sz w:val="19"/>
              </w:rPr>
              <w:t xml:space="preserve">Naziv</w:t>
            </w:r>
          </w:p>
        </w:tc>
        <w:tc>
          <w:tcPr>
            <w:tcW w:type="dxa" w:w="3800"/>
            <w:shd w:fill="E8EEF5"/>
            <w:vAlign w:val="center"/>
            <w:tcMar>
              <w:top w:w="80" w:type="dxa"/>
              <w:start w:w="120" w:type="dxa"/>
              <w:bottom w:w="80" w:type="dxa"/>
              <w:end w:w="120" w:type="dxa"/>
            </w:tcMar>
          </w:tcPr>
          <w:p>
            <w:r>
              <w:rPr>
                <w:rFonts w:ascii="Calibri" w:hAnsi="Calibri"/>
                <w:b/>
                <w:color w:val="17324D"/>
                <w:sz w:val="19"/>
              </w:rPr>
              <w:t xml:space="preserve">Status prava</w:t>
            </w:r>
          </w:p>
        </w:tc>
        <w:tc>
          <w:tcPr>
            <w:tcW w:type="dxa" w:w="1680"/>
            <w:shd w:fill="E8EEF5"/>
            <w:vAlign w:val="center"/>
            <w:tcMar>
              <w:top w:w="80" w:type="dxa"/>
              <w:start w:w="120" w:type="dxa"/>
              <w:bottom w:w="80" w:type="dxa"/>
              <w:end w:w="120" w:type="dxa"/>
            </w:tcMar>
          </w:tcPr>
          <w:p>
            <w:r>
              <w:rPr>
                <w:rFonts w:ascii="Calibri" w:hAnsi="Calibri"/>
                <w:b/>
                <w:color w:val="17324D"/>
                <w:sz w:val="19"/>
              </w:rPr>
              <w:t xml:space="preserve">Revizija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Operativni krug vodiča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Uloge prije izvedbe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Ružica grad</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1vilenjak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Vukovarski vodotoranj</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Monument Hunter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Gradska vrata osječke Tvrđe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Pudelek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Formacija skupine u prostoru</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7</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Protokol prijelaza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8</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Brojanje kao zatvorena petlja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9</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Unutrašnjost đakovačke katedrale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Pudelek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10</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Ciklus ulaza i izlaza u interijeru</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Crkva sv. Marije Magdalene, Čazma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Pezonada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Staza kroz trstik, Kopački rit</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Antimuonium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Odluka u zaštićenom području prirode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Park prirode Papuk iz zraka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Gpavic / Wikimedia Commons / javno vlasništvo</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Drvena šetnica nad vodom, Kopački rit</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Misalalic / Wikimedia Commons / CC BY-SA 4.0</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Matrica procjene rizika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17</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Krizni slijed do predaje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18</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Odgovor na nestanak člana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19</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Deeskalacija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20</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Zatvaranje incidenta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68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bl>
    <w:p>
      <w:pPr>
        <w:pStyle w:val="Heading2"/>
        <w:keepNext/>
      </w:pPr>
      <w:r>
        <w:t>Trajne poveznice na izvore fotografija</w:t>
      </w:r>
    </w:p>
    <w:p>
      <w:pPr>
        <w:widowControl/>
      </w:pPr>
      <w:r>
        <w:t xml:space="preserve">Svih osam fotografija preuzeto je s Wikimedia Commonsa 30. kolovoza 2026. Poveznica je trajni identifikator datoteke; na njoj se nalaze puni podaci o autoru, licenciji i povijesti datoteke. Kod licencija CC BY i CC BY-SA obvezno je navesti autora, naziv licencije i poveznicu na njezin tekst, a kod CC BY-SA izvedeni se materijal dijeli pod istim uvjetima. Sheme (br. 1, 2, 6, 7, 8, 10, 13, 16, 17, 18, 19 i 20) izrađene su za ovaj dokument i nemaju vanjski izvor.</w:t>
      </w:r>
    </w:p>
    <w:tbl>
      <w:tblPr>
        <w:tblStyle w:val="TableGrid"/>
        <w:tblW w:type="dxa" w:w="9200"/>
        <w:jc w:val="left"/>
        <w:tblLayout w:type="fixed"/>
        <w:tblLook w:firstColumn="1" w:firstRow="1" w:lastColumn="0" w:lastRow="0" w:noHBand="0" w:noVBand="1" w:val="04A0"/>
        <w:tblInd w:w="120" w:type="dxa"/>
      </w:tblPr>
      <w:tblGrid>
        <w:gridCol w:w="620"/>
        <w:gridCol w:w="8580"/>
      </w:tblGrid>
      <w:tr>
        <w:trPr>
          <w:tblHeader w:val="true"/>
          <w:cantSplit/>
        </w:trPr>
        <w:tc>
          <w:tcPr>
            <w:tcW w:type="dxa" w:w="620"/>
            <w:shd w:fill="E8EEF5"/>
            <w:vAlign w:val="center"/>
            <w:tcMar>
              <w:top w:w="80" w:type="dxa"/>
              <w:start w:w="120" w:type="dxa"/>
              <w:bottom w:w="80" w:type="dxa"/>
              <w:end w:w="120" w:type="dxa"/>
            </w:tcMar>
          </w:tcPr>
          <w:p>
            <w:r>
              <w:rPr>
                <w:rFonts w:ascii="Calibri" w:hAnsi="Calibri"/>
                <w:b/>
                <w:color w:val="17324D"/>
                <w:sz w:val="19"/>
              </w:rPr>
              <w:t xml:space="preserve">Br.</w:t>
            </w:r>
          </w:p>
        </w:tc>
        <w:tc>
          <w:tcPr>
            <w:tcW w:type="dxa" w:w="8580"/>
            <w:shd w:fill="E8EEF5"/>
            <w:vAlign w:val="center"/>
            <w:tcMar>
              <w:top w:w="80" w:type="dxa"/>
              <w:start w:w="120" w:type="dxa"/>
              <w:bottom w:w="80" w:type="dxa"/>
              <w:end w:w="120" w:type="dxa"/>
            </w:tcMar>
          </w:tcPr>
          <w:p>
            <w:r>
              <w:rPr>
                <w:rFonts w:ascii="Calibri" w:hAnsi="Calibri"/>
                <w:b/>
                <w:color w:val="17324D"/>
                <w:sz w:val="19"/>
              </w:rPr>
              <w:t xml:space="preserve">Ilustracija i trajna poveznica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3</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Ružica grad — https://commons.wikimedia.org/wiki/File:Grad_Ru%C5%BEica%2C_Orahovica%2C_Z-375.jpg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4</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Vukovarski vodotoranj — https://commons.wikimedia.org/wiki/File:Vukovarski_vodotoranj_Vukovar_water_tower.jpg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5</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Gradska vrata osječke Tvrđe — https://commons.wikimedia.org/wiki/File:Tvr%C4%91a%2C_Osijek_04.jpg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9</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Unutrašnjost đakovačke katedrale — https://commons.wikimedia.org/wiki/File:Cathedral_of_%C4%90akovo%2C_Croatia_%28interior%29.jpg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11</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Crkva sv. Marije Magdalene, Čazma — https://commons.wikimedia.org/wiki/File:CRKVA_SV.MARIJE_MAGDALENE-%C4%8CAZMA.jpg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12</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Staza kroz trstik, Kopački rit — https://commons.wikimedia.org/wiki/File:Kopa%C4%8Dki_Rit%2C_walking_trail%2C_Kopa%C4%8Devo%2C_2025_%283%29.jpg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14</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Park prirode Papuk iz zraka — https://commons.wikimedia.org/wiki/File:Papuk_from_air.jpg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15</w:t>
            </w:r>
          </w:p>
        </w:tc>
        <w:tc>
          <w:tcPr>
            <w:tcW w:type="dxa" w:w="8580"/>
            <w:vAlign w:val="top"/>
            <w:tcMar>
              <w:top w:w="80" w:type="dxa"/>
              <w:start w:w="120" w:type="dxa"/>
              <w:bottom w:w="80" w:type="dxa"/>
              <w:end w:w="120" w:type="dxa"/>
            </w:tcMar>
          </w:tcPr>
          <w:p>
            <w:pPr>
              <w:spacing w:after="40" w:line="259" w:lineRule="auto"/>
            </w:pPr>
            <w:r>
              <w:rPr>
                <w:rFonts w:ascii="Calibri" w:hAnsi="Calibri"/>
                <w:color w:val="222222"/>
                <w:sz w:val="16"/>
              </w:rPr>
              <w:t xml:space="preserve">Drvena šetnica nad vodom, Kopački rit — https://commons.wikimedia.org/wiki/File:Kopa%C4%8Dki_rit_wooden_trail.JPG</w:t>
            </w:r>
          </w:p>
        </w:tc>
      </w:tr>
    </w:tbl>
    <w:p>
      <w:pPr>
        <w:pStyle w:val="Heading1"/>
        <w:keepNext/>
      </w:pPr>
      <w:r>
        <w:t>Revizijska matrica v0.9 → v1.0</w:t>
      </w:r>
    </w:p>
    <w:tbl>
      <w:tblPr>
        <w:tblStyle w:val="TableGrid"/>
        <w:tblW w:type="dxa" w:w="9200"/>
        <w:jc w:val="left"/>
        <w:tblLayout w:type="fixed"/>
        <w:tblLook w:firstColumn="1" w:firstRow="1" w:lastColumn="0" w:lastRow="0" w:noHBand="0" w:noVBand="1" w:val="04A0"/>
        <w:tblInd w:w="120" w:type="dxa"/>
      </w:tblPr>
      <w:tblGrid>
        <w:gridCol w:w="1450"/>
        <w:gridCol w:w="4550"/>
        <w:gridCol w:w="2300"/>
        <w:gridCol w:w="900"/>
      </w:tblGrid>
      <w:tr>
        <w:trPr>
          <w:tblHeader w:val="true"/>
          <w:cantSplit/>
        </w:trPr>
        <w:tc>
          <w:tcPr>
            <w:tcW w:type="dxa" w:w="1450"/>
            <w:shd w:fill="E8EEF5"/>
            <w:vAlign w:val="center"/>
            <w:tcMar>
              <w:top w:w="80" w:type="dxa"/>
              <w:start w:w="120" w:type="dxa"/>
              <w:bottom w:w="80" w:type="dxa"/>
              <w:end w:w="120" w:type="dxa"/>
            </w:tcMar>
          </w:tcPr>
          <w:p>
            <w:r>
              <w:rPr>
                <w:rFonts w:ascii="Calibri" w:hAnsi="Calibri"/>
                <w:b/>
                <w:color w:val="17324D"/>
                <w:sz w:val="19"/>
              </w:rPr>
              <w:t>Audit</w:t>
            </w:r>
          </w:p>
        </w:tc>
        <w:tc>
          <w:tcPr>
            <w:tcW w:type="dxa" w:w="4550"/>
            <w:shd w:fill="E8EEF5"/>
            <w:vAlign w:val="center"/>
            <w:tcMar>
              <w:top w:w="80" w:type="dxa"/>
              <w:start w:w="120" w:type="dxa"/>
              <w:bottom w:w="80" w:type="dxa"/>
              <w:end w:w="120" w:type="dxa"/>
            </w:tcMar>
          </w:tcPr>
          <w:p>
            <w:r>
              <w:rPr>
                <w:rFonts w:ascii="Calibri" w:hAnsi="Calibri"/>
                <w:b/>
                <w:color w:val="17324D"/>
                <w:sz w:val="19"/>
              </w:rPr>
              <w:t>Obvezna provjera</w:t>
            </w:r>
          </w:p>
        </w:tc>
        <w:tc>
          <w:tcPr>
            <w:tcW w:type="dxa" w:w="2300"/>
            <w:shd w:fill="E8EEF5"/>
            <w:vAlign w:val="center"/>
            <w:tcMar>
              <w:top w:w="80" w:type="dxa"/>
              <w:start w:w="120" w:type="dxa"/>
              <w:bottom w:w="80" w:type="dxa"/>
              <w:end w:w="120" w:type="dxa"/>
            </w:tcMar>
          </w:tcPr>
          <w:p>
            <w:r>
              <w:rPr>
                <w:rFonts w:ascii="Calibri" w:hAnsi="Calibri"/>
                <w:b/>
                <w:color w:val="17324D"/>
                <w:sz w:val="19"/>
              </w:rPr>
              <w:t>Nositelj</w:t>
            </w:r>
          </w:p>
        </w:tc>
        <w:tc>
          <w:tcPr>
            <w:tcW w:type="dxa" w:w="900"/>
            <w:shd w:fill="E8EEF5"/>
            <w:vAlign w:val="center"/>
            <w:tcMar>
              <w:top w:w="80" w:type="dxa"/>
              <w:start w:w="120" w:type="dxa"/>
              <w:bottom w:w="80" w:type="dxa"/>
              <w:end w:w="120" w:type="dxa"/>
            </w:tcMar>
          </w:tcPr>
          <w:p>
            <w:r>
              <w:rPr>
                <w:rFonts w:ascii="Calibri" w:hAnsi="Calibri"/>
                <w:b/>
                <w:color w:val="17324D"/>
                <w:sz w:val="19"/>
              </w:rPr>
              <w:t>Status</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Pravni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NN 53/2026, ovlasti, dopuštenja, obrada osobnih podataka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pravnik / nositelj programa</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Metodički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ishod f), 5 × 4 sata, tri terena i dokazna mapa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voditelj programa</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Regionalni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25 lokaliteta, šest klastera i točnost naziva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regionalni stručnjaci</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Operativni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uloge, brojanje, prijelazi, kontakti, mjesto okupljanja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vodič / agencija</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Sigurnosni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rizici, prekid, simulacije, 112, evakuacija i predaja</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stručnjak sigurnosti</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Prva pomoć</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granice uloge i poveznica s formalnom praktičnom obukom</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ovlašteni edukator</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Upraviteljski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parkovi, interijeri, sakralni i memorijalni prostori</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nadležne ustanove</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Pristupačnost</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briefing, ruta, komunikacija, odmor i siguran izlaz</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stručnjak + korisnici</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Jezični</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hrvatski standard, jasnoća naredbi i neutralan zapis</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lektor</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r>
        <w:trPr>
          <w:cantSplit/>
        </w:trPr>
        <w:tc>
          <w:tcPr>
            <w:tcW w:type="dxa" w:w="2000"/>
            <w:vAlign w:val="top"/>
            <w:tcMar>
              <w:top w:w="80" w:type="dxa"/>
              <w:start w:w="120" w:type="dxa"/>
              <w:bottom w:w="80" w:type="dxa"/>
              <w:end w:w="120" w:type="dxa"/>
            </w:tcMar>
          </w:tcPr>
          <w:p>
            <w:pPr>
              <w:spacing w:after="40" w:line="259" w:lineRule="auto"/>
            </w:pPr>
            <w:r>
              <w:rPr>
                <w:rFonts w:ascii="Calibri" w:hAnsi="Calibri"/>
                <w:color w:val="222222"/>
                <w:sz w:val="18"/>
              </w:rPr>
              <w:t xml:space="preserve">Vizuali i prava</w:t>
            </w:r>
          </w:p>
        </w:tc>
        <w:tc>
          <w:tcPr>
            <w:tcW w:type="dxa" w:w="4200"/>
            <w:vAlign w:val="top"/>
            <w:tcMar>
              <w:top w:w="80" w:type="dxa"/>
              <w:start w:w="120" w:type="dxa"/>
              <w:bottom w:w="80" w:type="dxa"/>
              <w:end w:w="120" w:type="dxa"/>
            </w:tcMar>
          </w:tcPr>
          <w:p>
            <w:pPr>
              <w:spacing w:after="40" w:line="259" w:lineRule="auto"/>
            </w:pPr>
            <w:r>
              <w:rPr>
                <w:rFonts w:ascii="Calibri" w:hAnsi="Calibri"/>
                <w:color w:val="222222"/>
                <w:sz w:val="18"/>
              </w:rPr>
              <w:t xml:space="preserve">alt-opisi, čitljivost shema te autor, licencija i trajna poveznica fotografija</w:t>
            </w:r>
          </w:p>
        </w:tc>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 xml:space="preserve">urednik / dizajner</w:t>
            </w:r>
          </w:p>
        </w:tc>
        <w:tc>
          <w:tcPr>
            <w:tcW w:type="dxa" w:w="800"/>
            <w:vAlign w:val="top"/>
            <w:tcMar>
              <w:top w:w="80" w:type="dxa"/>
              <w:start w:w="120" w:type="dxa"/>
              <w:bottom w:w="80" w:type="dxa"/>
              <w:end w:w="120" w:type="dxa"/>
            </w:tcMar>
          </w:tcPr>
          <w:p>
            <w:pPr>
              <w:spacing w:after="40" w:line="259" w:lineRule="auto"/>
            </w:pPr>
            <w:r>
              <w:rPr>
                <w:rFonts w:ascii="Calibri" w:hAnsi="Calibri"/>
                <w:color w:val="222222"/>
                <w:sz w:val="18"/>
              </w:rPr>
              <w:t xml:space="preserve">☐</w:t>
            </w:r>
          </w:p>
        </w:tc>
      </w:tr>
      <w:tr>
        <w:trPr>
          <w:cantSplit/>
        </w:trPr>
        <w:tc>
          <w:tcPr>
            <w:tcW w:type="dxa" w:w="1450"/>
            <w:vAlign w:val="top"/>
            <w:tcMar>
              <w:top w:w="80" w:type="dxa"/>
              <w:start w:w="120" w:type="dxa"/>
              <w:bottom w:w="80" w:type="dxa"/>
              <w:end w:w="120" w:type="dxa"/>
            </w:tcMar>
          </w:tcPr>
          <w:p>
            <w:pPr>
              <w:spacing w:after="40" w:line="259" w:lineRule="auto"/>
            </w:pPr>
            <w:r>
              <w:rPr>
                <w:rFonts w:ascii="Calibri" w:hAnsi="Calibri"/>
                <w:color w:val="222222"/>
                <w:sz w:val="18"/>
              </w:rPr>
              <w:t>Terenski pilot</w:t>
            </w:r>
          </w:p>
        </w:tc>
        <w:tc>
          <w:tcPr>
            <w:tcW w:type="dxa" w:w="4550"/>
            <w:vAlign w:val="top"/>
            <w:tcMar>
              <w:top w:w="80" w:type="dxa"/>
              <w:start w:w="120" w:type="dxa"/>
              <w:bottom w:w="80" w:type="dxa"/>
              <w:end w:w="120" w:type="dxa"/>
            </w:tcMar>
          </w:tcPr>
          <w:p>
            <w:pPr>
              <w:spacing w:after="40" w:line="259" w:lineRule="auto"/>
            </w:pPr>
            <w:r>
              <w:rPr>
                <w:rFonts w:ascii="Calibri" w:hAnsi="Calibri"/>
                <w:color w:val="222222"/>
                <w:sz w:val="18"/>
              </w:rPr>
              <w:t>urbano + zatvoreno/sakralno + priroda + dvije simulacije</w:t>
            </w:r>
          </w:p>
        </w:tc>
        <w:tc>
          <w:tcPr>
            <w:tcW w:type="dxa" w:w="2300"/>
            <w:vAlign w:val="top"/>
            <w:tcMar>
              <w:top w:w="80" w:type="dxa"/>
              <w:start w:w="120" w:type="dxa"/>
              <w:bottom w:w="80" w:type="dxa"/>
              <w:end w:w="120" w:type="dxa"/>
            </w:tcMar>
          </w:tcPr>
          <w:p>
            <w:pPr>
              <w:spacing w:after="40" w:line="259" w:lineRule="auto"/>
            </w:pPr>
            <w:r>
              <w:rPr>
                <w:rFonts w:ascii="Calibri" w:hAnsi="Calibri"/>
                <w:color w:val="222222"/>
                <w:sz w:val="18"/>
              </w:rPr>
              <w:t>voditelj programa</w:t>
            </w:r>
          </w:p>
        </w:tc>
        <w:tc>
          <w:tcPr>
            <w:tcW w:type="dxa" w:w="900"/>
            <w:vAlign w:val="top"/>
            <w:tcMar>
              <w:top w:w="80" w:type="dxa"/>
              <w:start w:w="120" w:type="dxa"/>
              <w:bottom w:w="80" w:type="dxa"/>
              <w:end w:w="120" w:type="dxa"/>
            </w:tcMar>
          </w:tcPr>
          <w:p>
            <w:pPr>
              <w:spacing w:after="40" w:line="259" w:lineRule="auto"/>
            </w:pPr>
            <w:r>
              <w:rPr>
                <w:rFonts w:ascii="Calibri" w:hAnsi="Calibri"/>
                <w:color w:val="222222"/>
                <w:sz w:val="18"/>
              </w:rPr>
              <w:t>☐</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KRITERIJ OBJAVE  </w:t>
      </w:r>
      <w:r>
        <w:rPr>
          <w:rFonts w:ascii="Calibri" w:hAnsi="Calibri"/>
          <w:b/>
          <w:color w:val="17324D"/>
          <w:sz w:val="21"/>
        </w:rPr>
        <w:t>v1.0 se objavljuje tek nakon sigurnoga terenskog pilota, zatvorenih ozbiljnih nalaza, provjerenih obrazaca i potvrde da izvođači mogu dosljedno ocjenjivati iste radnje u usporedivim scenarijima.</w:t>
      </w:r>
    </w:p>
    <w:p>
      <w:r>
        <w:br w:type="page"/>
      </w:r>
    </w:p>
    <w:p>
      <w:pPr>
        <w:pStyle w:val="Heading1"/>
        <w:keepNext/>
      </w:pPr>
      <w:r>
        <w:t>Završna kanonska kartica R6</w:t>
      </w:r>
    </w:p>
    <w:tbl>
      <w:tblPr>
        <w:tblStyle w:val="TableGrid"/>
        <w:tblW w:type="dxa" w:w="9200"/>
        <w:jc w:val="left"/>
        <w:tblLayout w:type="fixed"/>
        <w:tblLook w:firstColumn="1" w:firstRow="1" w:lastColumn="0" w:lastRow="0" w:noHBand="0" w:noVBand="1" w:val="04A0"/>
        <w:tblInd w:w="120" w:type="dxa"/>
      </w:tblPr>
      <w:tblGrid>
        <w:gridCol w:w="2200"/>
        <w:gridCol w:w="7000"/>
      </w:tblGrid>
      <w:tr>
        <w:trPr>
          <w:tblHeader w:val="true"/>
          <w:cantSplit/>
        </w:trPr>
        <w:tc>
          <w:tcPr>
            <w:tcW w:type="dxa" w:w="2200"/>
            <w:shd w:fill="E8EEF5"/>
            <w:vAlign w:val="center"/>
            <w:tcMar>
              <w:top w:w="80" w:type="dxa"/>
              <w:start w:w="120" w:type="dxa"/>
              <w:bottom w:w="80" w:type="dxa"/>
              <w:end w:w="120" w:type="dxa"/>
            </w:tcMar>
          </w:tcPr>
          <w:p>
            <w:r>
              <w:rPr>
                <w:rFonts w:ascii="Calibri" w:hAnsi="Calibri"/>
                <w:b/>
                <w:color w:val="17324D"/>
                <w:sz w:val="19"/>
              </w:rPr>
              <w:t>Element</w:t>
            </w:r>
          </w:p>
        </w:tc>
        <w:tc>
          <w:tcPr>
            <w:tcW w:type="dxa" w:w="7000"/>
            <w:shd w:fill="E8EEF5"/>
            <w:vAlign w:val="center"/>
            <w:tcMar>
              <w:top w:w="80" w:type="dxa"/>
              <w:start w:w="120" w:type="dxa"/>
              <w:bottom w:w="80" w:type="dxa"/>
              <w:end w:w="120" w:type="dxa"/>
            </w:tcMar>
          </w:tcPr>
          <w:p>
            <w:r>
              <w:rPr>
                <w:rFonts w:ascii="Calibri" w:hAnsi="Calibri"/>
                <w:b/>
                <w:color w:val="17324D"/>
                <w:sz w:val="19"/>
              </w:rPr>
              <w:t>Kanonski odgovor</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Svrha</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Pretvoriti plan iz R5 u sigurnu, dostojanstvenu i prilagodljivu terensku izvedbu.</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Ishod</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Upravljanje skupinom, kretanjem, konfliktima i krizama na zaštićenim cjelinama Regije I.</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Satnica</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20 sati vježbi: pet cjelina po četiri sata.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Pravni obuhvat</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25 lokaliteta Regije I: 14 iz članka 4. i 11 iz članka 5. Pravilnika o popisu.</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Obvezni tereni</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najmanje urbano, zatvoreno/sakralno i zaštićeno područje prirode tijekom R5/R6.</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Krizni scenariji</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ozljeda, nestanak člana, nagla vremenska promjena i evakuacija; bez stvarnoga ugrožavanja.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Komunikacija</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briefing, zatvorena petlja uputa, deeskalacija, jasna granica i potvrda dogovora.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Dokumentiranje</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činjenice, vremena, radnje, predaja, debrief i korektivna mjera uz zaštitu podataka.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Izlazni proizvod</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dokazna mapa triju terena, krizne i konfliktne simulacije te incidentnog zapisa.</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Ispit</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situacijsko pitanje za ishod f): 5 bodova, prag 2,5 prema radnom Programu.</w:t>
            </w:r>
          </w:p>
        </w:tc>
      </w:tr>
      <w:tr>
        <w:trPr>
          <w:cantSplit/>
        </w:trPr>
        <w:tc>
          <w:tcPr>
            <w:tcW w:type="dxa" w:w="2200"/>
            <w:vAlign w:val="top"/>
            <w:tcMar>
              <w:top w:w="80" w:type="dxa"/>
              <w:start w:w="120" w:type="dxa"/>
              <w:bottom w:w="80" w:type="dxa"/>
              <w:end w:w="120" w:type="dxa"/>
            </w:tcMar>
          </w:tcPr>
          <w:p>
            <w:pPr>
              <w:spacing w:after="40" w:line="259" w:lineRule="auto"/>
            </w:pPr>
            <w:r>
              <w:rPr>
                <w:rFonts w:ascii="Calibri" w:hAnsi="Calibri"/>
                <w:color w:val="222222"/>
                <w:sz w:val="18"/>
              </w:rPr>
              <w:t>Granica prema R5</w:t>
            </w:r>
          </w:p>
        </w:tc>
        <w:tc>
          <w:tcPr>
            <w:tcW w:type="dxa" w:w="7000"/>
            <w:vAlign w:val="top"/>
            <w:tcMar>
              <w:top w:w="80" w:type="dxa"/>
              <w:start w:w="120" w:type="dxa"/>
              <w:bottom w:w="80" w:type="dxa"/>
              <w:end w:w="120" w:type="dxa"/>
            </w:tcMar>
          </w:tcPr>
          <w:p>
            <w:pPr>
              <w:spacing w:after="40" w:line="259" w:lineRule="auto"/>
            </w:pPr>
            <w:r>
              <w:rPr>
                <w:rFonts w:ascii="Calibri" w:hAnsi="Calibri"/>
                <w:color w:val="222222"/>
                <w:sz w:val="18"/>
              </w:rPr>
              <w:t>R5 planira; R6 upravlja stvarnom izvedbom i odstupanjima.</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SAŽETAK U JEDNOJ REČENICI  </w:t>
      </w:r>
      <w:r>
        <w:rPr>
          <w:rFonts w:ascii="Calibri" w:hAnsi="Calibri"/>
          <w:b/>
          <w:color w:val="17324D"/>
          <w:sz w:val="21"/>
        </w:rPr>
        <w:t>R6 uči kandidata održati ljude, vrijeme, prostor i komunikaciju pod kontrolom — te pravodobno zaustaviti, prilagoditi, uključiti pomoć i dokumentirati kada stvarnost odstupi od plana.</w:t>
      </w:r>
    </w:p>
    <w:sectPr w:rsidR="00FC693F" w:rsidRPr="0006063C" w:rsidSect="00034616">
      <w:headerReference w:type="default" r:id="rId9"/>
      <w:footerReference w:type="default" r:id="rId10"/>
      <w:pgSz w:w="12240" w:h="15840"/>
      <w:pgMar w:top="1094" w:right="1181" w:bottom="1008"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667085"/>
        <w:sz w:val="16"/>
      </w:rPr>
      <w:t xml:space="preserve">R6 · Vođenje grupa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Calibri" w:hAnsi="Calibri"/>
        <w:b/>
        <w:color w:val="667085"/>
        <w:sz w:val="16"/>
      </w:rPr>
      <w:t>POSEBNI PROGRAM · REGIJA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Calibri" w:hAnsi="Calibri"/>
      <w:color w:val="222222"/>
      <w:sz w:val="20"/>
      <w:lang w:val="hr-H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2E74B5"/>
      <w:sz w:val="33"/>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R6 — Vođenje grupa na zaštićenim cjelinama Regije I.</dc:title>
  <dc:subject>Kanonski tekst posebnog programa za turističke vodiče, Regija I.</dc:subject>
  <dc:creator>Projekt edukacije turističkih vodiča</dc:creator>
  <cp:keywords>R6, turistički vodiči, Regija I, upravljanje skupinom, sigurnost, kriza, 112</cp:keywords>
  <dc:description>Razvojna verzija v0.9 za stručnu reviziju.</dc:description>
  <cp:lastModifiedBy/>
  <cp:revision>1</cp:revision>
  <dcterms:created xsi:type="dcterms:W3CDTF">2013-12-23T23:15:00Z</dcterms:created>
  <dcterms:modified xsi:type="dcterms:W3CDTF">2013-12-23T23:15:00Z</dcterms:modified>
  <cp:category/>
</cp:coreProperties>
</file>