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B78727"/>
          <w:sz w:val="20"/>
        </w:rPr>
        <w:t>POSEBNI DIO STRUČNOG ISPITA ZA TURISTIČKOG VODIČA</w:t>
      </w:r>
    </w:p>
    <w:p>
      <w:pPr>
        <w:jc w:val="center"/>
      </w:pPr>
      <w:r>
        <w:rPr>
          <w:rFonts w:ascii="Calibri" w:hAnsi="Calibri"/>
          <w:b/>
          <w:color w:val="B78727"/>
          <w:sz w:val="72"/>
        </w:rPr>
        <w:t>R4</w:t>
      </w:r>
    </w:p>
    <w:p>
      <w:pPr>
        <w:spacing w:after="320"/>
        <w:jc w:val="center"/>
      </w:pPr>
      <w:r>
        <w:rPr>
          <w:rFonts w:ascii="Calibri" w:hAnsi="Calibri"/>
          <w:b/>
          <w:color w:val="17324D"/>
          <w:sz w:val="50"/>
        </w:rPr>
        <w:t>Društveno okruženje Regije I.</w:t>
      </w:r>
    </w:p>
    <w:p>
      <w:pPr>
        <w:spacing w:after="860"/>
        <w:jc w:val="center"/>
      </w:pPr>
      <w:r>
        <w:rPr>
          <w:rFonts w:ascii="Calibri" w:hAnsi="Calibri"/>
          <w:color w:val="667085"/>
          <w:sz w:val="21"/>
        </w:rPr>
        <w:t>Bjelovarsko-bilogorska · Brodsko-posavska · Osječko-baranjska · Požeško-slavonska · Virovitičko-podravska · Vukovarsko-srijemska županija</w:t>
      </w:r>
    </w:p>
    <w:p>
      <w:pPr>
        <w:jc w:val="center"/>
      </w:pPr>
      <w:r>
        <w:rPr>
          <w:rFonts w:ascii="Calibri" w:hAnsi="Calibri"/>
          <w:b/>
          <w:color w:val="9B1C1C"/>
          <w:sz w:val="22"/>
        </w:rPr>
        <w:t>KANONSKI TEKST · v0.9.1 ZA STRUČNU REVIZIJU</w:t>
      </w:r>
    </w:p>
    <w:p>
      <w:pPr>
        <w:jc w:val="center"/>
      </w:pPr>
      <w:r>
        <w:rPr>
          <w:rFonts w:ascii="Calibri" w:hAnsi="Calibri"/>
          <w:color w:val="667085"/>
          <w:sz w:val="20"/>
        </w:rPr>
        <w:t>kolovoz 2026.</w:t>
      </w:r>
    </w:p>
    <w:p>
      <w:r>
        <w:br w:type="page"/>
      </w:r>
    </w:p>
    <w:p>
      <w:pPr>
        <w:pStyle w:val="Heading1"/>
        <w:keepNext/>
      </w:pPr>
      <w:r>
        <w:t>Nakladnička i revizijska napomena</w:t>
      </w:r>
    </w:p>
    <w:p>
      <w:pPr>
        <w:spacing w:before="120" w:after="160" w:line="283" w:lineRule="auto"/>
        <w:ind w:left="202" w:right="115"/>
        <w:shd w:fill="FCECEC"/>
        <w:pBdr>
          <w:left w:val="single" w:sz="18" w:space="8" w:color="9B1C1C"/>
        </w:pBdr>
      </w:pPr>
      <w:r>
        <w:rPr>
          <w:rFonts w:ascii="Calibri" w:hAnsi="Calibri"/>
          <w:b/>
          <w:color w:val="9B1C1C"/>
          <w:sz w:val="19"/>
        </w:rPr>
        <w:t xml:space="preserve">STATUS DOKUMENTA  </w:t>
      </w:r>
      <w:r>
        <w:rPr>
          <w:rFonts w:ascii="Calibri" w:hAnsi="Calibri"/>
          <w:b/>
          <w:color w:val="17324D"/>
          <w:sz w:val="21"/>
        </w:rPr>
        <w:t>Verzija v0.9.1 donosi uredničku reviziju i prošireni fotografski aparat: uz izvorne sheme dodano je osam fotografija iz slobodno licenciranih izvora. Razvojna verzija postaje v1.0 nakon ekonomskog, sociološkog, demografskog, institucionalnog, turističkog, pravnog, jezičnog i pristupačnog audita. Sve brojke, nazivi ustanova, programi događanja, prometni režimi i operativni uvjeti moraju se ponovno provjeriti neposredno prije objave i svake izvedbe.</w:t>
      </w:r>
    </w:p>
    <w:p>
      <w:pPr>
        <w:widowControl/>
      </w:pPr>
      <w:r>
        <w:t>Ovaj tekst pripada zasebnoj platformi Posebnog programa za Regiju I. R4 ne svodi društveno okruženje na statističku sliku ili popis ustanova. Kandidata osposobljava da gospodarstvo, stanovništvo, javne funkcije, obrazovanje, znanost, sport i slobodno vrijeme prepozna u prostoru te ih pretvori u provjerljivu, razumljivu i nepristranu interpretaciju.</w:t>
      </w:r>
    </w:p>
    <w:p>
      <w:pPr>
        <w:widowControl/>
      </w:pPr>
      <w:r>
        <w:t>Programska struktura obvezno ima četiri cjeline: gospodarstvo (3 sata), demografiju i društvene promjene (2), obrazovanje, znanost i institucije (3) te sport, zabavu i manifestacije (2). Svaka završava pitanjem „što od ovoga i kako ide u vođenje”, mikroprovjerom i proizvodom za portfelj.</w:t>
      </w:r>
    </w:p>
    <w:p>
      <w:pPr>
        <w:widowControl/>
      </w:pPr>
      <w:r>
        <w:t>Društvene teme brzo zastarijevaju i mogu biti osjetljive. Zato svaka važna tvrdnja dobiva naziv pokazatelja, teritorij, referentno vrijeme, izvor i razinu sigurnosti. Vodič ne koristi pojedinca kao „dokaz” za cijelu skupinu, ne pripisuje uzrok samo iz korelacije i ne pretvara javnu politiku u stranačku promidžbu.</w:t>
      </w:r>
    </w:p>
    <w:tbl>
      <w:tblPr>
        <w:tblStyle w:val="TableGrid"/>
        <w:tblW w:type="dxa" w:w="9200"/>
        <w:jc w:val="left"/>
        <w:tblLayout w:type="fixed"/>
        <w:tblLook w:firstColumn="1" w:firstRow="1" w:lastColumn="0" w:lastRow="0" w:noHBand="0" w:noVBand="1" w:val="04A0"/>
        <w:tblInd w:w="120" w:type="dxa"/>
      </w:tblPr>
      <w:tblGrid>
        <w:gridCol w:w="1900"/>
        <w:gridCol w:w="3850"/>
        <w:gridCol w:w="345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Vrsta iskaza</w:t>
            </w:r>
          </w:p>
        </w:tc>
        <w:tc>
          <w:tcPr>
            <w:tcW w:type="dxa" w:w="3850"/>
            <w:shd w:fill="E8EEF5"/>
            <w:vAlign w:val="center"/>
            <w:tcMar>
              <w:top w:w="80" w:type="dxa"/>
              <w:start w:w="120" w:type="dxa"/>
              <w:bottom w:w="80" w:type="dxa"/>
              <w:end w:w="120" w:type="dxa"/>
            </w:tcMar>
          </w:tcPr>
          <w:p>
            <w:r>
              <w:rPr>
                <w:rFonts w:ascii="Calibri" w:hAnsi="Calibri"/>
                <w:b/>
                <w:color w:val="17324D"/>
                <w:sz w:val="19"/>
              </w:rPr>
              <w:t>Što mora sadržavati</w:t>
            </w:r>
          </w:p>
        </w:tc>
        <w:tc>
          <w:tcPr>
            <w:tcW w:type="dxa" w:w="3450"/>
            <w:shd w:fill="E8EEF5"/>
            <w:vAlign w:val="center"/>
            <w:tcMar>
              <w:top w:w="80" w:type="dxa"/>
              <w:start w:w="120" w:type="dxa"/>
              <w:bottom w:w="80" w:type="dxa"/>
              <w:end w:w="120" w:type="dxa"/>
            </w:tcMar>
          </w:tcPr>
          <w:p>
            <w:r>
              <w:rPr>
                <w:rFonts w:ascii="Calibri" w:hAnsi="Calibri"/>
                <w:b/>
                <w:color w:val="17324D"/>
                <w:sz w:val="19"/>
              </w:rPr>
              <w:t>Primjer stručne discipline</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STATISTIČKI PODATAK</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pokazatelj, jedinica/nazivnik, prostor, godina, izvor, revizija</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„Prema Popisu 2021., na razini …; to je presjek, ne današnja procjena.”</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INSTITUCIONALNA ČINJENICA</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nadležnost, funkcija, važeći naziv i datum provjere</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„Ustanova upravlja … prema službenoj stranici, provjereno …”</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GLAS STANOVNIKA / DIONIKA</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pristanak, atribucija, kontekst i granica reprezentativnosti</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„Sugovornica opisuje vlastito iskustvo; ono nije glas svih.”</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INTERPRETACIJA</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vidljiv trag, dokaz, razumno povezivanje i jasno označena ograda</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„Ovaj odnos možemo čitati kao …, ali podatak sam ne dokazuje uzrok.”</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OPERATIVNI PODATAK</w:t>
            </w:r>
          </w:p>
        </w:tc>
        <w:tc>
          <w:tcPr>
            <w:tcW w:type="dxa" w:w="3850"/>
            <w:vAlign w:val="top"/>
            <w:tcMar>
              <w:top w:w="80" w:type="dxa"/>
              <w:start w:w="120" w:type="dxa"/>
              <w:bottom w:w="80" w:type="dxa"/>
              <w:end w:w="120" w:type="dxa"/>
            </w:tcMar>
          </w:tcPr>
          <w:p>
            <w:pPr>
              <w:spacing w:after="40" w:line="259" w:lineRule="auto"/>
            </w:pPr>
            <w:r>
              <w:rPr>
                <w:rFonts w:ascii="Calibri" w:hAnsi="Calibri"/>
                <w:color w:val="222222"/>
                <w:sz w:val="18"/>
              </w:rPr>
              <w:t>službena potvrda, vrijeme provjere i plan B</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termin, ulaz, kapacitet, zatvaranje, dostupnost, sigurnost</w:t>
            </w:r>
          </w:p>
        </w:tc>
      </w:tr>
    </w:tbl>
    <w:p>
      <w:pPr>
        <w:spacing w:after="20"/>
      </w:pPr>
    </w:p>
    <w:p>
      <w:r>
        <w:br w:type="page"/>
      </w:r>
    </w:p>
    <w:p>
      <w:pPr>
        <w:pStyle w:val="Heading1"/>
        <w:keepNext/>
      </w:pPr>
      <w:r>
        <w:t>Sadržaj i programska satnica</w:t>
      </w:r>
    </w:p>
    <w:p>
      <w:pPr>
        <w:numPr>
          <w:ilvl w:val="0"/>
          <w:numId w:val="11"/>
        </w:numPr>
      </w:pPr>
      <w:r>
        <w:t>Polazišta, ishod i metoda društvene interpretacije</w:t>
      </w:r>
    </w:p>
    <w:p>
      <w:pPr>
        <w:numPr>
          <w:ilvl w:val="0"/>
          <w:numId w:val="11"/>
        </w:numPr>
      </w:pPr>
      <w:r>
        <w:t>R4.1 Gospodarstvo</w:t>
      </w:r>
    </w:p>
    <w:p>
      <w:pPr>
        <w:numPr>
          <w:ilvl w:val="0"/>
          <w:numId w:val="11"/>
        </w:numPr>
      </w:pPr>
      <w:r>
        <w:t>R4.2 Demografija i društvene promjene</w:t>
      </w:r>
    </w:p>
    <w:p>
      <w:pPr>
        <w:numPr>
          <w:ilvl w:val="0"/>
          <w:numId w:val="11"/>
        </w:numPr>
      </w:pPr>
      <w:r>
        <w:t>R4.3 Obrazovanje, znanost i institucije</w:t>
      </w:r>
    </w:p>
    <w:p>
      <w:pPr>
        <w:numPr>
          <w:ilvl w:val="0"/>
          <w:numId w:val="11"/>
        </w:numPr>
      </w:pPr>
      <w:r>
        <w:t>R4.4 Sport, zabava i manifestacije</w:t>
      </w:r>
    </w:p>
    <w:p>
      <w:pPr>
        <w:numPr>
          <w:ilvl w:val="0"/>
          <w:numId w:val="11"/>
        </w:numPr>
      </w:pPr>
      <w:r>
        <w:t>Sinteza, zadaci, pitanja i vrednovanje</w:t>
      </w:r>
    </w:p>
    <w:p>
      <w:pPr>
        <w:numPr>
          <w:ilvl w:val="0"/>
          <w:numId w:val="11"/>
        </w:numPr>
      </w:pPr>
      <w:r>
        <w:t>Izvori, prava i revizijska matrica</w:t>
      </w:r>
    </w:p>
    <w:tbl>
      <w:tblPr>
        <w:tblStyle w:val="TableGrid"/>
        <w:tblW w:type="dxa" w:w="9200"/>
        <w:jc w:val="left"/>
        <w:tblLayout w:type="fixed"/>
        <w:tblLook w:firstColumn="1" w:firstRow="1" w:lastColumn="0" w:lastRow="0" w:noHBand="0" w:noVBand="1" w:val="04A0"/>
        <w:tblInd w:w="120" w:type="dxa"/>
      </w:tblPr>
      <w:tblGrid>
        <w:gridCol w:w="1050"/>
        <w:gridCol w:w="5100"/>
        <w:gridCol w:w="700"/>
        <w:gridCol w:w="2350"/>
      </w:tblGrid>
      <w:tr>
        <w:trPr>
          <w:tblHeader w:val="true"/>
          <w:cantSplit/>
        </w:trPr>
        <w:tc>
          <w:tcPr>
            <w:tcW w:type="dxa" w:w="1050"/>
            <w:shd w:fill="E8EEF5"/>
            <w:vAlign w:val="center"/>
            <w:tcMar>
              <w:top w:w="80" w:type="dxa"/>
              <w:start w:w="120" w:type="dxa"/>
              <w:bottom w:w="80" w:type="dxa"/>
              <w:end w:w="120" w:type="dxa"/>
            </w:tcMar>
          </w:tcPr>
          <w:p>
            <w:r>
              <w:rPr>
                <w:rFonts w:ascii="Calibri" w:hAnsi="Calibri"/>
                <w:b/>
                <w:color w:val="17324D"/>
                <w:sz w:val="19"/>
              </w:rPr>
              <w:t>Cjelina</w:t>
            </w:r>
          </w:p>
        </w:tc>
        <w:tc>
          <w:tcPr>
            <w:tcW w:type="dxa" w:w="5100"/>
            <w:shd w:fill="E8EEF5"/>
            <w:vAlign w:val="center"/>
            <w:tcMar>
              <w:top w:w="80" w:type="dxa"/>
              <w:start w:w="120" w:type="dxa"/>
              <w:bottom w:w="80" w:type="dxa"/>
              <w:end w:w="120" w:type="dxa"/>
            </w:tcMar>
          </w:tcPr>
          <w:p>
            <w:r>
              <w:rPr>
                <w:rFonts w:ascii="Calibri" w:hAnsi="Calibri"/>
                <w:b/>
                <w:color w:val="17324D"/>
                <w:sz w:val="19"/>
              </w:rPr>
              <w:t>Tema iz Programa</w:t>
            </w:r>
          </w:p>
        </w:tc>
        <w:tc>
          <w:tcPr>
            <w:tcW w:type="dxa" w:w="700"/>
            <w:shd w:fill="E8EEF5"/>
            <w:vAlign w:val="center"/>
            <w:tcMar>
              <w:top w:w="80" w:type="dxa"/>
              <w:start w:w="120" w:type="dxa"/>
              <w:bottom w:w="80" w:type="dxa"/>
              <w:end w:w="120" w:type="dxa"/>
            </w:tcMar>
          </w:tcPr>
          <w:p>
            <w:r>
              <w:rPr>
                <w:rFonts w:ascii="Calibri" w:hAnsi="Calibri"/>
                <w:b/>
                <w:color w:val="17324D"/>
                <w:sz w:val="19"/>
              </w:rPr>
              <w:t>Sati</w:t>
            </w:r>
          </w:p>
        </w:tc>
        <w:tc>
          <w:tcPr>
            <w:tcW w:type="dxa" w:w="2350"/>
            <w:shd w:fill="E8EEF5"/>
            <w:vAlign w:val="center"/>
            <w:tcMar>
              <w:top w:w="80" w:type="dxa"/>
              <w:start w:w="120" w:type="dxa"/>
              <w:bottom w:w="80" w:type="dxa"/>
              <w:end w:w="120" w:type="dxa"/>
            </w:tcMar>
          </w:tcPr>
          <w:p>
            <w:r>
              <w:rPr>
                <w:rFonts w:ascii="Calibri" w:hAnsi="Calibri"/>
                <w:b/>
                <w:color w:val="17324D"/>
                <w:sz w:val="19"/>
              </w:rPr>
              <w:t>Metoda</w:t>
            </w:r>
          </w:p>
        </w:tc>
      </w:tr>
      <w:tr>
        <w:trPr>
          <w:cantSplit/>
        </w:trPr>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R4.1</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Poljoprivreda i prehrambena industrija; drvna industrija; luka Vukovar i riječni promet; poduzetničke zone; turistički promet; riječni kruzing</w:t>
            </w:r>
          </w:p>
        </w:tc>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3</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predavanje + rad s podacima</w:t>
            </w:r>
          </w:p>
        </w:tc>
      </w:tr>
      <w:tr>
        <w:trPr>
          <w:cantSplit/>
        </w:trPr>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R4.2</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Depopulacija i iseljavanje; obnova i povratak; nacionalna struktura i manjinska prava; urbano i ruralno</w:t>
            </w:r>
          </w:p>
        </w:tc>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predavanje + rasprava</w:t>
            </w:r>
          </w:p>
        </w:tc>
      </w:tr>
      <w:tr>
        <w:trPr>
          <w:cantSplit/>
        </w:trPr>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R4.3</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Sveučilište u Osijeku; muzeji i arhivi; Memorijalni centar; javne ustanove za zaštićena područja; turističke zajednice</w:t>
            </w:r>
          </w:p>
        </w:tc>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3</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predavanje + posjet ustanovi</w:t>
            </w:r>
          </w:p>
        </w:tc>
      </w:tr>
      <w:tr>
        <w:trPr>
          <w:cantSplit/>
        </w:trPr>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R4.4</w:t>
            </w:r>
          </w:p>
        </w:tc>
        <w:tc>
          <w:tcPr>
            <w:tcW w:type="dxa" w:w="5100"/>
            <w:vAlign w:val="top"/>
            <w:tcMar>
              <w:top w:w="80" w:type="dxa"/>
              <w:start w:w="120" w:type="dxa"/>
              <w:bottom w:w="80" w:type="dxa"/>
              <w:end w:w="120" w:type="dxa"/>
            </w:tcMar>
          </w:tcPr>
          <w:p>
            <w:pPr>
              <w:spacing w:after="40" w:line="259" w:lineRule="auto"/>
            </w:pPr>
            <w:r>
              <w:rPr>
                <w:rFonts w:ascii="Calibri" w:hAnsi="Calibri"/>
                <w:color w:val="222222"/>
                <w:sz w:val="18"/>
              </w:rPr>
              <w:t>Sportska tradicija i objekti; festivali i smotre; godišnji kalendar događanja i itinerar</w:t>
            </w:r>
          </w:p>
        </w:tc>
        <w:tc>
          <w:tcPr>
            <w:tcW w:type="dxa" w:w="70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2350"/>
            <w:vAlign w:val="top"/>
            <w:tcMar>
              <w:top w:w="80" w:type="dxa"/>
              <w:start w:w="120" w:type="dxa"/>
              <w:bottom w:w="80" w:type="dxa"/>
              <w:end w:w="120" w:type="dxa"/>
            </w:tcMar>
          </w:tcPr>
          <w:p>
            <w:pPr>
              <w:spacing w:after="40" w:line="259" w:lineRule="auto"/>
            </w:pPr>
            <w:r>
              <w:rPr>
                <w:rFonts w:ascii="Calibri" w:hAnsi="Calibri"/>
                <w:color w:val="222222"/>
                <w:sz w:val="18"/>
              </w:rPr>
              <w:t>predavanje + izrada kalendara</w:t>
            </w:r>
          </w:p>
        </w:tc>
      </w:tr>
    </w:tbl>
    <w:p>
      <w:pPr>
        <w:spacing w:after="20"/>
      </w:pPr>
    </w:p>
    <w:p>
      <w:pPr>
        <w:spacing w:before="120" w:after="160" w:line="283" w:lineRule="auto"/>
        <w:ind w:left="202" w:right="115"/>
        <w:shd w:fill="E8EEF5"/>
        <w:pBdr>
          <w:left w:val="single" w:sz="18" w:space="8" w:color="2E74B5"/>
        </w:pBdr>
      </w:pPr>
      <w:r>
        <w:rPr>
          <w:rFonts w:ascii="Calibri" w:hAnsi="Calibri"/>
          <w:b/>
          <w:color w:val="2E74B5"/>
          <w:sz w:val="19"/>
        </w:rPr>
        <w:t xml:space="preserve">MINIMALNI STANDARD IZVEDBE  </w:t>
      </w:r>
      <w:r>
        <w:rPr>
          <w:rFonts w:ascii="Calibri" w:hAnsi="Calibri"/>
          <w:b/>
          <w:color w:val="17324D"/>
          <w:sz w:val="21"/>
        </w:rPr>
        <w:t>Najmanje jedna analiza službenog skupa podataka, jedan posjet ili razgovor s ustanovom, jedna multiperspektivna rasprava i jedan operativno provjeren kalendar događanja za odabrani itinerar.</w:t>
      </w:r>
    </w:p>
    <w:p>
      <w:r>
        <w:br w:type="page"/>
      </w:r>
    </w:p>
    <w:p>
      <w:pPr>
        <w:pStyle w:val="Heading1"/>
        <w:keepNext/>
      </w:pPr>
      <w:r>
        <w:t>Polazišta, ishod i interpretacijska okosnica</w:t>
      </w:r>
    </w:p>
    <w:p>
      <w:pPr>
        <w:spacing w:before="120" w:after="160" w:line="283" w:lineRule="auto"/>
        <w:ind w:left="202" w:right="115"/>
        <w:shd w:fill="FBF5E8"/>
        <w:pBdr>
          <w:left w:val="single" w:sz="18" w:space="8" w:color="B78727"/>
        </w:pBdr>
      </w:pPr>
      <w:r>
        <w:rPr>
          <w:rFonts w:ascii="Calibri" w:hAnsi="Calibri"/>
          <w:b/>
          <w:color w:val="B78727"/>
          <w:sz w:val="19"/>
        </w:rPr>
        <w:t xml:space="preserve">SREDIŠNJA PORUKA  </w:t>
      </w:r>
      <w:r>
        <w:rPr>
          <w:rFonts w:ascii="Calibri" w:hAnsi="Calibri"/>
          <w:b/>
          <w:color w:val="17324D"/>
          <w:sz w:val="21"/>
        </w:rPr>
        <w:t>Društveno okruženje Regije I dinamičan je sustav ljudi, rada, institucija, znanja, prava i slobodnog vremena. Vodič pokazuje kako se taj sustav vidi u krajoliku, naselju i svakodnevici – bez stereotipa, lažne preciznosti i dnevne politike.</w:t>
      </w:r>
    </w:p>
    <w:p>
      <w:pPr>
        <w:pStyle w:val="Heading2"/>
        <w:keepNext/>
      </w:pPr>
      <w:r>
        <w:t>Ishod R4</w:t>
      </w:r>
    </w:p>
    <w:p>
      <w:pPr>
        <w:widowControl/>
      </w:pPr>
      <w:r>
        <w:t>Kandidat predstavlja društveno okruženje u ekonomskim, političkim, demografskim, obrazovnim, znanstvenim, sportskim, zabavnim i drugim značajkama, dostignućima i ustanovama. Uspoređuje podatke samo na istim prostornim i vremenskim osnovama, razlikuje javnu funkciju od stranačke pozicije i uključuje različita iskustva zajednice uz atribuciju i poštovanje prava.</w:t>
      </w:r>
    </w:p>
    <w:p>
      <w:pPr>
        <w:spacing w:before="120" w:after="40"/>
        <w:jc w:val="center"/>
      </w:pPr>
      <w:r>
        <w:drawing>
          <wp:inline xmlns:a="http://schemas.openxmlformats.org/drawingml/2006/main" xmlns:pic="http://schemas.openxmlformats.org/drawingml/2006/picture">
            <wp:extent cx="5852160" cy="2965042"/>
            <wp:docPr id="1" name="Picture 1" descr="Slika 1. Društveno okruženje kao sustav međusobno povezanih područja." title="Slika 1. Društveno okruženje kao sustav međusobno povezanih područja."/>
            <wp:cNvGraphicFramePr>
              <a:graphicFrameLocks noChangeAspect="1"/>
            </wp:cNvGraphicFramePr>
            <a:graphic>
              <a:graphicData uri="http://schemas.openxmlformats.org/drawingml/2006/picture">
                <pic:pic>
                  <pic:nvPicPr>
                    <pic:cNvPr id="0" name="01_drustveni_sustav.png"/>
                    <pic:cNvPicPr/>
                  </pic:nvPicPr>
                  <pic:blipFill>
                    <a:blip r:embed="rId11"/>
                    <a:stretch>
                      <a:fillRect/>
                    </a:stretch>
                  </pic:blipFill>
                  <pic:spPr>
                    <a:xfrm>
                      <a:off x="0" y="0"/>
                      <a:ext cx="5852160" cy="2965042"/>
                    </a:xfrm>
                    <a:prstGeom prst="rect"/>
                  </pic:spPr>
                </pic:pic>
              </a:graphicData>
            </a:graphic>
          </wp:inline>
        </w:drawing>
      </w:r>
    </w:p>
    <w:p>
      <w:pPr>
        <w:spacing w:before="60" w:after="40"/>
        <w:jc w:val="center"/>
      </w:pPr>
      <w:r>
        <w:rPr>
          <w:rFonts w:ascii="Calibri" w:hAnsi="Calibri"/>
          <w:i/>
          <w:color w:val="1F4D78"/>
          <w:sz w:val="18"/>
        </w:rPr>
        <w:t>Slika 1. Društveno okruženje kao sustav međusobno povezanih područja.</w:t>
      </w:r>
    </w:p>
    <w:p>
      <w:pPr>
        <w:spacing w:before="0" w:after="160"/>
        <w:jc w:val="center"/>
      </w:pPr>
      <w:r>
        <w:rPr>
          <w:rFonts w:ascii="Calibri" w:hAnsi="Calibri"/>
          <w:color w:val="667085"/>
          <w:sz w:val="16"/>
        </w:rPr>
        <w:t>Izvorna ilustracija za ovaj dokument.</w:t>
      </w:r>
    </w:p>
    <w:p>
      <w:pPr>
        <w:pStyle w:val="Heading2"/>
        <w:keepNext/>
      </w:pPr>
      <w:r>
        <w:t>Kanonska metoda: šest provjera</w:t>
      </w:r>
    </w:p>
    <w:p>
      <w:pPr>
        <w:numPr>
          <w:ilvl w:val="0"/>
          <w:numId w:val="10"/>
        </w:numPr>
      </w:pPr>
      <w:r>
        <w:t>Je li prostorna jedinica županija, grad/općina, naselje ili funkcionalno područje?</w:t>
      </w:r>
    </w:p>
    <w:p>
      <w:pPr>
        <w:numPr>
          <w:ilvl w:val="0"/>
          <w:numId w:val="10"/>
        </w:numPr>
      </w:pPr>
      <w:r>
        <w:t>Je li riječ o broju, udjelu, stopi, indeksu, prosjeku ili medijanu?</w:t>
      </w:r>
    </w:p>
    <w:p>
      <w:pPr>
        <w:numPr>
          <w:ilvl w:val="0"/>
          <w:numId w:val="10"/>
        </w:numPr>
      </w:pPr>
      <w:r>
        <w:t>Koje je referentno vrijeme i je li izvor naknadno revidiran?</w:t>
      </w:r>
    </w:p>
    <w:p>
      <w:pPr>
        <w:numPr>
          <w:ilvl w:val="0"/>
          <w:numId w:val="10"/>
        </w:numPr>
      </w:pPr>
      <w:r>
        <w:t>Opisuje li podatak stanje, tok ili samo evidentirane slučajeve?</w:t>
      </w:r>
    </w:p>
    <w:p>
      <w:pPr>
        <w:numPr>
          <w:ilvl w:val="0"/>
          <w:numId w:val="10"/>
        </w:numPr>
      </w:pPr>
      <w:r>
        <w:t>Je li zaključak u izvoru ili ga vodič izvodi – i s kojim ograničenjem?</w:t>
      </w:r>
    </w:p>
    <w:p>
      <w:pPr>
        <w:numPr>
          <w:ilvl w:val="0"/>
          <w:numId w:val="10"/>
        </w:numPr>
      </w:pPr>
      <w:r>
        <w:t>Koji se vidljivi trag, ustanova ili ljudsko iskustvo povezuje s podatkom?</w:t>
      </w:r>
    </w:p>
    <w:p>
      <w:pPr>
        <w:spacing w:before="120" w:after="40"/>
        <w:jc w:val="center"/>
      </w:pPr>
      <w:r>
        <w:drawing>
          <wp:inline xmlns:a="http://schemas.openxmlformats.org/drawingml/2006/main" xmlns:pic="http://schemas.openxmlformats.org/drawingml/2006/picture">
            <wp:extent cx="5897880" cy="2646585"/>
            <wp:docPr id="2" name="Picture 2" descr="Slika 2. Slijed od pokazatelja do odgovorne interpretacijske poruke." title="Slika 2. Slijed od pokazatelja do odgovorne interpretacijske poruke."/>
            <wp:cNvGraphicFramePr>
              <a:graphicFrameLocks noChangeAspect="1"/>
            </wp:cNvGraphicFramePr>
            <a:graphic>
              <a:graphicData uri="http://schemas.openxmlformats.org/drawingml/2006/picture">
                <pic:pic>
                  <pic:nvPicPr>
                    <pic:cNvPr id="0" name="02_podatak_do_poruke.png"/>
                    <pic:cNvPicPr/>
                  </pic:nvPicPr>
                  <pic:blipFill>
                    <a:blip r:embed="rId12"/>
                    <a:stretch>
                      <a:fillRect/>
                    </a:stretch>
                  </pic:blipFill>
                  <pic:spPr>
                    <a:xfrm>
                      <a:off x="0" y="0"/>
                      <a:ext cx="5897880" cy="2646585"/>
                    </a:xfrm>
                    <a:prstGeom prst="rect"/>
                  </pic:spPr>
                </pic:pic>
              </a:graphicData>
            </a:graphic>
          </wp:inline>
        </w:drawing>
      </w:r>
    </w:p>
    <w:p>
      <w:pPr>
        <w:spacing w:before="60" w:after="40"/>
        <w:jc w:val="center"/>
      </w:pPr>
      <w:r>
        <w:rPr>
          <w:rFonts w:ascii="Calibri" w:hAnsi="Calibri"/>
          <w:i/>
          <w:color w:val="1F4D78"/>
          <w:sz w:val="18"/>
        </w:rPr>
        <w:t>Slika 2. Slijed od pokazatelja do odgovorne interpretacijske poruke.</w:t>
      </w:r>
    </w:p>
    <w:p>
      <w:pPr>
        <w:spacing w:before="0" w:after="160"/>
        <w:jc w:val="center"/>
      </w:pPr>
      <w:r>
        <w:rPr>
          <w:rFonts w:ascii="Calibri" w:hAnsi="Calibri"/>
          <w:color w:val="667085"/>
          <w:sz w:val="16"/>
        </w:rPr>
        <w:t>Izvorna ilustracija; metodološka shema.</w:t>
      </w:r>
    </w:p>
    <w:p>
      <w:pPr>
        <w:spacing w:before="120" w:after="160" w:line="283" w:lineRule="auto"/>
        <w:ind w:left="202" w:right="115"/>
        <w:shd w:fill="EDF5F1"/>
        <w:pBdr>
          <w:left w:val="single" w:sz="18" w:space="8" w:color="3E7C68"/>
        </w:pBdr>
      </w:pPr>
      <w:r>
        <w:rPr>
          <w:rFonts w:ascii="Calibri" w:hAnsi="Calibri"/>
          <w:b/>
          <w:color w:val="3E7C68"/>
          <w:sz w:val="19"/>
        </w:rPr>
        <w:t xml:space="preserve">OBVEZNA KARTICA IZVORA  </w:t>
      </w:r>
      <w:r>
        <w:rPr>
          <w:rFonts w:ascii="Calibri" w:hAnsi="Calibri"/>
          <w:b/>
          <w:color w:val="17324D"/>
          <w:sz w:val="21"/>
        </w:rPr>
        <w:t>Za svaki promjenjivi podatak evidentirati: točan naslov skupa, tablicu/varijablu, teritorij, referentno razdoblje, datum pristupa, poveznicu, status (konačan/privremen/procjena) i rok ponovne provjere.</w:t>
      </w:r>
    </w:p>
    <w:p>
      <w:r>
        <w:br w:type="page"/>
      </w:r>
    </w:p>
    <w:p>
      <w:r>
        <w:rPr>
          <w:rFonts w:ascii="Calibri" w:hAnsi="Calibri"/>
          <w:b/>
          <w:color w:val="B78727"/>
          <w:sz w:val="48"/>
        </w:rPr>
        <w:t>R4.1</w:t>
      </w:r>
    </w:p>
    <w:p>
      <w:pPr>
        <w:pStyle w:val="Heading1"/>
        <w:spacing w:before="40"/>
      </w:pPr>
      <w:r>
        <w:t>Gospodarstvo</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3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rad s podacima · prostorna analiza</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Objasniti gospodarsku značajku preko lanca vrijednosti, datiranog pokazatelja, vidljivog traga i posljedice za posjetiteljski doživljaj.</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KLJUČNA PORUKA  </w:t>
      </w:r>
      <w:r>
        <w:rPr>
          <w:rFonts w:ascii="Calibri" w:hAnsi="Calibri"/>
          <w:b/>
          <w:color w:val="17324D"/>
          <w:sz w:val="21"/>
        </w:rPr>
        <w:t>Gospodarstvo Regije I nije jedna djelatnost. Polje, šuma, prerada, luka, promet, poduzetnička zona, znanje, usluga i turizam povezani su lancima vrijednosti čiji se učinci vide u naseljima i krajoliku.</w:t>
      </w:r>
    </w:p>
    <w:p>
      <w:pPr>
        <w:spacing w:before="120" w:after="40"/>
        <w:jc w:val="center"/>
      </w:pPr>
      <w:r>
        <w:drawing>
          <wp:inline xmlns:a="http://schemas.openxmlformats.org/drawingml/2006/main" xmlns:pic="http://schemas.openxmlformats.org/drawingml/2006/picture">
            <wp:extent cx="5572289" cy="3700000"/>
            <wp:docPr id="401" name="Picture 401" descr="Slika 3. Vinogradi u Baranji – poljoprivredni krajobraz kao početak lanca vrijednosti." title="Slika 3. Vinogradi u Baranji – poljoprivredni krajobraz kao početak lanca vrijednosti."/>
            <wp:cNvGraphicFramePr>
              <a:graphicFrameLocks noChangeAspect="1"/>
            </wp:cNvGraphicFramePr>
            <a:graphic>
              <a:graphicData uri="http://schemas.openxmlformats.org/drawingml/2006/picture">
                <pic:pic>
                  <pic:nvPicPr>
                    <pic:cNvPr id="0" name="image13.jpg"/>
                    <pic:cNvPicPr/>
                  </pic:nvPicPr>
                  <pic:blipFill>
                    <a:blip r:embed="rId23"/>
                    <a:stretch>
                      <a:fillRect/>
                    </a:stretch>
                  </pic:blipFill>
                  <pic:spPr>
                    <a:xfrm>
                      <a:off x="0" y="0"/>
                      <a:ext cx="5572289" cy="3700000"/>
                    </a:xfrm>
                    <a:prstGeom prst="rect"/>
                  </pic:spPr>
                </pic:pic>
              </a:graphicData>
            </a:graphic>
          </wp:inline>
        </w:drawing>
      </w:r>
    </w:p>
    <w:p>
      <w:pPr>
        <w:spacing w:before="60" w:after="40"/>
        <w:jc w:val="center"/>
      </w:pPr>
      <w:r>
        <w:rPr>
          <w:rFonts w:ascii="Calibri" w:hAnsi="Calibri"/>
          <w:i/>
          <w:color w:val="1F4D78"/>
          <w:sz w:val="18"/>
        </w:rPr>
        <w:t xml:space="preserve">Slika 3. Vinogradi u Baranji – poljoprivredni krajobraz kao početak lanca vrijednosti.</w:t>
      </w:r>
    </w:p>
    <w:p>
      <w:pPr>
        <w:spacing w:before="0" w:after="160"/>
        <w:jc w:val="center"/>
      </w:pPr>
      <w:r>
        <w:rPr>
          <w:rFonts w:ascii="Calibri" w:hAnsi="Calibri"/>
          <w:color w:val="667085"/>
          <w:sz w:val="16"/>
        </w:rPr>
        <w:t xml:space="preserve">Foto: Misalalic, Wikimedia Commons, CC BY-SA 4.0.</w:t>
      </w:r>
    </w:p>
    <w:p>
      <w:pPr>
        <w:spacing w:before="120" w:after="40"/>
        <w:jc w:val="center"/>
      </w:pPr>
      <w:r>
        <w:drawing>
          <wp:inline xmlns:a="http://schemas.openxmlformats.org/drawingml/2006/main" xmlns:pic="http://schemas.openxmlformats.org/drawingml/2006/picture">
            <wp:extent cx="4933333" cy="3700000"/>
            <wp:docPr id="402" name="Picture 402" descr="Slika 4. Plovilo Lučke kapetanije u Vukovaru – riječni promet traži i nadzornu i lučku infrastrukturu." title="Slika 4. Plovilo Lučke kapetanije u Vukovaru – riječni promet traži i nadzornu i lučku infrastrukturu."/>
            <wp:cNvGraphicFramePr>
              <a:graphicFrameLocks noChangeAspect="1"/>
            </wp:cNvGraphicFramePr>
            <a:graphic>
              <a:graphicData uri="http://schemas.openxmlformats.org/drawingml/2006/picture">
                <pic:pic>
                  <pic:nvPicPr>
                    <pic:cNvPr id="0" name="image14.jpg"/>
                    <pic:cNvPicPr/>
                  </pic:nvPicPr>
                  <pic:blipFill>
                    <a:blip r:embed="rId24"/>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4. Plovilo Lučke kapetanije u Vukovaru – riječni promet traži i nadzornu i lučku infrastrukturu.</w:t>
      </w:r>
    </w:p>
    <w:p>
      <w:pPr>
        <w:spacing w:before="0" w:after="160"/>
        <w:jc w:val="center"/>
      </w:pPr>
      <w:r>
        <w:rPr>
          <w:rFonts w:ascii="Calibri" w:hAnsi="Calibri"/>
          <w:color w:val="667085"/>
          <w:sz w:val="16"/>
        </w:rPr>
        <w:t xml:space="preserve">Foto: Ex13, Wikimedia Commons, CC BY-SA 3.0.</w:t>
      </w:r>
    </w:p>
    <w:p>
      <w:pPr>
        <w:pStyle w:val="Heading2"/>
        <w:keepNext/>
      </w:pPr>
      <w:r>
        <w:t>Gospodarska mreža Regije I</w:t>
      </w:r>
    </w:p>
    <w:tbl>
      <w:tblPr>
        <w:tblStyle w:val="TableGrid"/>
        <w:tblW w:type="dxa" w:w="9200"/>
        <w:jc w:val="left"/>
        <w:tblLayout w:type="fixed"/>
        <w:tblLook w:firstColumn="1" w:firstRow="1" w:lastColumn="0" w:lastRow="0" w:noHBand="0" w:noVBand="1" w:val="04A0"/>
        <w:tblInd w:w="120" w:type="dxa"/>
      </w:tblPr>
      <w:tblGrid>
        <w:gridCol w:w="1900"/>
        <w:gridCol w:w="4100"/>
        <w:gridCol w:w="3200"/>
      </w:tblGrid>
      <w:tr>
        <w:trPr>
          <w:tblHeader w:val="true"/>
          <w:cantSplit/>
        </w:trPr>
        <w:tc>
          <w:tcPr>
            <w:tcW w:type="dxa" w:w="1900"/>
            <w:shd w:fill="E8EEF5"/>
            <w:vAlign w:val="center"/>
            <w:tcMar>
              <w:top w:w="80" w:type="dxa"/>
              <w:start w:w="120" w:type="dxa"/>
              <w:bottom w:w="80" w:type="dxa"/>
              <w:end w:w="120" w:type="dxa"/>
            </w:tcMar>
          </w:tcPr>
          <w:p>
            <w:r>
              <w:rPr>
                <w:rFonts w:ascii="Calibri" w:hAnsi="Calibri"/>
                <w:b/>
                <w:color w:val="17324D"/>
                <w:sz w:val="19"/>
              </w:rPr>
              <w:t>Tema iz Programa</w:t>
            </w:r>
          </w:p>
        </w:tc>
        <w:tc>
          <w:tcPr>
            <w:tcW w:type="dxa" w:w="4100"/>
            <w:shd w:fill="E8EEF5"/>
            <w:vAlign w:val="center"/>
            <w:tcMar>
              <w:top w:w="80" w:type="dxa"/>
              <w:start w:w="120" w:type="dxa"/>
              <w:bottom w:w="80" w:type="dxa"/>
              <w:end w:w="120" w:type="dxa"/>
            </w:tcMar>
          </w:tcPr>
          <w:p>
            <w:r>
              <w:rPr>
                <w:rFonts w:ascii="Calibri" w:hAnsi="Calibri"/>
                <w:b/>
                <w:color w:val="17324D"/>
                <w:sz w:val="19"/>
              </w:rPr>
              <w:t>Što treba istražiti</w:t>
            </w:r>
          </w:p>
        </w:tc>
        <w:tc>
          <w:tcPr>
            <w:tcW w:type="dxa" w:w="3200"/>
            <w:shd w:fill="E8EEF5"/>
            <w:vAlign w:val="center"/>
            <w:tcMar>
              <w:top w:w="80" w:type="dxa"/>
              <w:start w:w="120" w:type="dxa"/>
              <w:bottom w:w="80" w:type="dxa"/>
              <w:end w:w="120" w:type="dxa"/>
            </w:tcMar>
          </w:tcPr>
          <w:p>
            <w:r>
              <w:rPr>
                <w:rFonts w:ascii="Calibri" w:hAnsi="Calibri"/>
                <w:b/>
                <w:color w:val="17324D"/>
                <w:sz w:val="19"/>
              </w:rPr>
              <w:t>Terenski trag / pitanje</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Poljoprivreda i hrana</w:t>
            </w:r>
          </w:p>
        </w:tc>
        <w:tc>
          <w:tcPr>
            <w:tcW w:type="dxa" w:w="4100"/>
            <w:vAlign w:val="top"/>
            <w:tcMar>
              <w:top w:w="80" w:type="dxa"/>
              <w:start w:w="120" w:type="dxa"/>
              <w:bottom w:w="80" w:type="dxa"/>
              <w:end w:w="120" w:type="dxa"/>
            </w:tcMar>
          </w:tcPr>
          <w:p>
            <w:pPr>
              <w:spacing w:after="40" w:line="259" w:lineRule="auto"/>
            </w:pPr>
            <w:r>
              <w:rPr>
                <w:rFonts w:ascii="Calibri" w:hAnsi="Calibri"/>
                <w:color w:val="222222"/>
                <w:sz w:val="18"/>
              </w:rPr>
              <w:t>struktura proizvodnje, prerada, vlasništvo, rad, tržište, klimatski rizik</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Što se ovdje proizvodi, gdje nastaje dodana vrijednost i tko je nosi?</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Drvna industrija</w:t>
            </w:r>
          </w:p>
        </w:tc>
        <w:tc>
          <w:tcPr>
            <w:tcW w:type="dxa" w:w="4100"/>
            <w:vAlign w:val="top"/>
            <w:tcMar>
              <w:top w:w="80" w:type="dxa"/>
              <w:start w:w="120" w:type="dxa"/>
              <w:bottom w:w="80" w:type="dxa"/>
              <w:end w:w="120" w:type="dxa"/>
            </w:tcMar>
          </w:tcPr>
          <w:p>
            <w:pPr>
              <w:spacing w:after="40" w:line="259" w:lineRule="auto"/>
            </w:pPr>
            <w:r>
              <w:rPr>
                <w:rFonts w:ascii="Calibri" w:hAnsi="Calibri"/>
                <w:color w:val="222222"/>
                <w:sz w:val="18"/>
              </w:rPr>
              <w:t>šumski resurs, upravljanje, pilanarstvo/proizvodnja, logistika, održivost</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Kako se drvo kreće od šume prema proizvodu i radnom mjestu?</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Luka Vukovar i riječni promet</w:t>
            </w:r>
          </w:p>
        </w:tc>
        <w:tc>
          <w:tcPr>
            <w:tcW w:type="dxa" w:w="4100"/>
            <w:vAlign w:val="top"/>
            <w:tcMar>
              <w:top w:w="80" w:type="dxa"/>
              <w:start w:w="120" w:type="dxa"/>
              <w:bottom w:w="80" w:type="dxa"/>
              <w:end w:w="120" w:type="dxa"/>
            </w:tcMar>
          </w:tcPr>
          <w:p>
            <w:pPr>
              <w:spacing w:after="40" w:line="259" w:lineRule="auto"/>
            </w:pPr>
            <w:r>
              <w:rPr>
                <w:rFonts w:ascii="Calibri" w:hAnsi="Calibri"/>
                <w:color w:val="222222"/>
                <w:sz w:val="18"/>
              </w:rPr>
              <w:t>vrsta tereta, veza s cestom/željeznicom, Dunavski koridor, ograničenja plovidbe</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Što položaj uz Dunav omogućuje, a što ne jamči automatski?</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Poduzetničke zone</w:t>
            </w:r>
          </w:p>
        </w:tc>
        <w:tc>
          <w:tcPr>
            <w:tcW w:type="dxa" w:w="4100"/>
            <w:vAlign w:val="top"/>
            <w:tcMar>
              <w:top w:w="80" w:type="dxa"/>
              <w:start w:w="120" w:type="dxa"/>
              <w:bottom w:w="80" w:type="dxa"/>
              <w:end w:w="120" w:type="dxa"/>
            </w:tcMar>
          </w:tcPr>
          <w:p>
            <w:pPr>
              <w:spacing w:after="40" w:line="259" w:lineRule="auto"/>
            </w:pPr>
            <w:r>
              <w:rPr>
                <w:rFonts w:ascii="Calibri" w:hAnsi="Calibri"/>
                <w:color w:val="222222"/>
                <w:sz w:val="18"/>
              </w:rPr>
              <w:t>namjena, popunjenost, djelatnosti, infrastruktura, javna ulaganja</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Koji je rezultat vidljiv, a što je tek plan?</w:t>
            </w:r>
          </w:p>
        </w:tc>
      </w:tr>
      <w:tr>
        <w:trPr>
          <w:cantSplit/>
        </w:trPr>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Turizam i riječni kruzing</w:t>
            </w:r>
          </w:p>
        </w:tc>
        <w:tc>
          <w:tcPr>
            <w:tcW w:type="dxa" w:w="4100"/>
            <w:vAlign w:val="top"/>
            <w:tcMar>
              <w:top w:w="80" w:type="dxa"/>
              <w:start w:w="120" w:type="dxa"/>
              <w:bottom w:w="80" w:type="dxa"/>
              <w:end w:w="120" w:type="dxa"/>
            </w:tcMar>
          </w:tcPr>
          <w:p>
            <w:pPr>
              <w:spacing w:after="40" w:line="259" w:lineRule="auto"/>
            </w:pPr>
            <w:r>
              <w:rPr>
                <w:rFonts w:ascii="Calibri" w:hAnsi="Calibri"/>
                <w:color w:val="222222"/>
                <w:sz w:val="18"/>
              </w:rPr>
              <w:t>dolasci/noćenja, domaći/strani gosti, smještaj, sezonalnost, izletnički promet</w:t>
            </w:r>
          </w:p>
        </w:tc>
        <w:tc>
          <w:tcPr>
            <w:tcW w:type="dxa" w:w="3200"/>
            <w:vAlign w:val="top"/>
            <w:tcMar>
              <w:top w:w="80" w:type="dxa"/>
              <w:start w:w="120" w:type="dxa"/>
              <w:bottom w:w="80" w:type="dxa"/>
              <w:end w:w="120" w:type="dxa"/>
            </w:tcMar>
          </w:tcPr>
          <w:p>
            <w:pPr>
              <w:spacing w:after="40" w:line="259" w:lineRule="auto"/>
            </w:pPr>
            <w:r>
              <w:rPr>
                <w:rFonts w:ascii="Calibri" w:hAnsi="Calibri"/>
                <w:color w:val="222222"/>
                <w:sz w:val="18"/>
              </w:rPr>
              <w:t>Koliko vremena gost ostaje i gdje nastaje lokalna vrijednost?</w:t>
            </w:r>
          </w:p>
        </w:tc>
      </w:tr>
    </w:tbl>
    <w:p>
      <w:pPr>
        <w:spacing w:after="20"/>
      </w:pPr>
    </w:p>
    <w:p>
      <w:pPr>
        <w:spacing w:before="120" w:after="40"/>
        <w:jc w:val="center"/>
      </w:pPr>
      <w:r>
        <w:drawing>
          <wp:inline xmlns:a="http://schemas.openxmlformats.org/drawingml/2006/main" xmlns:pic="http://schemas.openxmlformats.org/drawingml/2006/picture">
            <wp:extent cx="5897880" cy="2646585"/>
            <wp:docPr id="3" name="Picture 3" descr="Slika 5. Lanac vrijednosti kao osnova gospodarske interpretacije." title="Slika 5. Lanac vrijednosti kao osnova gospodarske interpretacije."/>
            <wp:cNvGraphicFramePr>
              <a:graphicFrameLocks noChangeAspect="1"/>
            </wp:cNvGraphicFramePr>
            <a:graphic>
              <a:graphicData uri="http://schemas.openxmlformats.org/drawingml/2006/picture">
                <pic:pic>
                  <pic:nvPicPr>
                    <pic:cNvPr id="0" name="03_lanac_vrijednosti.png"/>
                    <pic:cNvPicPr/>
                  </pic:nvPicPr>
                  <pic:blipFill>
                    <a:blip r:embed="rId13"/>
                    <a:stretch>
                      <a:fillRect/>
                    </a:stretch>
                  </pic:blipFill>
                  <pic:spPr>
                    <a:xfrm>
                      <a:off x="0" y="0"/>
                      <a:ext cx="5897880" cy="2646585"/>
                    </a:xfrm>
                    <a:prstGeom prst="rect"/>
                  </pic:spPr>
                </pic:pic>
              </a:graphicData>
            </a:graphic>
          </wp:inline>
        </w:drawing>
      </w:r>
    </w:p>
    <w:p>
      <w:pPr>
        <w:spacing w:before="60" w:after="40"/>
        <w:jc w:val="center"/>
      </w:pPr>
      <w:r>
        <w:rPr>
          <w:rFonts w:ascii="Calibri" w:hAnsi="Calibri"/>
          <w:i/>
          <w:color w:val="1F4D78"/>
          <w:sz w:val="18"/>
        </w:rPr>
        <w:t>Slika 5. Lanac vrijednosti kao osnova gospodarske interpretacije.</w:t>
      </w:r>
    </w:p>
    <w:p>
      <w:pPr>
        <w:spacing w:before="0" w:after="160"/>
        <w:jc w:val="center"/>
      </w:pPr>
      <w:r>
        <w:rPr>
          <w:rFonts w:ascii="Calibri" w:hAnsi="Calibri"/>
          <w:color w:val="667085"/>
          <w:sz w:val="16"/>
        </w:rPr>
        <w:t>Izvorna ilustracija za ovaj dokument.</w:t>
      </w:r>
    </w:p>
    <w:p>
      <w:pPr>
        <w:pStyle w:val="Heading2"/>
        <w:keepNext/>
      </w:pPr>
      <w:r>
        <w:t>Rad s pokazateljima</w:t>
      </w:r>
    </w:p>
    <w:p>
      <w:pPr>
        <w:widowControl/>
      </w:pPr>
      <w:r>
        <w:t>Kandidat mora razlikovati ukupni BDP od BDP-a po stanovniku, broj zaposlenih od stope zaposlenosti, registrirani poslovni subjekt od aktivnog poduzeća te dolaske od noćenja. Udio djelatnosti ne govori automatski o plaći, produktivnosti ili kvaliteti radnog mjesta. Županijski podatak ne pripisuje se pojedinom gradu, poduzeću ili selu bez dodatnog izvora.</w:t>
      </w:r>
    </w:p>
    <w:p>
      <w:pPr>
        <w:spacing w:before="120" w:after="40"/>
        <w:jc w:val="center"/>
      </w:pPr>
      <w:r>
        <w:drawing>
          <wp:inline xmlns:a="http://schemas.openxmlformats.org/drawingml/2006/main" xmlns:pic="http://schemas.openxmlformats.org/drawingml/2006/picture">
            <wp:extent cx="5669280" cy="3078629"/>
            <wp:docPr id="4" name="Picture 4" descr="Slika 6. Tri razine revizije gospodarske tvrdnje." title="Slika 6. Tri razine revizije gospodarske tvrdnje."/>
            <wp:cNvGraphicFramePr>
              <a:graphicFrameLocks noChangeAspect="1"/>
            </wp:cNvGraphicFramePr>
            <a:graphic>
              <a:graphicData uri="http://schemas.openxmlformats.org/drawingml/2006/picture">
                <pic:pic>
                  <pic:nvPicPr>
                    <pic:cNvPr id="0" name="04_tvrdnja_i_dokaz.png"/>
                    <pic:cNvPicPr/>
                  </pic:nvPicPr>
                  <pic:blipFill>
                    <a:blip r:embed="rId14"/>
                    <a:stretch>
                      <a:fillRect/>
                    </a:stretch>
                  </pic:blipFill>
                  <pic:spPr>
                    <a:xfrm>
                      <a:off x="0" y="0"/>
                      <a:ext cx="5669280" cy="3078629"/>
                    </a:xfrm>
                    <a:prstGeom prst="rect"/>
                  </pic:spPr>
                </pic:pic>
              </a:graphicData>
            </a:graphic>
          </wp:inline>
        </w:drawing>
      </w:r>
    </w:p>
    <w:p>
      <w:pPr>
        <w:spacing w:before="60" w:after="40"/>
        <w:jc w:val="center"/>
      </w:pPr>
      <w:r>
        <w:rPr>
          <w:rFonts w:ascii="Calibri" w:hAnsi="Calibri"/>
          <w:i/>
          <w:color w:val="1F4D78"/>
          <w:sz w:val="18"/>
        </w:rPr>
        <w:t>Slika 6. Tri razine revizije gospodarske tvrdnje.</w:t>
      </w:r>
    </w:p>
    <w:p>
      <w:pPr>
        <w:spacing w:before="0" w:after="160"/>
        <w:jc w:val="center"/>
      </w:pPr>
      <w:r>
        <w:rPr>
          <w:rFonts w:ascii="Calibri" w:hAnsi="Calibri"/>
          <w:color w:val="667085"/>
          <w:sz w:val="16"/>
        </w:rPr>
        <w:t>Izvorna ilustracija; metodološka shema.</w:t>
      </w:r>
    </w:p>
    <w:p>
      <w:pPr>
        <w:pStyle w:val="Heading2"/>
        <w:keepNext/>
      </w:pPr>
      <w:r>
        <w:t>Turistički promet bez lažne usporedbe</w:t>
      </w:r>
    </w:p>
    <w:p>
      <w:pPr>
        <w:widowControl/>
      </w:pPr>
      <w:r>
        <w:t>DZS-ove tablice komercijalnog smještaja koriste se s jasnim referentnim razdobljem i obuhvatom. Jednodnevni posjetitelj, putnik s riječnog kruzera i gost koji noći nisu ista kategorija. Podaci turističkih zajednica mogu dopuniti sliku, ali kandidat navodi metodologiju i ne zbraja neusporedive izvore. Nacionalni rezultat ne koristi se kao dokaz županijskog trenda.</w:t>
      </w:r>
    </w:p>
    <w:p>
      <w:pPr>
        <w:pStyle w:val="Heading2"/>
        <w:keepNext/>
      </w:pPr>
      <w:r>
        <w:t>Vježba: jedna tvrdnja, tri izvora</w:t>
      </w:r>
    </w:p>
    <w:tbl>
      <w:tblPr>
        <w:tblStyle w:val="TableGrid"/>
        <w:tblW w:type="dxa" w:w="9200"/>
        <w:jc w:val="left"/>
        <w:tblLayout w:type="fixed"/>
        <w:tblLook w:firstColumn="1" w:firstRow="1" w:lastColumn="0" w:lastRow="0" w:noHBand="0" w:noVBand="1" w:val="04A0"/>
        <w:tblInd w:w="120" w:type="dxa"/>
      </w:tblPr>
      <w:tblGrid>
        <w:gridCol w:w="1150"/>
        <w:gridCol w:w="5350"/>
        <w:gridCol w:w="2700"/>
      </w:tblGrid>
      <w:tr>
        <w:trPr>
          <w:tblHeader w:val="true"/>
          <w:cantSplit/>
        </w:trPr>
        <w:tc>
          <w:tcPr>
            <w:tcW w:type="dxa" w:w="1150"/>
            <w:shd w:fill="E8EEF5"/>
            <w:vAlign w:val="center"/>
            <w:tcMar>
              <w:top w:w="80" w:type="dxa"/>
              <w:start w:w="120" w:type="dxa"/>
              <w:bottom w:w="80" w:type="dxa"/>
              <w:end w:w="120" w:type="dxa"/>
            </w:tcMar>
          </w:tcPr>
          <w:p>
            <w:r>
              <w:rPr>
                <w:rFonts w:ascii="Calibri" w:hAnsi="Calibri"/>
                <w:b/>
                <w:color w:val="17324D"/>
                <w:sz w:val="19"/>
              </w:rPr>
              <w:t>Korak</w:t>
            </w:r>
          </w:p>
        </w:tc>
        <w:tc>
          <w:tcPr>
            <w:tcW w:type="dxa" w:w="5350"/>
            <w:shd w:fill="E8EEF5"/>
            <w:vAlign w:val="center"/>
            <w:tcMar>
              <w:top w:w="80" w:type="dxa"/>
              <w:start w:w="120" w:type="dxa"/>
              <w:bottom w:w="80" w:type="dxa"/>
              <w:end w:w="120" w:type="dxa"/>
            </w:tcMar>
          </w:tcPr>
          <w:p>
            <w:r>
              <w:rPr>
                <w:rFonts w:ascii="Calibri" w:hAnsi="Calibri"/>
                <w:b/>
                <w:color w:val="17324D"/>
                <w:sz w:val="19"/>
              </w:rPr>
              <w:t>Zadatak</w:t>
            </w:r>
          </w:p>
        </w:tc>
        <w:tc>
          <w:tcPr>
            <w:tcW w:type="dxa" w:w="2700"/>
            <w:shd w:fill="E8EEF5"/>
            <w:vAlign w:val="center"/>
            <w:tcMar>
              <w:top w:w="80" w:type="dxa"/>
              <w:start w:w="120" w:type="dxa"/>
              <w:bottom w:w="80" w:type="dxa"/>
              <w:end w:w="120" w:type="dxa"/>
            </w:tcMar>
          </w:tcPr>
          <w:p>
            <w:r>
              <w:rPr>
                <w:rFonts w:ascii="Calibri" w:hAnsi="Calibri"/>
                <w:b/>
                <w:color w:val="17324D"/>
                <w:sz w:val="19"/>
              </w:rPr>
              <w:t>Mikroprovjera</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1</w:t>
            </w:r>
          </w:p>
        </w:tc>
        <w:tc>
          <w:tcPr>
            <w:tcW w:type="dxa" w:w="5350"/>
            <w:vAlign w:val="top"/>
            <w:tcMar>
              <w:top w:w="80" w:type="dxa"/>
              <w:start w:w="120" w:type="dxa"/>
              <w:bottom w:w="80" w:type="dxa"/>
              <w:end w:w="120" w:type="dxa"/>
            </w:tcMar>
          </w:tcPr>
          <w:p>
            <w:pPr>
              <w:spacing w:after="40" w:line="259" w:lineRule="auto"/>
            </w:pPr>
            <w:r>
              <w:rPr>
                <w:rFonts w:ascii="Calibri" w:hAnsi="Calibri"/>
                <w:color w:val="222222"/>
                <w:sz w:val="18"/>
              </w:rPr>
              <w:t>Odabrati jednu gospodarsku tvrdnju o konkretnom mjestu.</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Koja se riječ mora mjeriti: važan, raste, dominantan, velik?</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2</w:t>
            </w:r>
          </w:p>
        </w:tc>
        <w:tc>
          <w:tcPr>
            <w:tcW w:type="dxa" w:w="5350"/>
            <w:vAlign w:val="top"/>
            <w:tcMar>
              <w:top w:w="80" w:type="dxa"/>
              <w:start w:w="120" w:type="dxa"/>
              <w:bottom w:w="80" w:type="dxa"/>
              <w:end w:w="120" w:type="dxa"/>
            </w:tcMar>
          </w:tcPr>
          <w:p>
            <w:pPr>
              <w:spacing w:after="40" w:line="259" w:lineRule="auto"/>
            </w:pPr>
            <w:r>
              <w:rPr>
                <w:rFonts w:ascii="Calibri" w:hAnsi="Calibri"/>
                <w:color w:val="222222"/>
                <w:sz w:val="18"/>
              </w:rPr>
              <w:t>Provjeriti službenu statistiku, ustanovu/poslovni izvor i vidljivi terenski trag.</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Jesu li prostor i vrijeme usporedivi?</w:t>
            </w:r>
          </w:p>
        </w:tc>
      </w:tr>
      <w:tr>
        <w:trPr>
          <w:cantSplit/>
        </w:trPr>
        <w:tc>
          <w:tcPr>
            <w:tcW w:type="dxa" w:w="1150"/>
            <w:vAlign w:val="top"/>
            <w:tcMar>
              <w:top w:w="80" w:type="dxa"/>
              <w:start w:w="120" w:type="dxa"/>
              <w:bottom w:w="80" w:type="dxa"/>
              <w:end w:w="120" w:type="dxa"/>
            </w:tcMar>
          </w:tcPr>
          <w:p>
            <w:pPr>
              <w:spacing w:after="40" w:line="259" w:lineRule="auto"/>
            </w:pPr>
            <w:r>
              <w:rPr>
                <w:rFonts w:ascii="Calibri" w:hAnsi="Calibri"/>
                <w:color w:val="222222"/>
                <w:sz w:val="18"/>
              </w:rPr>
              <w:t>3</w:t>
            </w:r>
          </w:p>
        </w:tc>
        <w:tc>
          <w:tcPr>
            <w:tcW w:type="dxa" w:w="5350"/>
            <w:vAlign w:val="top"/>
            <w:tcMar>
              <w:top w:w="80" w:type="dxa"/>
              <w:start w:w="120" w:type="dxa"/>
              <w:bottom w:w="80" w:type="dxa"/>
              <w:end w:w="120" w:type="dxa"/>
            </w:tcMar>
          </w:tcPr>
          <w:p>
            <w:pPr>
              <w:spacing w:after="40" w:line="259" w:lineRule="auto"/>
            </w:pPr>
            <w:r>
              <w:rPr>
                <w:rFonts w:ascii="Calibri" w:hAnsi="Calibri"/>
                <w:color w:val="222222"/>
                <w:sz w:val="18"/>
              </w:rPr>
              <w:t>Napisati 90 sekundi interpretacije i jednu ogradu.</w:t>
            </w:r>
          </w:p>
        </w:tc>
        <w:tc>
          <w:tcPr>
            <w:tcW w:type="dxa" w:w="2700"/>
            <w:vAlign w:val="top"/>
            <w:tcMar>
              <w:top w:w="80" w:type="dxa"/>
              <w:start w:w="120" w:type="dxa"/>
              <w:bottom w:w="80" w:type="dxa"/>
              <w:end w:w="120" w:type="dxa"/>
            </w:tcMar>
          </w:tcPr>
          <w:p>
            <w:pPr>
              <w:spacing w:after="40" w:line="259" w:lineRule="auto"/>
            </w:pPr>
            <w:r>
              <w:rPr>
                <w:rFonts w:ascii="Calibri" w:hAnsi="Calibri"/>
                <w:color w:val="222222"/>
                <w:sz w:val="18"/>
              </w:rPr>
              <w:t>Je li uzrok dokazan ili samo pretpostavljen?</w:t>
            </w:r>
          </w:p>
        </w:tc>
      </w:tr>
    </w:tbl>
    <w:p>
      <w:pPr>
        <w:spacing w:after="20"/>
      </w:pPr>
    </w:p>
    <w:p>
      <w:pPr>
        <w:pStyle w:val="Heading2"/>
        <w:keepNext/>
      </w:pPr>
      <w:r>
        <w:t>Što od ovoga i kako ide u vođenje</w:t>
      </w:r>
    </w:p>
    <w:p>
      <w:pPr>
        <w:numPr>
          <w:ilvl w:val="0"/>
          <w:numId w:val="10"/>
        </w:numPr>
      </w:pPr>
      <w:r>
        <w:t>Počnite tragom rada, prometa ili proizvodnje koji publika može vidjeti.</w:t>
      </w:r>
    </w:p>
    <w:p>
      <w:pPr>
        <w:numPr>
          <w:ilvl w:val="0"/>
          <w:numId w:val="10"/>
        </w:numPr>
      </w:pPr>
      <w:r>
        <w:t>Jedan datirani pokazatelj objasnite običnim jezikom; ne čitajte tablicu.</w:t>
      </w:r>
    </w:p>
    <w:p>
      <w:pPr>
        <w:numPr>
          <w:ilvl w:val="0"/>
          <w:numId w:val="10"/>
        </w:numPr>
      </w:pPr>
      <w:r>
        <w:t>Povežite djelatnost s ljudima, znanjem, okolišem i prostorom.</w:t>
      </w:r>
    </w:p>
    <w:p>
      <w:pPr>
        <w:numPr>
          <w:ilvl w:val="0"/>
          <w:numId w:val="10"/>
        </w:numPr>
      </w:pPr>
      <w:r>
        <w:t>Odvojite ostvareni rezultat od planiranog projekta i promotivnog obećanja.</w:t>
      </w:r>
    </w:p>
    <w:p>
      <w:pPr>
        <w:numPr>
          <w:ilvl w:val="0"/>
          <w:numId w:val="10"/>
        </w:numPr>
      </w:pPr>
      <w:r>
        <w:t>Završite pitanjem tko stvara vrijednost i gdje ona ostaje.</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gospodarsku karticu jedne lokacije: lanac vrijednosti, vidljivi trag, jedan službeni pokazatelj, datum i teritorij, glas dionika, ograda, poruka publici i dva neovisna izvora.</w:t>
      </w:r>
    </w:p>
    <w:p>
      <w:r>
        <w:br w:type="page"/>
      </w:r>
    </w:p>
    <w:p>
      <w:r>
        <w:rPr>
          <w:rFonts w:ascii="Calibri" w:hAnsi="Calibri"/>
          <w:b/>
          <w:color w:val="B78727"/>
          <w:sz w:val="48"/>
        </w:rPr>
        <w:t>R4.2</w:t>
      </w:r>
    </w:p>
    <w:p>
      <w:pPr>
        <w:pStyle w:val="Heading1"/>
        <w:spacing w:before="40"/>
      </w:pPr>
      <w:r>
        <w:t>Demografija i društvene promjene</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2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analiza Popisa · multiperspektivna rasprava</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Objasniti demografsku promjenu bez stereotipa, uz razliku između presjeka i toka te poštovanje manjinskih i osobnih prava.</w:t>
            </w:r>
          </w:p>
        </w:tc>
      </w:tr>
    </w:tbl>
    <w:p>
      <w:pPr>
        <w:spacing w:after="20"/>
      </w:pPr>
    </w:p>
    <w:p>
      <w:pPr>
        <w:spacing w:before="120" w:after="160" w:line="283" w:lineRule="auto"/>
        <w:ind w:left="202" w:right="115"/>
        <w:shd w:fill="F1ECF7"/>
        <w:pBdr>
          <w:left w:val="single" w:sz="18" w:space="8" w:color="76538C"/>
        </w:pBdr>
      </w:pPr>
      <w:r>
        <w:rPr>
          <w:rFonts w:ascii="Calibri" w:hAnsi="Calibri"/>
          <w:b/>
          <w:color w:val="76538C"/>
          <w:sz w:val="19"/>
        </w:rPr>
        <w:t xml:space="preserve">KLJUČNA PORUKA  </w:t>
      </w:r>
      <w:r>
        <w:rPr>
          <w:rFonts w:ascii="Calibri" w:hAnsi="Calibri"/>
          <w:b/>
          <w:color w:val="17324D"/>
          <w:sz w:val="21"/>
        </w:rPr>
        <w:t>Stanovništvo nije samo broj stanovnika. Dob, kućanstvo, obrazovanje, rođenje, smrt, doseljavanje, odseljavanje, povratak, dnevna mobilnost i raspored naselja zajedno mijenjaju potrebe i doživljaj prostora.</w:t>
      </w:r>
    </w:p>
    <w:p>
      <w:pPr>
        <w:pStyle w:val="Heading2"/>
        <w:keepNext/>
      </w:pPr>
      <w:r>
        <w:t>Popis, procjena i tok</w:t>
      </w:r>
    </w:p>
    <w:tbl>
      <w:tblPr>
        <w:tblStyle w:val="TableGrid"/>
        <w:tblW w:type="dxa" w:w="9200"/>
        <w:jc w:val="left"/>
        <w:tblLayout w:type="fixed"/>
        <w:tblLook w:firstColumn="1" w:firstRow="1" w:lastColumn="0" w:lastRow="0" w:noHBand="0" w:noVBand="1" w:val="04A0"/>
        <w:tblInd w:w="120" w:type="dxa"/>
      </w:tblPr>
      <w:tblGrid>
        <w:gridCol w:w="2150"/>
        <w:gridCol w:w="3500"/>
        <w:gridCol w:w="3550"/>
      </w:tblGrid>
      <w:tr>
        <w:trPr>
          <w:tblHeader w:val="true"/>
          <w:cantSplit/>
        </w:trPr>
        <w:tc>
          <w:tcPr>
            <w:tcW w:type="dxa" w:w="2150"/>
            <w:shd w:fill="E8EEF5"/>
            <w:vAlign w:val="center"/>
            <w:tcMar>
              <w:top w:w="80" w:type="dxa"/>
              <w:start w:w="120" w:type="dxa"/>
              <w:bottom w:w="80" w:type="dxa"/>
              <w:end w:w="120" w:type="dxa"/>
            </w:tcMar>
          </w:tcPr>
          <w:p>
            <w:r>
              <w:rPr>
                <w:rFonts w:ascii="Calibri" w:hAnsi="Calibri"/>
                <w:b/>
                <w:color w:val="17324D"/>
                <w:sz w:val="19"/>
              </w:rPr>
              <w:t>Izvor / mjera</w:t>
            </w:r>
          </w:p>
        </w:tc>
        <w:tc>
          <w:tcPr>
            <w:tcW w:type="dxa" w:w="3500"/>
            <w:shd w:fill="E8EEF5"/>
            <w:vAlign w:val="center"/>
            <w:tcMar>
              <w:top w:w="80" w:type="dxa"/>
              <w:start w:w="120" w:type="dxa"/>
              <w:bottom w:w="80" w:type="dxa"/>
              <w:end w:w="120" w:type="dxa"/>
            </w:tcMar>
          </w:tcPr>
          <w:p>
            <w:r>
              <w:rPr>
                <w:rFonts w:ascii="Calibri" w:hAnsi="Calibri"/>
                <w:b/>
                <w:color w:val="17324D"/>
                <w:sz w:val="19"/>
              </w:rPr>
              <w:t>Što pokazuje</w:t>
            </w:r>
          </w:p>
        </w:tc>
        <w:tc>
          <w:tcPr>
            <w:tcW w:type="dxa" w:w="3550"/>
            <w:shd w:fill="E8EEF5"/>
            <w:vAlign w:val="center"/>
            <w:tcMar>
              <w:top w:w="80" w:type="dxa"/>
              <w:start w:w="120" w:type="dxa"/>
              <w:bottom w:w="80" w:type="dxa"/>
              <w:end w:w="120" w:type="dxa"/>
            </w:tcMar>
          </w:tcPr>
          <w:p>
            <w:r>
              <w:rPr>
                <w:rFonts w:ascii="Calibri" w:hAnsi="Calibri"/>
                <w:b/>
                <w:color w:val="17324D"/>
                <w:sz w:val="19"/>
              </w:rPr>
              <w:t>Što ne smijemo zaključiti</w:t>
            </w:r>
          </w:p>
        </w:tc>
      </w:tr>
      <w:tr>
        <w:trPr>
          <w:cantSplit/>
        </w:trPr>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Popis stanovništva 2021.</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stanje prema popisnoj metodologiji na referentni datum; dob, obrazovanje, narodnost i dr.</w:t>
            </w:r>
          </w:p>
        </w:tc>
        <w:tc>
          <w:tcPr>
            <w:tcW w:type="dxa" w:w="3550"/>
            <w:vAlign w:val="top"/>
            <w:tcMar>
              <w:top w:w="80" w:type="dxa"/>
              <w:start w:w="120" w:type="dxa"/>
              <w:bottom w:w="80" w:type="dxa"/>
              <w:end w:w="120" w:type="dxa"/>
            </w:tcMar>
          </w:tcPr>
          <w:p>
            <w:pPr>
              <w:spacing w:after="40" w:line="259" w:lineRule="auto"/>
            </w:pPr>
            <w:r>
              <w:rPr>
                <w:rFonts w:ascii="Calibri" w:hAnsi="Calibri"/>
                <w:color w:val="222222"/>
                <w:sz w:val="18"/>
              </w:rPr>
              <w:t>da je to automatski današnji broj ili potpuna priča o migraciji</w:t>
            </w:r>
          </w:p>
        </w:tc>
      </w:tr>
      <w:tr>
        <w:trPr>
          <w:cantSplit/>
        </w:trPr>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Godišnja procjena stanovništva</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procijenjeni broj i strukturu između popisa</w:t>
            </w:r>
          </w:p>
        </w:tc>
        <w:tc>
          <w:tcPr>
            <w:tcW w:type="dxa" w:w="3550"/>
            <w:vAlign w:val="top"/>
            <w:tcMar>
              <w:top w:w="80" w:type="dxa"/>
              <w:start w:w="120" w:type="dxa"/>
              <w:bottom w:w="80" w:type="dxa"/>
              <w:end w:w="120" w:type="dxa"/>
            </w:tcMar>
          </w:tcPr>
          <w:p>
            <w:pPr>
              <w:spacing w:after="40" w:line="259" w:lineRule="auto"/>
            </w:pPr>
            <w:r>
              <w:rPr>
                <w:rFonts w:ascii="Calibri" w:hAnsi="Calibri"/>
                <w:color w:val="222222"/>
                <w:sz w:val="18"/>
              </w:rPr>
              <w:t>da je metodološki ista kao popis bez čitanja napomene</w:t>
            </w:r>
          </w:p>
        </w:tc>
      </w:tr>
      <w:tr>
        <w:trPr>
          <w:cantSplit/>
        </w:trPr>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Prirodno kretanje</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rođene, umrle i prirodni prirast/pad</w:t>
            </w:r>
          </w:p>
        </w:tc>
        <w:tc>
          <w:tcPr>
            <w:tcW w:type="dxa" w:w="3550"/>
            <w:vAlign w:val="top"/>
            <w:tcMar>
              <w:top w:w="80" w:type="dxa"/>
              <w:start w:w="120" w:type="dxa"/>
              <w:bottom w:w="80" w:type="dxa"/>
              <w:end w:w="120" w:type="dxa"/>
            </w:tcMar>
          </w:tcPr>
          <w:p>
            <w:pPr>
              <w:spacing w:after="40" w:line="259" w:lineRule="auto"/>
            </w:pPr>
            <w:r>
              <w:rPr>
                <w:rFonts w:ascii="Calibri" w:hAnsi="Calibri"/>
                <w:color w:val="222222"/>
                <w:sz w:val="18"/>
              </w:rPr>
              <w:t>razloge promjene stanovništva bez migracijskih podataka</w:t>
            </w:r>
          </w:p>
        </w:tc>
      </w:tr>
      <w:tr>
        <w:trPr>
          <w:cantSplit/>
        </w:trPr>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Migracijska statistika</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evidentirana preseljenja prema definicijama izvora</w:t>
            </w:r>
          </w:p>
        </w:tc>
        <w:tc>
          <w:tcPr>
            <w:tcW w:type="dxa" w:w="3550"/>
            <w:vAlign w:val="top"/>
            <w:tcMar>
              <w:top w:w="80" w:type="dxa"/>
              <w:start w:w="120" w:type="dxa"/>
              <w:bottom w:w="80" w:type="dxa"/>
              <w:end w:w="120" w:type="dxa"/>
            </w:tcMar>
          </w:tcPr>
          <w:p>
            <w:pPr>
              <w:spacing w:after="40" w:line="259" w:lineRule="auto"/>
            </w:pPr>
            <w:r>
              <w:rPr>
                <w:rFonts w:ascii="Calibri" w:hAnsi="Calibri"/>
                <w:color w:val="222222"/>
                <w:sz w:val="18"/>
              </w:rPr>
              <w:t>svako privremeno, neprijavljeno ili cirkularno kretanje</w:t>
            </w:r>
          </w:p>
        </w:tc>
      </w:tr>
      <w:tr>
        <w:trPr>
          <w:cantSplit/>
        </w:trPr>
        <w:tc>
          <w:tcPr>
            <w:tcW w:type="dxa" w:w="2150"/>
            <w:vAlign w:val="top"/>
            <w:tcMar>
              <w:top w:w="80" w:type="dxa"/>
              <w:start w:w="120" w:type="dxa"/>
              <w:bottom w:w="80" w:type="dxa"/>
              <w:end w:w="120" w:type="dxa"/>
            </w:tcMar>
          </w:tcPr>
          <w:p>
            <w:pPr>
              <w:spacing w:after="40" w:line="259" w:lineRule="auto"/>
            </w:pPr>
            <w:r>
              <w:rPr>
                <w:rFonts w:ascii="Calibri" w:hAnsi="Calibri"/>
                <w:color w:val="222222"/>
                <w:sz w:val="18"/>
              </w:rPr>
              <w:t>Dnevna mobilnost / usluge</w:t>
            </w:r>
          </w:p>
        </w:tc>
        <w:tc>
          <w:tcPr>
            <w:tcW w:type="dxa" w:w="3500"/>
            <w:vAlign w:val="top"/>
            <w:tcMar>
              <w:top w:w="80" w:type="dxa"/>
              <w:start w:w="120" w:type="dxa"/>
              <w:bottom w:w="80" w:type="dxa"/>
              <w:end w:w="120" w:type="dxa"/>
            </w:tcMar>
          </w:tcPr>
          <w:p>
            <w:pPr>
              <w:spacing w:after="40" w:line="259" w:lineRule="auto"/>
            </w:pPr>
            <w:r>
              <w:rPr>
                <w:rFonts w:ascii="Calibri" w:hAnsi="Calibri"/>
                <w:color w:val="222222"/>
                <w:sz w:val="18"/>
              </w:rPr>
              <w:t>veze stanovanja, rada, škole i središta</w:t>
            </w:r>
          </w:p>
        </w:tc>
        <w:tc>
          <w:tcPr>
            <w:tcW w:type="dxa" w:w="3550"/>
            <w:vAlign w:val="top"/>
            <w:tcMar>
              <w:top w:w="80" w:type="dxa"/>
              <w:start w:w="120" w:type="dxa"/>
              <w:bottom w:w="80" w:type="dxa"/>
              <w:end w:w="120" w:type="dxa"/>
            </w:tcMar>
          </w:tcPr>
          <w:p>
            <w:pPr>
              <w:spacing w:after="40" w:line="259" w:lineRule="auto"/>
            </w:pPr>
            <w:r>
              <w:rPr>
                <w:rFonts w:ascii="Calibri" w:hAnsi="Calibri"/>
                <w:color w:val="222222"/>
                <w:sz w:val="18"/>
              </w:rPr>
              <w:t>da upravna granica opisuje cijelo funkcionalno područje</w:t>
            </w:r>
          </w:p>
        </w:tc>
      </w:tr>
    </w:tbl>
    <w:p>
      <w:pPr>
        <w:spacing w:after="20"/>
      </w:pPr>
    </w:p>
    <w:p>
      <w:pPr>
        <w:spacing w:before="120" w:after="40"/>
        <w:jc w:val="center"/>
      </w:pPr>
      <w:r>
        <w:drawing>
          <wp:inline xmlns:a="http://schemas.openxmlformats.org/drawingml/2006/main" xmlns:pic="http://schemas.openxmlformats.org/drawingml/2006/picture">
            <wp:extent cx="5806440" cy="2605553"/>
            <wp:docPr id="5" name="Picture 5" descr="Slika 7. Sastavnice demografske promjene." title="Slika 7. Sastavnice demografske promjene."/>
            <wp:cNvGraphicFramePr>
              <a:graphicFrameLocks noChangeAspect="1"/>
            </wp:cNvGraphicFramePr>
            <a:graphic>
              <a:graphicData uri="http://schemas.openxmlformats.org/drawingml/2006/picture">
                <pic:pic>
                  <pic:nvPicPr>
                    <pic:cNvPr id="0" name="05_demografska_promjena.png"/>
                    <pic:cNvPicPr/>
                  </pic:nvPicPr>
                  <pic:blipFill>
                    <a:blip r:embed="rId15"/>
                    <a:stretch>
                      <a:fillRect/>
                    </a:stretch>
                  </pic:blipFill>
                  <pic:spPr>
                    <a:xfrm>
                      <a:off x="0" y="0"/>
                      <a:ext cx="5806440" cy="2605553"/>
                    </a:xfrm>
                    <a:prstGeom prst="rect"/>
                  </pic:spPr>
                </pic:pic>
              </a:graphicData>
            </a:graphic>
          </wp:inline>
        </w:drawing>
      </w:r>
    </w:p>
    <w:p>
      <w:pPr>
        <w:spacing w:before="60" w:after="40"/>
        <w:jc w:val="center"/>
      </w:pPr>
      <w:r>
        <w:rPr>
          <w:rFonts w:ascii="Calibri" w:hAnsi="Calibri"/>
          <w:i/>
          <w:color w:val="1F4D78"/>
          <w:sz w:val="18"/>
        </w:rPr>
        <w:t>Slika 7. Sastavnice demografske promjene.</w:t>
      </w:r>
    </w:p>
    <w:p>
      <w:pPr>
        <w:spacing w:before="0" w:after="160"/>
        <w:jc w:val="center"/>
      </w:pPr>
      <w:r>
        <w:rPr>
          <w:rFonts w:ascii="Calibri" w:hAnsi="Calibri"/>
          <w:color w:val="667085"/>
          <w:sz w:val="16"/>
        </w:rPr>
        <w:t>Izvorna ilustracija; podaci se preuzimaju iz službenih tablica DZS-a.</w:t>
      </w:r>
    </w:p>
    <w:p>
      <w:pPr>
        <w:pStyle w:val="Heading2"/>
        <w:keepNext/>
      </w:pPr>
      <w:r>
        <w:t>Šest županija – bez jedne etikete</w:t>
      </w:r>
    </w:p>
    <w:p>
      <w:pPr>
        <w:widowControl/>
      </w:pPr>
      <w:r>
        <w:t>Regija I obuhvaća šest upravnih jedinica različite veličine, gustoće, mreže gradova i naselja te razvojnih putanja. Osijek ima ulogu najvećega urbanog i sveučilišnog središta regije, ali ne opisuje iskustvo svih ruralnih, pograničnih, brdskih i riječnih prostora. Kandidat ne izgovara „Slavonija se prazni” bez pokazatelja, razdoblja i prostorne razine.</w:t>
      </w:r>
    </w:p>
    <w:p>
      <w:pPr>
        <w:spacing w:before="120" w:after="40"/>
        <w:jc w:val="center"/>
      </w:pPr>
      <w:r>
        <w:drawing>
          <wp:inline xmlns:a="http://schemas.openxmlformats.org/drawingml/2006/main" xmlns:pic="http://schemas.openxmlformats.org/drawingml/2006/picture">
            <wp:extent cx="5550000" cy="3700000"/>
            <wp:docPr id="403" name="Picture 403" descr="Slika 8. Osijek uz Dravu – najveće urbano i sveučilišno središte regije ne opisuje iskustvo svih njezinih prostora." title="Slika 8. Osijek uz Dravu – najveće urbano i sveučilišno središte regije ne opisuje iskustvo svih njezinih prostora."/>
            <wp:cNvGraphicFramePr>
              <a:graphicFrameLocks noChangeAspect="1"/>
            </wp:cNvGraphicFramePr>
            <a:graphic>
              <a:graphicData uri="http://schemas.openxmlformats.org/drawingml/2006/picture">
                <pic:pic>
                  <pic:nvPicPr>
                    <pic:cNvPr id="0" name="image15.jpg"/>
                    <pic:cNvPicPr/>
                  </pic:nvPicPr>
                  <pic:blipFill>
                    <a:blip r:embed="rId25"/>
                    <a:stretch>
                      <a:fillRect/>
                    </a:stretch>
                  </pic:blipFill>
                  <pic:spPr>
                    <a:xfrm>
                      <a:off x="0" y="0"/>
                      <a:ext cx="5550000" cy="3700000"/>
                    </a:xfrm>
                    <a:prstGeom prst="rect"/>
                  </pic:spPr>
                </pic:pic>
              </a:graphicData>
            </a:graphic>
          </wp:inline>
        </w:drawing>
      </w:r>
    </w:p>
    <w:p>
      <w:pPr>
        <w:spacing w:before="60" w:after="40"/>
        <w:jc w:val="center"/>
      </w:pPr>
      <w:r>
        <w:rPr>
          <w:rFonts w:ascii="Calibri" w:hAnsi="Calibri"/>
          <w:i/>
          <w:color w:val="1F4D78"/>
          <w:sz w:val="18"/>
        </w:rPr>
        <w:t xml:space="preserve">Slika 8. Osijek uz Dravu – najveće urbano i sveučilišno središte regije ne opisuje iskustvo svih njezinih prostora.</w:t>
      </w:r>
    </w:p>
    <w:p>
      <w:pPr>
        <w:spacing w:before="0" w:after="160"/>
        <w:jc w:val="center"/>
      </w:pPr>
      <w:r>
        <w:rPr>
          <w:rFonts w:ascii="Calibri" w:hAnsi="Calibri"/>
          <w:color w:val="667085"/>
          <w:sz w:val="16"/>
        </w:rPr>
        <w:t xml:space="preserve">Foto: Rp031, Wikimedia Commons, CC BY-SA 4.0.</w:t>
      </w:r>
    </w:p>
    <w:p>
      <w:pPr>
        <w:pStyle w:val="Heading2"/>
        <w:keepNext/>
      </w:pPr>
      <w:r>
        <w:t>Obnova, povratak, nacionalna struktura i manjinska prava</w:t>
      </w:r>
    </w:p>
    <w:p>
      <w:pPr>
        <w:widowControl/>
      </w:pPr>
      <w:r>
        <w:t>Obnova i povratak nakon Domovinskog rata imaju pravne, stambene, gospodarske, demografske i emocionalne dimenzije. Nacionalna struktura iz Popisa osjetljiv je samoiskaz i nije opis karaktera, političkog stava ili kulturne prakse pojedinca. Manjinska prava tumače se prema važećem ustavnom i zakonskom okviru te lokalnim ustanovama i službenim oblicima uporabe jezika i pisma, uz aktualnu pravnu provjeru.</w:t>
      </w:r>
    </w:p>
    <w:p>
      <w:pPr>
        <w:spacing w:before="120" w:after="40"/>
        <w:jc w:val="center"/>
      </w:pPr>
      <w:r>
        <w:drawing>
          <wp:inline xmlns:a="http://schemas.openxmlformats.org/drawingml/2006/main" xmlns:pic="http://schemas.openxmlformats.org/drawingml/2006/picture">
            <wp:extent cx="5669280" cy="3078629"/>
            <wp:docPr id="6" name="Picture 6" descr="Slika 9. Jezične zamjene koje povećavaju točnost i poštovanje." title="Slika 9. Jezične zamjene koje povećavaju točnost i poštovanje."/>
            <wp:cNvGraphicFramePr>
              <a:graphicFrameLocks noChangeAspect="1"/>
            </wp:cNvGraphicFramePr>
            <a:graphic>
              <a:graphicData uri="http://schemas.openxmlformats.org/drawingml/2006/picture">
                <pic:pic>
                  <pic:nvPicPr>
                    <pic:cNvPr id="0" name="06_osjetljive_teme.png"/>
                    <pic:cNvPicPr/>
                  </pic:nvPicPr>
                  <pic:blipFill>
                    <a:blip r:embed="rId16"/>
                    <a:stretch>
                      <a:fillRect/>
                    </a:stretch>
                  </pic:blipFill>
                  <pic:spPr>
                    <a:xfrm>
                      <a:off x="0" y="0"/>
                      <a:ext cx="5669280" cy="3078629"/>
                    </a:xfrm>
                    <a:prstGeom prst="rect"/>
                  </pic:spPr>
                </pic:pic>
              </a:graphicData>
            </a:graphic>
          </wp:inline>
        </w:drawing>
      </w:r>
    </w:p>
    <w:p>
      <w:pPr>
        <w:spacing w:before="60" w:after="40"/>
        <w:jc w:val="center"/>
      </w:pPr>
      <w:r>
        <w:rPr>
          <w:rFonts w:ascii="Calibri" w:hAnsi="Calibri"/>
          <w:i/>
          <w:color w:val="1F4D78"/>
          <w:sz w:val="18"/>
        </w:rPr>
        <w:t>Slika 9. Jezične zamjene koje povećavaju točnost i poštovanje.</w:t>
      </w:r>
    </w:p>
    <w:p>
      <w:pPr>
        <w:spacing w:before="0" w:after="160"/>
        <w:jc w:val="center"/>
      </w:pPr>
      <w:r>
        <w:rPr>
          <w:rFonts w:ascii="Calibri" w:hAnsi="Calibri"/>
          <w:color w:val="667085"/>
          <w:sz w:val="16"/>
        </w:rPr>
        <w:t>Izvorna ilustracija za ovaj dokument.</w:t>
      </w:r>
    </w:p>
    <w:p>
      <w:pPr>
        <w:pStyle w:val="Heading2"/>
        <w:keepNext/>
      </w:pPr>
      <w:r>
        <w:t>Mirna reintegracija kao društveno-prostorni kontekst</w:t>
      </w:r>
    </w:p>
    <w:p>
      <w:pPr>
        <w:widowControl/>
      </w:pPr>
      <w:r>
        <w:t>Temeljni sporazum o području istočne Slavonije, Baranje i zapadnog Srijema potpisan je 12. studenoga 1995. Ujedinjeni narodi uspostavili su UNTAES 15. siječnja 1996.; mandat je završen 15. siječnja 1998. nakon mirne reintegracije područja u ustavnopravni poredak Republike Hrvatske. U R4 naglasak je na obnovi institucija i javnih službi, dokumentima i pravima, izborima, povratku, suživotu i dugoročnim društvenim posljedicama. Ratni tijek, žrtve i memorijalni lokaliteti obrađuju se u zasebnom modulu s vlastitim etičkim pravilima.</w:t>
      </w:r>
    </w:p>
    <w:p>
      <w:pPr>
        <w:spacing w:before="120" w:after="40"/>
        <w:jc w:val="center"/>
      </w:pPr>
      <w:r>
        <w:drawing>
          <wp:inline xmlns:a="http://schemas.openxmlformats.org/drawingml/2006/main" xmlns:pic="http://schemas.openxmlformats.org/drawingml/2006/picture">
            <wp:extent cx="5897880" cy="2646585"/>
            <wp:docPr id="7" name="Picture 7" descr="Slika 10. Sažeta kronologija mirne reintegracije i granica obrade u R4." title="Slika 10. Sažeta kronologija mirne reintegracije i granica obrade u R4."/>
            <wp:cNvGraphicFramePr>
              <a:graphicFrameLocks noChangeAspect="1"/>
            </wp:cNvGraphicFramePr>
            <a:graphic>
              <a:graphicData uri="http://schemas.openxmlformats.org/drawingml/2006/picture">
                <pic:pic>
                  <pic:nvPicPr>
                    <pic:cNvPr id="0" name="07_mirna_reintegracija.png"/>
                    <pic:cNvPicPr/>
                  </pic:nvPicPr>
                  <pic:blipFill>
                    <a:blip r:embed="rId17"/>
                    <a:stretch>
                      <a:fillRect/>
                    </a:stretch>
                  </pic:blipFill>
                  <pic:spPr>
                    <a:xfrm>
                      <a:off x="0" y="0"/>
                      <a:ext cx="5897880" cy="2646585"/>
                    </a:xfrm>
                    <a:prstGeom prst="rect"/>
                  </pic:spPr>
                </pic:pic>
              </a:graphicData>
            </a:graphic>
          </wp:inline>
        </w:drawing>
      </w:r>
    </w:p>
    <w:p>
      <w:pPr>
        <w:spacing w:before="60" w:after="40"/>
        <w:jc w:val="center"/>
      </w:pPr>
      <w:r>
        <w:rPr>
          <w:rFonts w:ascii="Calibri" w:hAnsi="Calibri"/>
          <w:i/>
          <w:color w:val="1F4D78"/>
          <w:sz w:val="18"/>
        </w:rPr>
        <w:t>Slika 10. Sažeta kronologija mirne reintegracije i granica obrade u R4.</w:t>
      </w:r>
    </w:p>
    <w:p>
      <w:pPr>
        <w:spacing w:before="0" w:after="160"/>
        <w:jc w:val="center"/>
      </w:pPr>
      <w:r>
        <w:rPr>
          <w:rFonts w:ascii="Calibri" w:hAnsi="Calibri"/>
          <w:color w:val="667085"/>
          <w:sz w:val="16"/>
        </w:rPr>
        <w:t>Izvorna ilustracija prema službenoj kronologiji UNTAES-a i Programu.</w:t>
      </w:r>
    </w:p>
    <w:p>
      <w:pPr>
        <w:pStyle w:val="Heading2"/>
        <w:keepNext/>
      </w:pPr>
      <w:r>
        <w:t>Što od ovoga i kako ide u vođenje</w:t>
      </w:r>
    </w:p>
    <w:p>
      <w:pPr>
        <w:numPr>
          <w:ilvl w:val="0"/>
          <w:numId w:val="10"/>
        </w:numPr>
      </w:pPr>
      <w:r>
        <w:t>Jedan broj povežite s jednom svakodnevnom posljedicom, ali ne izmišljajte uzrok.</w:t>
      </w:r>
    </w:p>
    <w:p>
      <w:pPr>
        <w:numPr>
          <w:ilvl w:val="0"/>
          <w:numId w:val="10"/>
        </w:numPr>
      </w:pPr>
      <w:r>
        <w:t>Usporedite grad i ruralno naselje samo uz jednaku mjeru i razdoblje.</w:t>
      </w:r>
    </w:p>
    <w:p>
      <w:pPr>
        <w:numPr>
          <w:ilvl w:val="0"/>
          <w:numId w:val="10"/>
        </w:numPr>
      </w:pPr>
      <w:r>
        <w:t>Iskustvo migracije ili povratka pripišite osobi i kontekstu; ne proglašavajte ga tipičnim.</w:t>
      </w:r>
    </w:p>
    <w:p>
      <w:pPr>
        <w:numPr>
          <w:ilvl w:val="0"/>
          <w:numId w:val="10"/>
        </w:numPr>
      </w:pPr>
      <w:r>
        <w:t>Kod manjinskih tema koristite samoodređenje, službeni okvir i više glasova.</w:t>
      </w:r>
    </w:p>
    <w:p>
      <w:pPr>
        <w:numPr>
          <w:ilvl w:val="0"/>
          <w:numId w:val="10"/>
        </w:numPr>
      </w:pPr>
      <w:r>
        <w:t>Na temi reintegracije razlikujte događaj, institucionalni proces i današnje sjećanje.</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demografsku karticu jednoga grada/općine: Popis 2021., novija procjena ili tok, definicija pokazatelja, jedna prostorna posljedica, dva atribuirana glasa, etička granica i rok ponovne provjere.</w:t>
      </w:r>
    </w:p>
    <w:p>
      <w:r>
        <w:br w:type="page"/>
      </w:r>
    </w:p>
    <w:p>
      <w:r>
        <w:rPr>
          <w:rFonts w:ascii="Calibri" w:hAnsi="Calibri"/>
          <w:b/>
          <w:color w:val="B78727"/>
          <w:sz w:val="48"/>
        </w:rPr>
        <w:t>R4.3</w:t>
      </w:r>
    </w:p>
    <w:p>
      <w:pPr>
        <w:pStyle w:val="Heading1"/>
        <w:spacing w:before="40"/>
      </w:pPr>
      <w:r>
        <w:t>Obrazovanje, znanost i institucije</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3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posjet ustanovi · intervju</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Predstaviti ustanovu preko javne funkcije, korisnika, dokaza rada, prostornog dosega i odnosa prema turističkom vođenju.</w:t>
            </w:r>
          </w:p>
        </w:tc>
      </w:tr>
    </w:tbl>
    <w:p>
      <w:pPr>
        <w:spacing w:after="20"/>
      </w:pPr>
    </w:p>
    <w:p>
      <w:pPr>
        <w:spacing w:before="120" w:after="160" w:line="283" w:lineRule="auto"/>
        <w:ind w:left="202" w:right="115"/>
        <w:shd w:fill="E8EEF5"/>
        <w:pBdr>
          <w:left w:val="single" w:sz="18" w:space="8" w:color="2E74B5"/>
        </w:pBdr>
      </w:pPr>
      <w:r>
        <w:rPr>
          <w:rFonts w:ascii="Calibri" w:hAnsi="Calibri"/>
          <w:b/>
          <w:color w:val="2E74B5"/>
          <w:sz w:val="19"/>
        </w:rPr>
        <w:t xml:space="preserve">KLJUČNA PORUKA  </w:t>
      </w:r>
      <w:r>
        <w:rPr>
          <w:rFonts w:ascii="Calibri" w:hAnsi="Calibri"/>
          <w:b/>
          <w:color w:val="17324D"/>
          <w:sz w:val="21"/>
        </w:rPr>
        <w:t>Ustanova nije važna zato što postoji, nego zato što obavlja javnu ili stručnu funkciju, stvara znanje, upravlja dobrom, čuva dokument, razvija ljude ili koordinira djelovanje u prostoru.</w:t>
      </w:r>
    </w:p>
    <w:p>
      <w:pPr>
        <w:spacing w:before="120" w:after="40"/>
        <w:jc w:val="center"/>
      </w:pPr>
      <w:r>
        <w:drawing>
          <wp:inline xmlns:a="http://schemas.openxmlformats.org/drawingml/2006/main" xmlns:pic="http://schemas.openxmlformats.org/drawingml/2006/picture">
            <wp:extent cx="5550000" cy="3700000"/>
            <wp:docPr id="404" name="Picture 404" descr="Slika 11. Muzej vučedolske kulture – ustanova koja čuva, istražuje i javnosti otvara nalazište." title="Slika 11. Muzej vučedolske kulture – ustanova koja čuva, istražuje i javnosti otvara nalazište."/>
            <wp:cNvGraphicFramePr>
              <a:graphicFrameLocks noChangeAspect="1"/>
            </wp:cNvGraphicFramePr>
            <a:graphic>
              <a:graphicData uri="http://schemas.openxmlformats.org/drawingml/2006/picture">
                <pic:pic>
                  <pic:nvPicPr>
                    <pic:cNvPr id="0" name="image16.jpg"/>
                    <pic:cNvPicPr/>
                  </pic:nvPicPr>
                  <pic:blipFill>
                    <a:blip r:embed="rId26"/>
                    <a:stretch>
                      <a:fillRect/>
                    </a:stretch>
                  </pic:blipFill>
                  <pic:spPr>
                    <a:xfrm>
                      <a:off x="0" y="0"/>
                      <a:ext cx="5550000" cy="3700000"/>
                    </a:xfrm>
                    <a:prstGeom prst="rect"/>
                  </pic:spPr>
                </pic:pic>
              </a:graphicData>
            </a:graphic>
          </wp:inline>
        </w:drawing>
      </w:r>
    </w:p>
    <w:p>
      <w:pPr>
        <w:spacing w:before="60" w:after="40"/>
        <w:jc w:val="center"/>
      </w:pPr>
      <w:r>
        <w:rPr>
          <w:rFonts w:ascii="Calibri" w:hAnsi="Calibri"/>
          <w:i/>
          <w:color w:val="1F4D78"/>
          <w:sz w:val="18"/>
        </w:rPr>
        <w:t xml:space="preserve">Slika 11. Muzej vučedolske kulture – ustanova koja čuva, istražuje i javnosti otvara nalazište.</w:t>
      </w:r>
    </w:p>
    <w:p>
      <w:pPr>
        <w:spacing w:before="0" w:after="160"/>
        <w:jc w:val="center"/>
      </w:pPr>
      <w:r>
        <w:rPr>
          <w:rFonts w:ascii="Calibri" w:hAnsi="Calibri"/>
          <w:color w:val="667085"/>
          <w:sz w:val="16"/>
        </w:rPr>
        <w:t xml:space="preserve">Foto: Darkobilandzic, Wikimedia Commons, CC BY-SA 4.0.</w:t>
      </w:r>
    </w:p>
    <w:p>
      <w:pPr>
        <w:spacing w:before="120" w:after="40"/>
        <w:jc w:val="center"/>
      </w:pPr>
      <w:r>
        <w:drawing>
          <wp:inline xmlns:a="http://schemas.openxmlformats.org/drawingml/2006/main" xmlns:pic="http://schemas.openxmlformats.org/drawingml/2006/picture">
            <wp:extent cx="5550000" cy="3700000"/>
            <wp:docPr id="405" name="Picture 405" descr="Slika 12. Šetnica u Kopačkom ritu – javna ustanova spaja zaštitu, nadzor, edukaciju i posjećivanje." title="Slika 12. Šetnica u Kopačkom ritu – javna ustanova spaja zaštitu, nadzor, edukaciju i posjećivanje."/>
            <wp:cNvGraphicFramePr>
              <a:graphicFrameLocks noChangeAspect="1"/>
            </wp:cNvGraphicFramePr>
            <a:graphic>
              <a:graphicData uri="http://schemas.openxmlformats.org/drawingml/2006/picture">
                <pic:pic>
                  <pic:nvPicPr>
                    <pic:cNvPr id="0" name="image17.jpg"/>
                    <pic:cNvPicPr/>
                  </pic:nvPicPr>
                  <pic:blipFill>
                    <a:blip r:embed="rId27"/>
                    <a:stretch>
                      <a:fillRect/>
                    </a:stretch>
                  </pic:blipFill>
                  <pic:spPr>
                    <a:xfrm>
                      <a:off x="0" y="0"/>
                      <a:ext cx="5550000" cy="3700000"/>
                    </a:xfrm>
                    <a:prstGeom prst="rect"/>
                  </pic:spPr>
                </pic:pic>
              </a:graphicData>
            </a:graphic>
          </wp:inline>
        </w:drawing>
      </w:r>
    </w:p>
    <w:p>
      <w:pPr>
        <w:spacing w:before="60" w:after="40"/>
        <w:jc w:val="center"/>
      </w:pPr>
      <w:r>
        <w:rPr>
          <w:rFonts w:ascii="Calibri" w:hAnsi="Calibri"/>
          <w:i/>
          <w:color w:val="1F4D78"/>
          <w:sz w:val="18"/>
        </w:rPr>
        <w:t xml:space="preserve">Slika 12. Šetnica u Kopačkom ritu – javna ustanova spaja zaštitu, nadzor, edukaciju i posjećivanje.</w:t>
      </w:r>
    </w:p>
    <w:p>
      <w:pPr>
        <w:spacing w:before="0" w:after="160"/>
        <w:jc w:val="center"/>
      </w:pPr>
      <w:r>
        <w:rPr>
          <w:rFonts w:ascii="Calibri" w:hAnsi="Calibri"/>
          <w:color w:val="667085"/>
          <w:sz w:val="16"/>
        </w:rPr>
        <w:t xml:space="preserve">Foto: Misalalic, Wikimedia Commons, CC BY-SA 4.0.</w:t>
      </w:r>
    </w:p>
    <w:p>
      <w:pPr>
        <w:pStyle w:val="Heading2"/>
        <w:keepNext/>
      </w:pPr>
      <w:r>
        <w:t>Institucionalna mreža</w:t>
      </w:r>
    </w:p>
    <w:tbl>
      <w:tblPr>
        <w:tblStyle w:val="TableGrid"/>
        <w:tblW w:type="dxa" w:w="9200"/>
        <w:jc w:val="left"/>
        <w:tblLayout w:type="fixed"/>
        <w:tblLook w:firstColumn="1" w:firstRow="1" w:lastColumn="0" w:lastRow="0" w:noHBand="0" w:noVBand="1" w:val="04A0"/>
        <w:tblInd w:w="120" w:type="dxa"/>
      </w:tblPr>
      <w:tblGrid>
        <w:gridCol w:w="2050"/>
        <w:gridCol w:w="3700"/>
        <w:gridCol w:w="3450"/>
      </w:tblGrid>
      <w:tr>
        <w:trPr>
          <w:tblHeader w:val="true"/>
          <w:cantSplit/>
        </w:trPr>
        <w:tc>
          <w:tcPr>
            <w:tcW w:type="dxa" w:w="2050"/>
            <w:shd w:fill="E8EEF5"/>
            <w:vAlign w:val="center"/>
            <w:tcMar>
              <w:top w:w="80" w:type="dxa"/>
              <w:start w:w="120" w:type="dxa"/>
              <w:bottom w:w="80" w:type="dxa"/>
              <w:end w:w="120" w:type="dxa"/>
            </w:tcMar>
          </w:tcPr>
          <w:p>
            <w:r>
              <w:rPr>
                <w:rFonts w:ascii="Calibri" w:hAnsi="Calibri"/>
                <w:b/>
                <w:color w:val="17324D"/>
                <w:sz w:val="19"/>
              </w:rPr>
              <w:t>Skupina</w:t>
            </w:r>
          </w:p>
        </w:tc>
        <w:tc>
          <w:tcPr>
            <w:tcW w:type="dxa" w:w="3700"/>
            <w:shd w:fill="E8EEF5"/>
            <w:vAlign w:val="center"/>
            <w:tcMar>
              <w:top w:w="80" w:type="dxa"/>
              <w:start w:w="120" w:type="dxa"/>
              <w:bottom w:w="80" w:type="dxa"/>
              <w:end w:w="120" w:type="dxa"/>
            </w:tcMar>
          </w:tcPr>
          <w:p>
            <w:r>
              <w:rPr>
                <w:rFonts w:ascii="Calibri" w:hAnsi="Calibri"/>
                <w:b/>
                <w:color w:val="17324D"/>
                <w:sz w:val="19"/>
              </w:rPr>
              <w:t>Početni primjeri iz Programa</w:t>
            </w:r>
          </w:p>
        </w:tc>
        <w:tc>
          <w:tcPr>
            <w:tcW w:type="dxa" w:w="3450"/>
            <w:shd w:fill="E8EEF5"/>
            <w:vAlign w:val="center"/>
            <w:tcMar>
              <w:top w:w="80" w:type="dxa"/>
              <w:start w:w="120" w:type="dxa"/>
              <w:bottom w:w="80" w:type="dxa"/>
              <w:end w:w="120" w:type="dxa"/>
            </w:tcMar>
          </w:tcPr>
          <w:p>
            <w:r>
              <w:rPr>
                <w:rFonts w:ascii="Calibri" w:hAnsi="Calibri"/>
                <w:b/>
                <w:color w:val="17324D"/>
                <w:sz w:val="19"/>
              </w:rPr>
              <w:t>Pitanje za interpretaciju</w:t>
            </w:r>
          </w:p>
        </w:tc>
      </w:tr>
      <w:tr>
        <w:trPr>
          <w:cantSplit/>
        </w:trPr>
        <w:tc>
          <w:tcPr>
            <w:tcW w:type="dxa" w:w="2050"/>
            <w:vAlign w:val="top"/>
            <w:tcMar>
              <w:top w:w="80" w:type="dxa"/>
              <w:start w:w="120" w:type="dxa"/>
              <w:bottom w:w="80" w:type="dxa"/>
              <w:end w:w="120" w:type="dxa"/>
            </w:tcMar>
          </w:tcPr>
          <w:p>
            <w:pPr>
              <w:spacing w:after="40" w:line="259" w:lineRule="auto"/>
            </w:pPr>
            <w:r>
              <w:rPr>
                <w:rFonts w:ascii="Calibri" w:hAnsi="Calibri"/>
                <w:color w:val="222222"/>
                <w:sz w:val="18"/>
              </w:rPr>
              <w:t>Visoko obrazovanje i znanost</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Sveučilište Josipa Jurja Strossmayera u Osijeku; druga akreditirana visoka učilišta u regiji</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Koje ljude, istraživanja, prakse i javne sadržaje povezuje s regijom?</w:t>
            </w:r>
          </w:p>
        </w:tc>
      </w:tr>
      <w:tr>
        <w:trPr>
          <w:cantSplit/>
        </w:trPr>
        <w:tc>
          <w:tcPr>
            <w:tcW w:type="dxa" w:w="2050"/>
            <w:vAlign w:val="top"/>
            <w:tcMar>
              <w:top w:w="80" w:type="dxa"/>
              <w:start w:w="120" w:type="dxa"/>
              <w:bottom w:w="80" w:type="dxa"/>
              <w:end w:w="120" w:type="dxa"/>
            </w:tcMar>
          </w:tcPr>
          <w:p>
            <w:pPr>
              <w:spacing w:after="40" w:line="259" w:lineRule="auto"/>
            </w:pPr>
            <w:r>
              <w:rPr>
                <w:rFonts w:ascii="Calibri" w:hAnsi="Calibri"/>
                <w:color w:val="222222"/>
                <w:sz w:val="18"/>
              </w:rPr>
              <w:t>Muzeji i arhivi</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državni, gradski, zavičajni, specijalizirani muzeji i arhivske ustanove</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Koji dokaz čuvaju i kako javnost dobiva pristup?</w:t>
            </w:r>
          </w:p>
        </w:tc>
      </w:tr>
      <w:tr>
        <w:trPr>
          <w:cantSplit/>
        </w:trPr>
        <w:tc>
          <w:tcPr>
            <w:tcW w:type="dxa" w:w="2050"/>
            <w:vAlign w:val="top"/>
            <w:tcMar>
              <w:top w:w="80" w:type="dxa"/>
              <w:start w:w="120" w:type="dxa"/>
              <w:bottom w:w="80" w:type="dxa"/>
              <w:end w:w="120" w:type="dxa"/>
            </w:tcMar>
          </w:tcPr>
          <w:p>
            <w:pPr>
              <w:spacing w:after="40" w:line="259" w:lineRule="auto"/>
            </w:pPr>
            <w:r>
              <w:rPr>
                <w:rFonts w:ascii="Calibri" w:hAnsi="Calibri"/>
                <w:color w:val="222222"/>
                <w:sz w:val="18"/>
              </w:rPr>
              <w:t>Memorijalna ustanova</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Memorijalni centar Domovinskog rata Vukovar</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Koji je mandat ustanove i gdje su granice vodičeva tumačenja?</w:t>
            </w:r>
          </w:p>
        </w:tc>
      </w:tr>
      <w:tr>
        <w:trPr>
          <w:cantSplit/>
        </w:trPr>
        <w:tc>
          <w:tcPr>
            <w:tcW w:type="dxa" w:w="2050"/>
            <w:vAlign w:val="top"/>
            <w:tcMar>
              <w:top w:w="80" w:type="dxa"/>
              <w:start w:w="120" w:type="dxa"/>
              <w:bottom w:w="80" w:type="dxa"/>
              <w:end w:w="120" w:type="dxa"/>
            </w:tcMar>
          </w:tcPr>
          <w:p>
            <w:pPr>
              <w:spacing w:after="40" w:line="259" w:lineRule="auto"/>
            </w:pPr>
            <w:r>
              <w:rPr>
                <w:rFonts w:ascii="Calibri" w:hAnsi="Calibri"/>
                <w:color w:val="222222"/>
                <w:sz w:val="18"/>
              </w:rPr>
              <w:t>Zaštićena područja</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javne ustanove parkova i drugih zaštićenih područja</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Kako spajaju zaštitu, nadzor, istraživanje, edukaciju i posjećivanje?</w:t>
            </w:r>
          </w:p>
        </w:tc>
      </w:tr>
      <w:tr>
        <w:trPr>
          <w:cantSplit/>
        </w:trPr>
        <w:tc>
          <w:tcPr>
            <w:tcW w:type="dxa" w:w="2050"/>
            <w:vAlign w:val="top"/>
            <w:tcMar>
              <w:top w:w="80" w:type="dxa"/>
              <w:start w:w="120" w:type="dxa"/>
              <w:bottom w:w="80" w:type="dxa"/>
              <w:end w:w="120" w:type="dxa"/>
            </w:tcMar>
          </w:tcPr>
          <w:p>
            <w:pPr>
              <w:spacing w:after="40" w:line="259" w:lineRule="auto"/>
            </w:pPr>
            <w:r>
              <w:rPr>
                <w:rFonts w:ascii="Calibri" w:hAnsi="Calibri"/>
                <w:color w:val="222222"/>
                <w:sz w:val="18"/>
              </w:rPr>
              <w:t>Turizam i razvoj</w:t>
            </w:r>
          </w:p>
        </w:tc>
        <w:tc>
          <w:tcPr>
            <w:tcW w:type="dxa" w:w="3700"/>
            <w:vAlign w:val="top"/>
            <w:tcMar>
              <w:top w:w="80" w:type="dxa"/>
              <w:start w:w="120" w:type="dxa"/>
              <w:bottom w:w="80" w:type="dxa"/>
              <w:end w:w="120" w:type="dxa"/>
            </w:tcMar>
          </w:tcPr>
          <w:p>
            <w:pPr>
              <w:spacing w:after="40" w:line="259" w:lineRule="auto"/>
            </w:pPr>
            <w:r>
              <w:rPr>
                <w:rFonts w:ascii="Calibri" w:hAnsi="Calibri"/>
                <w:color w:val="222222"/>
                <w:sz w:val="18"/>
              </w:rPr>
              <w:t>lokalne/regionalne turističke zajednice i razvojne agencije</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Što koordiniraju, koje podatke objavljuju i komu odgovaraju?</w:t>
            </w:r>
          </w:p>
        </w:tc>
      </w:tr>
    </w:tbl>
    <w:p>
      <w:pPr>
        <w:spacing w:after="20"/>
      </w:pPr>
    </w:p>
    <w:p>
      <w:pPr>
        <w:spacing w:before="120" w:after="40"/>
        <w:jc w:val="center"/>
      </w:pPr>
      <w:r>
        <w:drawing>
          <wp:inline xmlns:a="http://schemas.openxmlformats.org/drawingml/2006/main" xmlns:pic="http://schemas.openxmlformats.org/drawingml/2006/picture">
            <wp:extent cx="5897880" cy="2646585"/>
            <wp:docPr id="8" name="Picture 8" descr="Slika 13. Institucija u mreži razina, funkcija i korisnika." title="Slika 13. Institucija u mreži razina, funkcija i korisnika."/>
            <wp:cNvGraphicFramePr>
              <a:graphicFrameLocks noChangeAspect="1"/>
            </wp:cNvGraphicFramePr>
            <a:graphic>
              <a:graphicData uri="http://schemas.openxmlformats.org/drawingml/2006/picture">
                <pic:pic>
                  <pic:nvPicPr>
                    <pic:cNvPr id="0" name="08_institucionalna_mreza.png"/>
                    <pic:cNvPicPr/>
                  </pic:nvPicPr>
                  <pic:blipFill>
                    <a:blip r:embed="rId18"/>
                    <a:stretch>
                      <a:fillRect/>
                    </a:stretch>
                  </pic:blipFill>
                  <pic:spPr>
                    <a:xfrm>
                      <a:off x="0" y="0"/>
                      <a:ext cx="5897880" cy="2646585"/>
                    </a:xfrm>
                    <a:prstGeom prst="rect"/>
                  </pic:spPr>
                </pic:pic>
              </a:graphicData>
            </a:graphic>
          </wp:inline>
        </w:drawing>
      </w:r>
    </w:p>
    <w:p>
      <w:pPr>
        <w:spacing w:before="60" w:after="40"/>
        <w:jc w:val="center"/>
      </w:pPr>
      <w:r>
        <w:rPr>
          <w:rFonts w:ascii="Calibri" w:hAnsi="Calibri"/>
          <w:i/>
          <w:color w:val="1F4D78"/>
          <w:sz w:val="18"/>
        </w:rPr>
        <w:t>Slika 13. Institucija u mreži razina, funkcija i korisnika.</w:t>
      </w:r>
    </w:p>
    <w:p>
      <w:pPr>
        <w:spacing w:before="0" w:after="160"/>
        <w:jc w:val="center"/>
      </w:pPr>
      <w:r>
        <w:rPr>
          <w:rFonts w:ascii="Calibri" w:hAnsi="Calibri"/>
          <w:color w:val="667085"/>
          <w:sz w:val="16"/>
        </w:rPr>
        <w:t>Izvorna ilustracija za ovaj dokument.</w:t>
      </w:r>
    </w:p>
    <w:p>
      <w:pPr>
        <w:pStyle w:val="Heading2"/>
        <w:keepNext/>
      </w:pPr>
      <w:r>
        <w:t>Političko i upravno okruženje</w:t>
      </w:r>
    </w:p>
    <w:p>
      <w:pPr>
        <w:widowControl/>
      </w:pPr>
      <w:r>
        <w:t>Kandidat razlikuje državnu upravu, županiju kao područnu (regionalnu) samoupravu, grad/općinu kao lokalnu samoupravu te javnu ustanovu, turističku zajednicu i razvojnu agenciju prema njihovu pravnom položaju i nadležnosti. Odluka, strategija ili projekt tumače se preko javnog problema, cilja, nositelja, sredstva, mjerila rezultata i vremenskog statusa. Vodič ne vodi kampanju i ne predstavlja vlastito stranačko stajalište kao činjenicu.</w:t>
      </w:r>
    </w:p>
    <w:p>
      <w:pPr>
        <w:spacing w:before="120" w:after="40"/>
        <w:jc w:val="center"/>
      </w:pPr>
      <w:r>
        <w:drawing>
          <wp:inline xmlns:a="http://schemas.openxmlformats.org/drawingml/2006/main" xmlns:pic="http://schemas.openxmlformats.org/drawingml/2006/picture">
            <wp:extent cx="5623560" cy="3053802"/>
            <wp:docPr id="9" name="Picture 9" descr="Slika 14. Granica stručnog tumačenja javne politike." title="Slika 14. Granica stručnog tumačenja javne politike."/>
            <wp:cNvGraphicFramePr>
              <a:graphicFrameLocks noChangeAspect="1"/>
            </wp:cNvGraphicFramePr>
            <a:graphic>
              <a:graphicData uri="http://schemas.openxmlformats.org/drawingml/2006/picture">
                <pic:pic>
                  <pic:nvPicPr>
                    <pic:cNvPr id="0" name="09_javna_politika.png"/>
                    <pic:cNvPicPr/>
                  </pic:nvPicPr>
                  <pic:blipFill>
                    <a:blip r:embed="rId19"/>
                    <a:stretch>
                      <a:fillRect/>
                    </a:stretch>
                  </pic:blipFill>
                  <pic:spPr>
                    <a:xfrm>
                      <a:off x="0" y="0"/>
                      <a:ext cx="5623560" cy="3053802"/>
                    </a:xfrm>
                    <a:prstGeom prst="rect"/>
                  </pic:spPr>
                </pic:pic>
              </a:graphicData>
            </a:graphic>
          </wp:inline>
        </w:drawing>
      </w:r>
    </w:p>
    <w:p>
      <w:pPr>
        <w:spacing w:before="60" w:after="40"/>
        <w:jc w:val="center"/>
      </w:pPr>
      <w:r>
        <w:rPr>
          <w:rFonts w:ascii="Calibri" w:hAnsi="Calibri"/>
          <w:i/>
          <w:color w:val="1F4D78"/>
          <w:sz w:val="18"/>
        </w:rPr>
        <w:t>Slika 14. Granica stručnog tumačenja javne politike.</w:t>
      </w:r>
    </w:p>
    <w:p>
      <w:pPr>
        <w:spacing w:before="0" w:after="160"/>
        <w:jc w:val="center"/>
      </w:pPr>
      <w:r>
        <w:rPr>
          <w:rFonts w:ascii="Calibri" w:hAnsi="Calibri"/>
          <w:color w:val="667085"/>
          <w:sz w:val="16"/>
        </w:rPr>
        <w:t>Izvorna ilustracija za ovaj dokument.</w:t>
      </w:r>
    </w:p>
    <w:p>
      <w:pPr>
        <w:pStyle w:val="Heading2"/>
        <w:keepNext/>
      </w:pPr>
      <w:r>
        <w:t>Obrazovanje i znanost kao vidljiva priča</w:t>
      </w:r>
    </w:p>
    <w:p>
      <w:pPr>
        <w:widowControl/>
      </w:pPr>
      <w:r>
        <w:t>Naziv fakulteta, veleučilišta ili instituta nije dovoljan. Kandidat bira dokaz: istraživanje povezano s poljoprivredom, hranom, vodom, zdravljem, baštinom ili društvom; studentsku praksu; laboratorij; javno predavanje; zbirku; inovaciju ili partnerstvo. Broj studenata, sastavnica i programa brzo se mijenja pa se preuzima samo iz službenog, datiranog izvora.</w:t>
      </w:r>
    </w:p>
    <w:p>
      <w:pPr>
        <w:spacing w:before="120" w:after="40"/>
        <w:jc w:val="center"/>
      </w:pPr>
      <w:r>
        <w:drawing>
          <wp:inline xmlns:a="http://schemas.openxmlformats.org/drawingml/2006/main" xmlns:pic="http://schemas.openxmlformats.org/drawingml/2006/picture">
            <wp:extent cx="5522388" cy="3700000"/>
            <wp:docPr id="406" name="Picture 406" descr="Slika 15. Akademija za umjetnost i kulturu u Osijeku – sastavnica sveučilišta kao vidljiv dio ekosustava znanja." title="Slika 15. Akademija za umjetnost i kulturu u Osijeku – sastavnica sveučilišta kao vidljiv dio ekosustava znanja."/>
            <wp:cNvGraphicFramePr>
              <a:graphicFrameLocks noChangeAspect="1"/>
            </wp:cNvGraphicFramePr>
            <a:graphic>
              <a:graphicData uri="http://schemas.openxmlformats.org/drawingml/2006/picture">
                <pic:pic>
                  <pic:nvPicPr>
                    <pic:cNvPr id="0" name="image18.jpg"/>
                    <pic:cNvPicPr/>
                  </pic:nvPicPr>
                  <pic:blipFill>
                    <a:blip r:embed="rId28"/>
                    <a:stretch>
                      <a:fillRect/>
                    </a:stretch>
                  </pic:blipFill>
                  <pic:spPr>
                    <a:xfrm>
                      <a:off x="0" y="0"/>
                      <a:ext cx="5522388" cy="3700000"/>
                    </a:xfrm>
                    <a:prstGeom prst="rect"/>
                  </pic:spPr>
                </pic:pic>
              </a:graphicData>
            </a:graphic>
          </wp:inline>
        </w:drawing>
      </w:r>
    </w:p>
    <w:p>
      <w:pPr>
        <w:spacing w:before="60" w:after="40"/>
        <w:jc w:val="center"/>
      </w:pPr>
      <w:r>
        <w:rPr>
          <w:rFonts w:ascii="Calibri" w:hAnsi="Calibri"/>
          <w:i/>
          <w:color w:val="1F4D78"/>
          <w:sz w:val="18"/>
        </w:rPr>
        <w:t xml:space="preserve">Slika 15. Akademija za umjetnost i kulturu u Osijeku – sastavnica sveučilišta kao vidljiv dio ekosustava znanja.</w:t>
      </w:r>
    </w:p>
    <w:p>
      <w:pPr>
        <w:spacing w:before="0" w:after="160"/>
        <w:jc w:val="center"/>
      </w:pPr>
      <w:r>
        <w:rPr>
          <w:rFonts w:ascii="Calibri" w:hAnsi="Calibri"/>
          <w:color w:val="667085"/>
          <w:sz w:val="16"/>
        </w:rPr>
        <w:t xml:space="preserve">Foto: Roko Poljak, Wikimedia Commons, CC BY-SA 4.0.</w:t>
      </w:r>
    </w:p>
    <w:p>
      <w:pPr>
        <w:spacing w:before="120" w:after="40"/>
        <w:jc w:val="center"/>
      </w:pPr>
      <w:r>
        <w:drawing>
          <wp:inline xmlns:a="http://schemas.openxmlformats.org/drawingml/2006/main" xmlns:pic="http://schemas.openxmlformats.org/drawingml/2006/picture">
            <wp:extent cx="5806440" cy="2605553"/>
            <wp:docPr id="10" name="Picture 10" descr="Slika 16. Tokovi u ekosustavu znanja i regionalnog razvoja." title="Slika 16. Tokovi u ekosustavu znanja i regionalnog razvoja."/>
            <wp:cNvGraphicFramePr>
              <a:graphicFrameLocks noChangeAspect="1"/>
            </wp:cNvGraphicFramePr>
            <a:graphic>
              <a:graphicData uri="http://schemas.openxmlformats.org/drawingml/2006/picture">
                <pic:pic>
                  <pic:nvPicPr>
                    <pic:cNvPr id="0" name="10_ekosustav_znanja.png"/>
                    <pic:cNvPicPr/>
                  </pic:nvPicPr>
                  <pic:blipFill>
                    <a:blip r:embed="rId20"/>
                    <a:stretch>
                      <a:fillRect/>
                    </a:stretch>
                  </pic:blipFill>
                  <pic:spPr>
                    <a:xfrm>
                      <a:off x="0" y="0"/>
                      <a:ext cx="5806440" cy="2605553"/>
                    </a:xfrm>
                    <a:prstGeom prst="rect"/>
                  </pic:spPr>
                </pic:pic>
              </a:graphicData>
            </a:graphic>
          </wp:inline>
        </w:drawing>
      </w:r>
    </w:p>
    <w:p>
      <w:pPr>
        <w:spacing w:before="60" w:after="40"/>
        <w:jc w:val="center"/>
      </w:pPr>
      <w:r>
        <w:rPr>
          <w:rFonts w:ascii="Calibri" w:hAnsi="Calibri"/>
          <w:i/>
          <w:color w:val="1F4D78"/>
          <w:sz w:val="18"/>
        </w:rPr>
        <w:t>Slika 16. Tokovi u ekosustavu znanja i regionalnog razvoja.</w:t>
      </w:r>
    </w:p>
    <w:p>
      <w:pPr>
        <w:spacing w:before="0" w:after="160"/>
        <w:jc w:val="center"/>
      </w:pPr>
      <w:r>
        <w:rPr>
          <w:rFonts w:ascii="Calibri" w:hAnsi="Calibri"/>
          <w:color w:val="667085"/>
          <w:sz w:val="16"/>
        </w:rPr>
        <w:t>Izvorna ilustracija za ovaj dokument.</w:t>
      </w:r>
    </w:p>
    <w:p>
      <w:pPr>
        <w:pStyle w:val="Heading2"/>
        <w:keepNext/>
      </w:pPr>
      <w:r>
        <w:t>Posjet ustanovi: intervju od sedam pitanja</w:t>
      </w:r>
    </w:p>
    <w:p>
      <w:pPr>
        <w:numPr>
          <w:ilvl w:val="0"/>
          <w:numId w:val="13"/>
        </w:numPr>
      </w:pPr>
      <w:r>
        <w:t>Koja je službena funkcija i pravna osnova ustanove?</w:t>
      </w:r>
    </w:p>
    <w:p>
      <w:pPr>
        <w:numPr>
          <w:ilvl w:val="0"/>
          <w:numId w:val="13"/>
        </w:numPr>
      </w:pPr>
      <w:r>
        <w:t>Koje područje i korisnike pokriva?</w:t>
      </w:r>
    </w:p>
    <w:p>
      <w:pPr>
        <w:numPr>
          <w:ilvl w:val="0"/>
          <w:numId w:val="13"/>
        </w:numPr>
      </w:pPr>
      <w:r>
        <w:t>Koji je jedan dokaz rada koji posjetitelj može razumjeti?</w:t>
      </w:r>
    </w:p>
    <w:p>
      <w:pPr>
        <w:numPr>
          <w:ilvl w:val="0"/>
          <w:numId w:val="13"/>
        </w:numPr>
      </w:pPr>
      <w:r>
        <w:t>Koji su podaci javni i tko ih metodološki tumači?</w:t>
      </w:r>
    </w:p>
    <w:p>
      <w:pPr>
        <w:numPr>
          <w:ilvl w:val="0"/>
          <w:numId w:val="13"/>
        </w:numPr>
      </w:pPr>
      <w:r>
        <w:t>Koja je aktualna promjena ili ograničenje?</w:t>
      </w:r>
    </w:p>
    <w:p>
      <w:pPr>
        <w:numPr>
          <w:ilvl w:val="0"/>
          <w:numId w:val="13"/>
        </w:numPr>
      </w:pPr>
      <w:r>
        <w:t>Kako ustanova želi biti navedena i što se smije snimati?</w:t>
      </w:r>
    </w:p>
    <w:p>
      <w:pPr>
        <w:numPr>
          <w:ilvl w:val="0"/>
          <w:numId w:val="13"/>
        </w:numPr>
      </w:pPr>
      <w:r>
        <w:t>Koju rečenicu vodič treba obvezno ponovno provjeriti prije izvedbe?</w:t>
      </w:r>
    </w:p>
    <w:p>
      <w:pPr>
        <w:pStyle w:val="Heading2"/>
        <w:keepNext/>
      </w:pPr>
      <w:r>
        <w:t>Što od ovoga i kako ide u vođenje</w:t>
      </w:r>
    </w:p>
    <w:p>
      <w:pPr>
        <w:numPr>
          <w:ilvl w:val="0"/>
          <w:numId w:val="10"/>
        </w:numPr>
      </w:pPr>
      <w:r>
        <w:t>Ustanovu uvedite preko problema ili potrebe koju rješava.</w:t>
      </w:r>
    </w:p>
    <w:p>
      <w:pPr>
        <w:numPr>
          <w:ilvl w:val="0"/>
          <w:numId w:val="10"/>
        </w:numPr>
      </w:pPr>
      <w:r>
        <w:t>Pokažite funkciju, korisnika, dokaz rada i prostorni doseg.</w:t>
      </w:r>
    </w:p>
    <w:p>
      <w:pPr>
        <w:numPr>
          <w:ilvl w:val="0"/>
          <w:numId w:val="10"/>
        </w:numPr>
      </w:pPr>
      <w:r>
        <w:t>Razlikujte pravnu nadležnost, suradnju i promotivno partnerstvo.</w:t>
      </w:r>
    </w:p>
    <w:p>
      <w:pPr>
        <w:numPr>
          <w:ilvl w:val="0"/>
          <w:numId w:val="10"/>
        </w:numPr>
      </w:pPr>
      <w:r>
        <w:t>Brojeve i nazive programa datirajte; poveznicu spremite u karticu.</w:t>
      </w:r>
    </w:p>
    <w:p>
      <w:pPr>
        <w:numPr>
          <w:ilvl w:val="0"/>
          <w:numId w:val="10"/>
        </w:numPr>
      </w:pPr>
      <w:r>
        <w:t>Ako je tema politička, ostanite na provjerljivom procesu, učinku i više perspektiva.</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institucionalni profil: puni naziv, pravni status/nadležnost, korisnici, prostorni doseg, jedan dokaz ili predmet, jedan datirani podatak, kontakt/suglasnost, operativna pravila, poruka publici i dva izvora.</w:t>
      </w:r>
    </w:p>
    <w:p>
      <w:r>
        <w:br w:type="page"/>
      </w:r>
    </w:p>
    <w:p>
      <w:r>
        <w:rPr>
          <w:rFonts w:ascii="Calibri" w:hAnsi="Calibri"/>
          <w:b/>
          <w:color w:val="B78727"/>
          <w:sz w:val="48"/>
        </w:rPr>
        <w:t>R4.4</w:t>
      </w:r>
    </w:p>
    <w:p>
      <w:pPr>
        <w:pStyle w:val="Heading1"/>
        <w:spacing w:before="40"/>
      </w:pPr>
      <w:r>
        <w:t>Sport, zabava i manifestacije</w:t>
      </w:r>
    </w:p>
    <w:tbl>
      <w:tblPr>
        <w:tblStyle w:val="TableGrid"/>
        <w:tblW w:type="dxa" w:w="9300"/>
        <w:jc w:val="left"/>
        <w:tblLayout w:type="fixed"/>
        <w:tblLook w:firstColumn="1" w:firstRow="1" w:lastColumn="0" w:lastRow="0" w:noHBand="0" w:noVBand="1" w:val="04A0"/>
        <w:tblInd w:w="120" w:type="dxa"/>
      </w:tblPr>
      <w:tblGrid>
        <w:gridCol w:w="1300"/>
        <w:gridCol w:w="2800"/>
        <w:gridCol w:w="5200"/>
      </w:tblGrid>
      <w:tr>
        <w:trPr>
          <w:tblHeader w:val="true"/>
          <w:cantSplit/>
        </w:trPr>
        <w:tc>
          <w:tcPr>
            <w:tcW w:type="dxa" w:w="1300"/>
            <w:shd w:fill="E8EEF5"/>
            <w:vAlign w:val="center"/>
            <w:tcMar>
              <w:top w:w="80" w:type="dxa"/>
              <w:start w:w="120" w:type="dxa"/>
              <w:bottom w:w="80" w:type="dxa"/>
              <w:end w:w="120" w:type="dxa"/>
            </w:tcMar>
          </w:tcPr>
          <w:p>
            <w:r>
              <w:rPr>
                <w:rFonts w:ascii="Calibri" w:hAnsi="Calibri"/>
                <w:b/>
                <w:color w:val="17324D"/>
                <w:sz w:val="19"/>
              </w:rPr>
              <w:t>Satnica</w:t>
            </w:r>
          </w:p>
        </w:tc>
        <w:tc>
          <w:tcPr>
            <w:tcW w:type="dxa" w:w="2800"/>
            <w:shd w:fill="E8EEF5"/>
            <w:vAlign w:val="center"/>
            <w:tcMar>
              <w:top w:w="80" w:type="dxa"/>
              <w:start w:w="120" w:type="dxa"/>
              <w:bottom w:w="80" w:type="dxa"/>
              <w:end w:w="120" w:type="dxa"/>
            </w:tcMar>
          </w:tcPr>
          <w:p>
            <w:r>
              <w:rPr>
                <w:rFonts w:ascii="Calibri" w:hAnsi="Calibri"/>
                <w:b/>
                <w:color w:val="17324D"/>
                <w:sz w:val="19"/>
              </w:rPr>
              <w:t>Oblik rada</w:t>
            </w:r>
          </w:p>
        </w:tc>
        <w:tc>
          <w:tcPr>
            <w:tcW w:type="dxa" w:w="5200"/>
            <w:shd w:fill="E8EEF5"/>
            <w:vAlign w:val="center"/>
            <w:tcMar>
              <w:top w:w="80" w:type="dxa"/>
              <w:start w:w="120" w:type="dxa"/>
              <w:bottom w:w="80" w:type="dxa"/>
              <w:end w:w="120" w:type="dxa"/>
            </w:tcMar>
          </w:tcPr>
          <w:p>
            <w:r>
              <w:rPr>
                <w:rFonts w:ascii="Calibri" w:hAnsi="Calibri"/>
                <w:b/>
                <w:color w:val="17324D"/>
                <w:sz w:val="19"/>
              </w:rPr>
              <w:t>Ishod cjeline</w:t>
            </w:r>
          </w:p>
        </w:tc>
      </w:tr>
      <w:tr>
        <w:trPr>
          <w:cantSplit/>
        </w:trPr>
        <w:tc>
          <w:tcPr>
            <w:tcW w:type="dxa" w:w="1300"/>
            <w:vAlign w:val="top"/>
            <w:tcMar>
              <w:top w:w="80" w:type="dxa"/>
              <w:start w:w="120" w:type="dxa"/>
              <w:bottom w:w="80" w:type="dxa"/>
              <w:end w:w="120" w:type="dxa"/>
            </w:tcMar>
          </w:tcPr>
          <w:p>
            <w:pPr>
              <w:spacing w:after="40" w:line="259" w:lineRule="auto"/>
            </w:pPr>
            <w:r>
              <w:rPr>
                <w:rFonts w:ascii="Calibri" w:hAnsi="Calibri"/>
                <w:color w:val="222222"/>
                <w:sz w:val="18"/>
              </w:rPr>
              <w:t>2 sata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Predavanje · izrada kalendara · operativna simulacija</w:t>
            </w:r>
          </w:p>
        </w:tc>
        <w:tc>
          <w:tcPr>
            <w:tcW w:type="dxa" w:w="5200"/>
            <w:vAlign w:val="top"/>
            <w:tcMar>
              <w:top w:w="80" w:type="dxa"/>
              <w:start w:w="120" w:type="dxa"/>
              <w:bottom w:w="80" w:type="dxa"/>
              <w:end w:w="120" w:type="dxa"/>
            </w:tcMar>
          </w:tcPr>
          <w:p>
            <w:pPr>
              <w:spacing w:after="40" w:line="259" w:lineRule="auto"/>
            </w:pPr>
            <w:r>
              <w:rPr>
                <w:rFonts w:ascii="Calibri" w:hAnsi="Calibri"/>
                <w:color w:val="222222"/>
                <w:sz w:val="18"/>
              </w:rPr>
              <w:t>Ugraditi sportski ili događajni sadržaj u itinerar uz provjeren program, kapacitet, pristup, sigurnost, lokalni učinak i plan B.</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KLJUČNA PORUKA  </w:t>
      </w:r>
      <w:r>
        <w:rPr>
          <w:rFonts w:ascii="Calibri" w:hAnsi="Calibri"/>
          <w:b/>
          <w:color w:val="17324D"/>
          <w:sz w:val="21"/>
        </w:rPr>
        <w:t>Sport, festival i smotra nisu samo termini u kalendaru. Oni oblikuju identitet, javni prostor, promet, rad, volontiranje, susrete i turističku sliku – te mijenjaju uvjete vođenja.</w:t>
      </w:r>
    </w:p>
    <w:p>
      <w:pPr>
        <w:pStyle w:val="Heading2"/>
        <w:keepNext/>
      </w:pPr>
      <w:r>
        <w:t>Sport kao društvena institucija</w:t>
      </w:r>
    </w:p>
    <w:p>
      <w:pPr>
        <w:widowControl/>
      </w:pPr>
      <w:r>
        <w:t>Sportska se tradicija tumači preko kluba, sportaša, navijača, škole, objekta, dostupnosti, financiranja i gradskog sjećanja. Rekord ili osvajanje navodi se uz službeni savez/klub i datum. Vodič ne pretpostavlja da svi stanovnici dijele isti identitet, ne romantizira nasilje i ne ulazi u prostor natjecanja bez provjerenog režima.</w:t>
      </w:r>
    </w:p>
    <w:p>
      <w:pPr>
        <w:spacing w:before="120" w:after="40"/>
        <w:jc w:val="center"/>
      </w:pPr>
      <w:r>
        <w:drawing>
          <wp:inline xmlns:a="http://schemas.openxmlformats.org/drawingml/2006/main" xmlns:pic="http://schemas.openxmlformats.org/drawingml/2006/picture">
            <wp:extent cx="4933333" cy="3700000"/>
            <wp:docPr id="407" name="Picture 407" descr="Slika 17. Stadion Gradski vrt u Osijeku tijekom utakmice – sportski objekt, publika i grad u istome kadru." title="Slika 17. Stadion Gradski vrt u Osijeku tijekom utakmice – sportski objekt, publika i grad u istome kadru."/>
            <wp:cNvGraphicFramePr>
              <a:graphicFrameLocks noChangeAspect="1"/>
            </wp:cNvGraphicFramePr>
            <a:graphic>
              <a:graphicData uri="http://schemas.openxmlformats.org/drawingml/2006/picture">
                <pic:pic>
                  <pic:nvPicPr>
                    <pic:cNvPr id="0" name="image19.jpg"/>
                    <pic:cNvPicPr/>
                  </pic:nvPicPr>
                  <pic:blipFill>
                    <a:blip r:embed="rId29"/>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17. Stadion Gradski vrt u Osijeku tijekom utakmice – sportski objekt, publika i grad u istome kadru.</w:t>
      </w:r>
    </w:p>
    <w:p>
      <w:pPr>
        <w:spacing w:before="0" w:after="160"/>
        <w:jc w:val="center"/>
      </w:pPr>
      <w:r>
        <w:rPr>
          <w:rFonts w:ascii="Calibri" w:hAnsi="Calibri"/>
          <w:color w:val="667085"/>
          <w:sz w:val="16"/>
        </w:rPr>
        <w:t xml:space="preserve">Foto: IvanOS, Wikimedia Commons, CC BY-SA 3.0.</w:t>
      </w:r>
    </w:p>
    <w:tbl>
      <w:tblPr>
        <w:tblStyle w:val="TableGrid"/>
        <w:tblW w:type="dxa" w:w="9200"/>
        <w:jc w:val="left"/>
        <w:tblLayout w:type="fixed"/>
        <w:tblLook w:firstColumn="1" w:firstRow="1" w:lastColumn="0" w:lastRow="0" w:noHBand="0" w:noVBand="1" w:val="04A0"/>
        <w:tblInd w:w="120" w:type="dxa"/>
      </w:tblPr>
      <w:tblGrid>
        <w:gridCol w:w="1850"/>
        <w:gridCol w:w="3900"/>
        <w:gridCol w:w="3450"/>
      </w:tblGrid>
      <w:tr>
        <w:trPr>
          <w:tblHeader w:val="true"/>
          <w:cantSplit/>
        </w:trPr>
        <w:tc>
          <w:tcPr>
            <w:tcW w:type="dxa" w:w="1850"/>
            <w:shd w:fill="E8EEF5"/>
            <w:vAlign w:val="center"/>
            <w:tcMar>
              <w:top w:w="80" w:type="dxa"/>
              <w:start w:w="120" w:type="dxa"/>
              <w:bottom w:w="80" w:type="dxa"/>
              <w:end w:w="120" w:type="dxa"/>
            </w:tcMar>
          </w:tcPr>
          <w:p>
            <w:r>
              <w:rPr>
                <w:rFonts w:ascii="Calibri" w:hAnsi="Calibri"/>
                <w:b/>
                <w:color w:val="17324D"/>
                <w:sz w:val="19"/>
              </w:rPr>
              <w:t>Element</w:t>
            </w:r>
          </w:p>
        </w:tc>
        <w:tc>
          <w:tcPr>
            <w:tcW w:type="dxa" w:w="3900"/>
            <w:shd w:fill="E8EEF5"/>
            <w:vAlign w:val="center"/>
            <w:tcMar>
              <w:top w:w="80" w:type="dxa"/>
              <w:start w:w="120" w:type="dxa"/>
              <w:bottom w:w="80" w:type="dxa"/>
              <w:end w:w="120" w:type="dxa"/>
            </w:tcMar>
          </w:tcPr>
          <w:p>
            <w:r>
              <w:rPr>
                <w:rFonts w:ascii="Calibri" w:hAnsi="Calibri"/>
                <w:b/>
                <w:color w:val="17324D"/>
                <w:sz w:val="19"/>
              </w:rPr>
              <w:t>Pitanje vodiča</w:t>
            </w:r>
          </w:p>
        </w:tc>
        <w:tc>
          <w:tcPr>
            <w:tcW w:type="dxa" w:w="3450"/>
            <w:shd w:fill="E8EEF5"/>
            <w:vAlign w:val="center"/>
            <w:tcMar>
              <w:top w:w="80" w:type="dxa"/>
              <w:start w:w="120" w:type="dxa"/>
              <w:bottom w:w="80" w:type="dxa"/>
              <w:end w:w="120" w:type="dxa"/>
            </w:tcMar>
          </w:tcPr>
          <w:p>
            <w:r>
              <w:rPr>
                <w:rFonts w:ascii="Calibri" w:hAnsi="Calibri"/>
                <w:b/>
                <w:color w:val="17324D"/>
                <w:sz w:val="19"/>
              </w:rPr>
              <w:t>Operativna provjera</w:t>
            </w:r>
          </w:p>
        </w:tc>
      </w:tr>
      <w:tr>
        <w:trPr>
          <w:cantSplit/>
        </w:trPr>
        <w:tc>
          <w:tcPr>
            <w:tcW w:type="dxa" w:w="1850"/>
            <w:vAlign w:val="top"/>
            <w:tcMar>
              <w:top w:w="80" w:type="dxa"/>
              <w:start w:w="120" w:type="dxa"/>
              <w:bottom w:w="80" w:type="dxa"/>
              <w:end w:w="120" w:type="dxa"/>
            </w:tcMar>
          </w:tcPr>
          <w:p>
            <w:pPr>
              <w:spacing w:after="40" w:line="259" w:lineRule="auto"/>
            </w:pPr>
            <w:r>
              <w:rPr>
                <w:rFonts w:ascii="Calibri" w:hAnsi="Calibri"/>
                <w:color w:val="222222"/>
                <w:sz w:val="18"/>
              </w:rPr>
              <w:t>Sportski objekt</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Kako je prostor povezan s razvojem sporta i grada?</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termin, ulaz, događaj, kretanje, pristupačnost</w:t>
            </w:r>
          </w:p>
        </w:tc>
      </w:tr>
      <w:tr>
        <w:trPr>
          <w:cantSplit/>
        </w:trPr>
        <w:tc>
          <w:tcPr>
            <w:tcW w:type="dxa" w:w="1850"/>
            <w:vAlign w:val="top"/>
            <w:tcMar>
              <w:top w:w="80" w:type="dxa"/>
              <w:start w:w="120" w:type="dxa"/>
              <w:bottom w:w="80" w:type="dxa"/>
              <w:end w:w="120" w:type="dxa"/>
            </w:tcMar>
          </w:tcPr>
          <w:p>
            <w:pPr>
              <w:spacing w:after="40" w:line="259" w:lineRule="auto"/>
            </w:pPr>
            <w:r>
              <w:rPr>
                <w:rFonts w:ascii="Calibri" w:hAnsi="Calibri"/>
                <w:color w:val="222222"/>
                <w:sz w:val="18"/>
              </w:rPr>
              <w:t>Klub / sportaš</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Koji je dokumentirani doprinos i za koje razdoblje?</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službena povijest, prava na fotografije i znak</w:t>
            </w:r>
          </w:p>
        </w:tc>
      </w:tr>
      <w:tr>
        <w:trPr>
          <w:cantSplit/>
        </w:trPr>
        <w:tc>
          <w:tcPr>
            <w:tcW w:type="dxa" w:w="1850"/>
            <w:vAlign w:val="top"/>
            <w:tcMar>
              <w:top w:w="80" w:type="dxa"/>
              <w:start w:w="120" w:type="dxa"/>
              <w:bottom w:w="80" w:type="dxa"/>
              <w:end w:w="120" w:type="dxa"/>
            </w:tcMar>
          </w:tcPr>
          <w:p>
            <w:pPr>
              <w:spacing w:after="40" w:line="259" w:lineRule="auto"/>
            </w:pPr>
            <w:r>
              <w:rPr>
                <w:rFonts w:ascii="Calibri" w:hAnsi="Calibri"/>
                <w:color w:val="222222"/>
                <w:sz w:val="18"/>
              </w:rPr>
              <w:t>Publika / navijanje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Kako zajednica sudjeluje i kako se razlikuju glasovi?</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sigurnosni režim, osjetljive skupine, neutralan ton</w:t>
            </w:r>
          </w:p>
        </w:tc>
      </w:tr>
      <w:tr>
        <w:trPr>
          <w:cantSplit/>
        </w:trPr>
        <w:tc>
          <w:tcPr>
            <w:tcW w:type="dxa" w:w="1850"/>
            <w:vAlign w:val="top"/>
            <w:tcMar>
              <w:top w:w="80" w:type="dxa"/>
              <w:start w:w="120" w:type="dxa"/>
              <w:bottom w:w="80" w:type="dxa"/>
              <w:end w:w="120" w:type="dxa"/>
            </w:tcMar>
          </w:tcPr>
          <w:p>
            <w:pPr>
              <w:spacing w:after="40" w:line="259" w:lineRule="auto"/>
            </w:pPr>
            <w:r>
              <w:rPr>
                <w:rFonts w:ascii="Calibri" w:hAnsi="Calibri"/>
                <w:color w:val="222222"/>
                <w:sz w:val="18"/>
              </w:rPr>
              <w:t>Rekreacija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Tko može koristiti infrastrukturu i pod kojim uvjetima?</w:t>
            </w:r>
          </w:p>
        </w:tc>
        <w:tc>
          <w:tcPr>
            <w:tcW w:type="dxa" w:w="3450"/>
            <w:vAlign w:val="top"/>
            <w:tcMar>
              <w:top w:w="80" w:type="dxa"/>
              <w:start w:w="120" w:type="dxa"/>
              <w:bottom w:w="80" w:type="dxa"/>
              <w:end w:w="120" w:type="dxa"/>
            </w:tcMar>
          </w:tcPr>
          <w:p>
            <w:pPr>
              <w:spacing w:after="40" w:line="259" w:lineRule="auto"/>
            </w:pPr>
            <w:r>
              <w:rPr>
                <w:rFonts w:ascii="Calibri" w:hAnsi="Calibri"/>
                <w:color w:val="222222"/>
                <w:sz w:val="18"/>
              </w:rPr>
              <w:t>podloga, vrijeme, oprema, zdravstvene granice</w:t>
            </w:r>
          </w:p>
        </w:tc>
      </w:tr>
    </w:tbl>
    <w:p>
      <w:pPr>
        <w:spacing w:after="20"/>
      </w:pPr>
    </w:p>
    <w:p>
      <w:pPr>
        <w:pStyle w:val="Heading2"/>
        <w:keepNext/>
      </w:pPr>
      <w:r>
        <w:t>Manifestacija kao privremeni grad</w:t>
      </w:r>
    </w:p>
    <w:p>
      <w:pPr>
        <w:widowControl/>
      </w:pPr>
      <w:r>
        <w:t>Festival ili smotra privremeno mijenja tokove ljudi, zvuka, prometa, otpada, cijena i uporabe javnog prostora. Godišnji kalendar zato nije statičan sadržaj udžbenika nego operativna baza koja bilježi izvor objave, datum provjere, status programa, ciljne publike, kapacitet, pristup, kontakt organizatora, ograničenja i plan B. Tradicijska manifestacija ne smije se predstaviti kao cijela živa baština; tu granicu R4 preuzima iz R3.</w:t>
      </w:r>
    </w:p>
    <w:p>
      <w:pPr>
        <w:spacing w:before="120" w:after="40"/>
        <w:jc w:val="center"/>
      </w:pPr>
      <w:r>
        <w:drawing>
          <wp:inline xmlns:a="http://schemas.openxmlformats.org/drawingml/2006/main" xmlns:pic="http://schemas.openxmlformats.org/drawingml/2006/picture">
            <wp:extent cx="4933333" cy="3700000"/>
            <wp:docPr id="408" name="Picture 408" descr="Slika 18. Vinkovačke jeseni – manifestacija privremeno mijenja tokove ljudi, prometa i uporabe javnog prostora." title="Slika 18. Vinkovačke jeseni – manifestacija privremeno mijenja tokove ljudi, prometa i uporabe javnog prostora."/>
            <wp:cNvGraphicFramePr>
              <a:graphicFrameLocks noChangeAspect="1"/>
            </wp:cNvGraphicFramePr>
            <a:graphic>
              <a:graphicData uri="http://schemas.openxmlformats.org/drawingml/2006/picture">
                <pic:pic>
                  <pic:nvPicPr>
                    <pic:cNvPr id="0" name="image20.jpg"/>
                    <pic:cNvPicPr/>
                  </pic:nvPicPr>
                  <pic:blipFill>
                    <a:blip r:embed="rId30"/>
                    <a:stretch>
                      <a:fillRect/>
                    </a:stretch>
                  </pic:blipFill>
                  <pic:spPr>
                    <a:xfrm>
                      <a:off x="0" y="0"/>
                      <a:ext cx="4933333" cy="3700000"/>
                    </a:xfrm>
                    <a:prstGeom prst="rect"/>
                  </pic:spPr>
                </pic:pic>
              </a:graphicData>
            </a:graphic>
          </wp:inline>
        </w:drawing>
      </w:r>
    </w:p>
    <w:p>
      <w:pPr>
        <w:spacing w:before="60" w:after="40"/>
        <w:jc w:val="center"/>
      </w:pPr>
      <w:r>
        <w:rPr>
          <w:rFonts w:ascii="Calibri" w:hAnsi="Calibri"/>
          <w:i/>
          <w:color w:val="1F4D78"/>
          <w:sz w:val="18"/>
        </w:rPr>
        <w:t xml:space="preserve">Slika 18. Vinkovačke jeseni – manifestacija privremeno mijenja tokove ljudi, prometa i uporabe javnog prostora.</w:t>
      </w:r>
    </w:p>
    <w:p>
      <w:pPr>
        <w:spacing w:before="0" w:after="160"/>
        <w:jc w:val="center"/>
      </w:pPr>
      <w:r>
        <w:rPr>
          <w:rFonts w:ascii="Calibri" w:hAnsi="Calibri"/>
          <w:color w:val="667085"/>
          <w:sz w:val="16"/>
        </w:rPr>
        <w:t xml:space="preserve">Foto: IvanOS, Wikimedia Commons, CC BY-SA 3.0 HR.</w:t>
      </w:r>
    </w:p>
    <w:p>
      <w:pPr>
        <w:spacing w:before="120" w:after="40"/>
        <w:jc w:val="center"/>
      </w:pPr>
      <w:r>
        <w:drawing>
          <wp:inline xmlns:a="http://schemas.openxmlformats.org/drawingml/2006/main" xmlns:pic="http://schemas.openxmlformats.org/drawingml/2006/picture">
            <wp:extent cx="5852160" cy="2626069"/>
            <wp:docPr id="11" name="Picture 11" descr="Slika 19. Od službene objave događaja do izvedivog itinerara." title="Slika 19. Od službene objave događaja do izvedivog itinerara."/>
            <wp:cNvGraphicFramePr>
              <a:graphicFrameLocks noChangeAspect="1"/>
            </wp:cNvGraphicFramePr>
            <a:graphic>
              <a:graphicData uri="http://schemas.openxmlformats.org/drawingml/2006/picture">
                <pic:pic>
                  <pic:nvPicPr>
                    <pic:cNvPr id="0" name="11_dogadjaj_i_itinerar.png"/>
                    <pic:cNvPicPr/>
                  </pic:nvPicPr>
                  <pic:blipFill>
                    <a:blip r:embed="rId21"/>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19. Od službene objave događaja do izvedivog itinerara.</w:t>
      </w:r>
    </w:p>
    <w:p>
      <w:pPr>
        <w:spacing w:before="0" w:after="160"/>
        <w:jc w:val="center"/>
      </w:pPr>
      <w:r>
        <w:rPr>
          <w:rFonts w:ascii="Calibri" w:hAnsi="Calibri"/>
          <w:color w:val="667085"/>
          <w:sz w:val="16"/>
        </w:rPr>
        <w:t>Izvorna ilustracija za ovaj dokument.</w:t>
      </w:r>
    </w:p>
    <w:p>
      <w:pPr>
        <w:pStyle w:val="Heading2"/>
        <w:keepNext/>
      </w:pPr>
      <w:r>
        <w:t>Radni kalendar događanja</w:t>
      </w:r>
    </w:p>
    <w:tbl>
      <w:tblPr>
        <w:tblStyle w:val="TableGrid"/>
        <w:tblW w:type="dxa" w:w="9200"/>
        <w:jc w:val="left"/>
        <w:tblLayout w:type="fixed"/>
        <w:tblLook w:firstColumn="1" w:firstRow="1" w:lastColumn="0" w:lastRow="0" w:noHBand="0" w:noVBand="1" w:val="04A0"/>
        <w:tblInd w:w="120" w:type="dxa"/>
      </w:tblPr>
      <w:tblGrid>
        <w:gridCol w:w="1600"/>
        <w:gridCol w:w="4300"/>
        <w:gridCol w:w="3300"/>
      </w:tblGrid>
      <w:tr>
        <w:trPr>
          <w:tblHeader w:val="true"/>
          <w:cantSplit/>
        </w:trPr>
        <w:tc>
          <w:tcPr>
            <w:tcW w:type="dxa" w:w="1600"/>
            <w:shd w:fill="E8EEF5"/>
            <w:vAlign w:val="center"/>
            <w:tcMar>
              <w:top w:w="80" w:type="dxa"/>
              <w:start w:w="120" w:type="dxa"/>
              <w:bottom w:w="80" w:type="dxa"/>
              <w:end w:w="120" w:type="dxa"/>
            </w:tcMar>
          </w:tcPr>
          <w:p>
            <w:r>
              <w:rPr>
                <w:rFonts w:ascii="Calibri" w:hAnsi="Calibri"/>
                <w:b/>
                <w:color w:val="17324D"/>
                <w:sz w:val="19"/>
              </w:rPr>
              <w:t>Polje</w:t>
            </w:r>
          </w:p>
        </w:tc>
        <w:tc>
          <w:tcPr>
            <w:tcW w:type="dxa" w:w="4300"/>
            <w:shd w:fill="E8EEF5"/>
            <w:vAlign w:val="center"/>
            <w:tcMar>
              <w:top w:w="80" w:type="dxa"/>
              <w:start w:w="120" w:type="dxa"/>
              <w:bottom w:w="80" w:type="dxa"/>
              <w:end w:w="120" w:type="dxa"/>
            </w:tcMar>
          </w:tcPr>
          <w:p>
            <w:r>
              <w:rPr>
                <w:rFonts w:ascii="Calibri" w:hAnsi="Calibri"/>
                <w:b/>
                <w:color w:val="17324D"/>
                <w:sz w:val="19"/>
              </w:rPr>
              <w:t>Obvezni unos</w:t>
            </w:r>
          </w:p>
        </w:tc>
        <w:tc>
          <w:tcPr>
            <w:tcW w:type="dxa" w:w="3300"/>
            <w:shd w:fill="E8EEF5"/>
            <w:vAlign w:val="center"/>
            <w:tcMar>
              <w:top w:w="80" w:type="dxa"/>
              <w:start w:w="120" w:type="dxa"/>
              <w:bottom w:w="80" w:type="dxa"/>
              <w:end w:w="120" w:type="dxa"/>
            </w:tcMar>
          </w:tcPr>
          <w:p>
            <w:r>
              <w:rPr>
                <w:rFonts w:ascii="Calibri" w:hAnsi="Calibri"/>
                <w:b/>
                <w:color w:val="17324D"/>
                <w:sz w:val="19"/>
              </w:rPr>
              <w:t>Razlog</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Identitet</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službeni naziv, organizator, mjesto, vrsta događaja</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sprječava zamjenu i promotivnu parafrazu</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Vrijeme</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datum/sat, trajanje, rok prijave, datum provjere</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program se mijenja ili otkazuje</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Publika</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dob, interes, jezik, kapacitet, cijena/ulaznice</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uskladiti skupinu i očekivanja</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Prostor</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ulaz/izlaz, okupljanje, sanitarije, buka, hlad, pristupačnost</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stvarna izvedivost i dostojanstvo</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Promet i sigurnost</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zatvaranja, parking, javni prijevoz, gužva, hitni kontakt</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zaštita skupine i lokalne zajednice</w:t>
            </w:r>
          </w:p>
        </w:tc>
      </w:tr>
      <w:tr>
        <w:trPr>
          <w:cantSplit/>
        </w:trPr>
        <w:tc>
          <w:tcPr>
            <w:tcW w:type="dxa" w:w="1600"/>
            <w:vAlign w:val="top"/>
            <w:tcMar>
              <w:top w:w="80" w:type="dxa"/>
              <w:start w:w="120" w:type="dxa"/>
              <w:bottom w:w="80" w:type="dxa"/>
              <w:end w:w="120" w:type="dxa"/>
            </w:tcMar>
          </w:tcPr>
          <w:p>
            <w:pPr>
              <w:spacing w:after="40" w:line="259" w:lineRule="auto"/>
            </w:pPr>
            <w:r>
              <w:rPr>
                <w:rFonts w:ascii="Calibri" w:hAnsi="Calibri"/>
                <w:color w:val="222222"/>
                <w:sz w:val="18"/>
              </w:rPr>
              <w:t>Plan B</w:t>
            </w:r>
          </w:p>
        </w:tc>
        <w:tc>
          <w:tcPr>
            <w:tcW w:type="dxa" w:w="4300"/>
            <w:vAlign w:val="top"/>
            <w:tcMar>
              <w:top w:w="80" w:type="dxa"/>
              <w:start w:w="120" w:type="dxa"/>
              <w:bottom w:w="80" w:type="dxa"/>
              <w:end w:w="120" w:type="dxa"/>
            </w:tcMar>
          </w:tcPr>
          <w:p>
            <w:pPr>
              <w:spacing w:after="40" w:line="259" w:lineRule="auto"/>
            </w:pPr>
            <w:r>
              <w:rPr>
                <w:rFonts w:ascii="Calibri" w:hAnsi="Calibri"/>
                <w:color w:val="222222"/>
                <w:sz w:val="18"/>
              </w:rPr>
              <w:t>alternativna ruta/sadržaj i kanal potvrde</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otkazivanje, vrijeme, prekapacitiranost</w:t>
            </w:r>
          </w:p>
        </w:tc>
      </w:tr>
    </w:tbl>
    <w:p>
      <w:pPr>
        <w:spacing w:after="20"/>
      </w:pPr>
    </w:p>
    <w:p>
      <w:pPr>
        <w:pStyle w:val="Heading2"/>
        <w:keepNext/>
      </w:pPr>
      <w:r>
        <w:t>Mikroizvedba od 90 sekundi</w:t>
      </w:r>
    </w:p>
    <w:p>
      <w:pPr>
        <w:widowControl/>
      </w:pPr>
      <w:r>
        <w:t>Kandidat bira jedan sportski objekt, društvenu ustanovu, trg tijekom manifestacije ili vidljivi trag rada. Iz opažaja prelazi na jedan datirani dokaz, uključuje atribuirani glas, iznosi jednu jasnu interpretaciju i završava pitanjem. Kartica iza izvedbe čuva izvor i rok ponovne provjere; publika ne mora slušati bibliografiju, ali vodič je mora imati.</w:t>
      </w:r>
    </w:p>
    <w:p>
      <w:pPr>
        <w:spacing w:before="120" w:after="40"/>
        <w:jc w:val="center"/>
      </w:pPr>
      <w:r>
        <w:drawing>
          <wp:inline xmlns:a="http://schemas.openxmlformats.org/drawingml/2006/main" xmlns:pic="http://schemas.openxmlformats.org/drawingml/2006/picture">
            <wp:extent cx="5852160" cy="2626069"/>
            <wp:docPr id="12" name="Picture 12" descr="Slika 20. Struktura kratke društvene interpretacijske postaje." title="Slika 20. Struktura kratke društvene interpretacijske postaje."/>
            <wp:cNvGraphicFramePr>
              <a:graphicFrameLocks noChangeAspect="1"/>
            </wp:cNvGraphicFramePr>
            <a:graphic>
              <a:graphicData uri="http://schemas.openxmlformats.org/drawingml/2006/picture">
                <pic:pic>
                  <pic:nvPicPr>
                    <pic:cNvPr id="0" name="12_postaja_90_sekundi.png"/>
                    <pic:cNvPicPr/>
                  </pic:nvPicPr>
                  <pic:blipFill>
                    <a:blip r:embed="rId22"/>
                    <a:stretch>
                      <a:fillRect/>
                    </a:stretch>
                  </pic:blipFill>
                  <pic:spPr>
                    <a:xfrm>
                      <a:off x="0" y="0"/>
                      <a:ext cx="5852160" cy="2626069"/>
                    </a:xfrm>
                    <a:prstGeom prst="rect"/>
                  </pic:spPr>
                </pic:pic>
              </a:graphicData>
            </a:graphic>
          </wp:inline>
        </w:drawing>
      </w:r>
    </w:p>
    <w:p>
      <w:pPr>
        <w:spacing w:before="60" w:after="40"/>
        <w:jc w:val="center"/>
      </w:pPr>
      <w:r>
        <w:rPr>
          <w:rFonts w:ascii="Calibri" w:hAnsi="Calibri"/>
          <w:i/>
          <w:color w:val="1F4D78"/>
          <w:sz w:val="18"/>
        </w:rPr>
        <w:t>Slika 20. Struktura kratke društvene interpretacijske postaje.</w:t>
      </w:r>
    </w:p>
    <w:p>
      <w:pPr>
        <w:spacing w:before="0" w:after="160"/>
        <w:jc w:val="center"/>
      </w:pPr>
      <w:r>
        <w:rPr>
          <w:rFonts w:ascii="Calibri" w:hAnsi="Calibri"/>
          <w:color w:val="667085"/>
          <w:sz w:val="16"/>
        </w:rPr>
        <w:t>Izvorna ilustracija za ovaj dokument.</w:t>
      </w:r>
    </w:p>
    <w:p>
      <w:pPr>
        <w:pStyle w:val="Heading2"/>
        <w:keepNext/>
      </w:pPr>
      <w:r>
        <w:t>Što od ovoga i kako ide u vođenje</w:t>
      </w:r>
    </w:p>
    <w:p>
      <w:pPr>
        <w:numPr>
          <w:ilvl w:val="0"/>
          <w:numId w:val="10"/>
        </w:numPr>
      </w:pPr>
      <w:r>
        <w:t>Događaj koristite samo ako službeni program i kapacitet odgovaraju skupini.</w:t>
      </w:r>
    </w:p>
    <w:p>
      <w:pPr>
        <w:numPr>
          <w:ilvl w:val="0"/>
          <w:numId w:val="10"/>
        </w:numPr>
      </w:pPr>
      <w:r>
        <w:t>Objasnite društvenu funkciju, a ne samo povijest naziva ili popis pobjednika.</w:t>
      </w:r>
    </w:p>
    <w:p>
      <w:pPr>
        <w:numPr>
          <w:ilvl w:val="0"/>
          <w:numId w:val="10"/>
        </w:numPr>
      </w:pPr>
      <w:r>
        <w:t>Planirajte gužvu, buku, zatvaranja, dostupnost i jednako vrijedan plan B.</w:t>
      </w:r>
    </w:p>
    <w:p>
      <w:pPr>
        <w:numPr>
          <w:ilvl w:val="0"/>
          <w:numId w:val="10"/>
        </w:numPr>
      </w:pPr>
      <w:r>
        <w:t>Uključite lokalni učinak i iskustvo stanovnika, ne samo doživljaj gosta.</w:t>
      </w:r>
    </w:p>
    <w:p>
      <w:pPr>
        <w:numPr>
          <w:ilvl w:val="0"/>
          <w:numId w:val="10"/>
        </w:numPr>
      </w:pPr>
      <w:r>
        <w:t>Na dan izvedbe ponovno potvrdite program, ulaz i sigurnosni režim.</w:t>
      </w:r>
    </w:p>
    <w:p>
      <w:pPr>
        <w:spacing w:before="120" w:after="160" w:line="283" w:lineRule="auto"/>
        <w:ind w:left="202" w:right="115"/>
        <w:shd w:fill="EDF5F1"/>
        <w:pBdr>
          <w:left w:val="single" w:sz="18" w:space="8" w:color="3E7C68"/>
        </w:pBdr>
      </w:pPr>
      <w:r>
        <w:rPr>
          <w:rFonts w:ascii="Calibri" w:hAnsi="Calibri"/>
          <w:b/>
          <w:color w:val="3E7C68"/>
          <w:sz w:val="19"/>
        </w:rPr>
        <w:t xml:space="preserve">PORTFELJ  </w:t>
      </w:r>
      <w:r>
        <w:rPr>
          <w:rFonts w:ascii="Calibri" w:hAnsi="Calibri"/>
          <w:b/>
          <w:color w:val="17324D"/>
          <w:sz w:val="21"/>
        </w:rPr>
        <w:t>Izradite kalendar za jedan mjesec i itinerar za jednu ciljnu skupinu: najmanje tri događaja/sportska sadržaja, izvor i datum provjere, kapacitet, promet, pristupačnost, lokalni učinak, kontakt, plan B i odluka što se ne uključuje.</w:t>
      </w:r>
    </w:p>
    <w:p>
      <w:r>
        <w:br w:type="page"/>
      </w:r>
    </w:p>
    <w:p>
      <w:pPr>
        <w:pStyle w:val="Heading1"/>
        <w:keepNext/>
      </w:pPr>
      <w:r>
        <w:t>Sažetak R4: što kandidat mora moći</w:t>
      </w:r>
    </w:p>
    <w:tbl>
      <w:tblPr>
        <w:tblStyle w:val="TableGrid"/>
        <w:tblW w:type="dxa" w:w="9200"/>
        <w:jc w:val="left"/>
        <w:tblLayout w:type="fixed"/>
        <w:tblLook w:firstColumn="1" w:firstRow="1" w:lastColumn="0" w:lastRow="0" w:noHBand="0" w:noVBand="1" w:val="04A0"/>
        <w:tblInd w:w="120" w:type="dxa"/>
      </w:tblPr>
      <w:tblGrid>
        <w:gridCol w:w="2400"/>
        <w:gridCol w:w="6800"/>
      </w:tblGrid>
      <w:tr>
        <w:trPr>
          <w:tblHeader w:val="true"/>
          <w:cantSplit/>
        </w:trPr>
        <w:tc>
          <w:tcPr>
            <w:tcW w:type="dxa" w:w="2400"/>
            <w:shd w:fill="E8EEF5"/>
            <w:vAlign w:val="center"/>
            <w:tcMar>
              <w:top w:w="80" w:type="dxa"/>
              <w:start w:w="120" w:type="dxa"/>
              <w:bottom w:w="80" w:type="dxa"/>
              <w:end w:w="120" w:type="dxa"/>
            </w:tcMar>
          </w:tcPr>
          <w:p>
            <w:r>
              <w:rPr>
                <w:rFonts w:ascii="Calibri" w:hAnsi="Calibri"/>
                <w:b/>
                <w:color w:val="17324D"/>
                <w:sz w:val="19"/>
              </w:rPr>
              <w:t>Područje</w:t>
            </w:r>
          </w:p>
        </w:tc>
        <w:tc>
          <w:tcPr>
            <w:tcW w:type="dxa" w:w="6800"/>
            <w:shd w:fill="E8EEF5"/>
            <w:vAlign w:val="center"/>
            <w:tcMar>
              <w:top w:w="80" w:type="dxa"/>
              <w:start w:w="120" w:type="dxa"/>
              <w:bottom w:w="80" w:type="dxa"/>
              <w:end w:w="120" w:type="dxa"/>
            </w:tcMar>
          </w:tcPr>
          <w:p>
            <w:r>
              <w:rPr>
                <w:rFonts w:ascii="Calibri" w:hAnsi="Calibri"/>
                <w:b/>
                <w:color w:val="17324D"/>
                <w:sz w:val="19"/>
              </w:rPr>
              <w:t>Minimalni dokaz ishoda</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Gospodarstvo</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Povezuje lanac vrijednosti, vidljivi trag i datirani pokazatelj; ne tvrdi uzrok bez dokaza.</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Demografija</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Razlikuje popis, procjenu i tok; navodi prostor/vrijeme i izbjegava stereotip.</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Društvene promjene</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Obnovu, povratak, manjine i reintegraciju tumači multiperspektivno i u granicama R4.</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Upravljanje i politika</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Razlikuje razine i nadležnosti; javnu politiku ne pretvara u stranački govor.</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Obrazovanje i znanost</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Ustanovu objašnjava preko funkcije, korisnika, dokaza rada i regionalne veze.</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Sport i događanja</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Kalendar pretvara u izvediv itinerar s kapacitetom, pristupom, sigurnošću i planom B.</w:t>
            </w:r>
          </w:p>
        </w:tc>
      </w:tr>
      <w:tr>
        <w:trPr>
          <w:cantSplit/>
        </w:trPr>
        <w:tc>
          <w:tcPr>
            <w:tcW w:type="dxa" w:w="2400"/>
            <w:vAlign w:val="top"/>
            <w:tcMar>
              <w:top w:w="80" w:type="dxa"/>
              <w:start w:w="120" w:type="dxa"/>
              <w:bottom w:w="80" w:type="dxa"/>
              <w:end w:w="120" w:type="dxa"/>
            </w:tcMar>
          </w:tcPr>
          <w:p>
            <w:pPr>
              <w:spacing w:after="40" w:line="259" w:lineRule="auto"/>
            </w:pPr>
            <w:r>
              <w:rPr>
                <w:rFonts w:ascii="Calibri" w:hAnsi="Calibri"/>
                <w:color w:val="222222"/>
                <w:sz w:val="18"/>
              </w:rPr>
              <w:t>Vođenje</w:t>
            </w:r>
          </w:p>
        </w:tc>
        <w:tc>
          <w:tcPr>
            <w:tcW w:type="dxa" w:w="6800"/>
            <w:vAlign w:val="top"/>
            <w:tcMar>
              <w:top w:w="80" w:type="dxa"/>
              <w:start w:w="120" w:type="dxa"/>
              <w:bottom w:w="80" w:type="dxa"/>
              <w:end w:w="120" w:type="dxa"/>
            </w:tcMar>
          </w:tcPr>
          <w:p>
            <w:pPr>
              <w:spacing w:after="40" w:line="259" w:lineRule="auto"/>
            </w:pPr>
            <w:r>
              <w:rPr>
                <w:rFonts w:ascii="Calibri" w:hAnsi="Calibri"/>
                <w:color w:val="222222"/>
                <w:sz w:val="18"/>
              </w:rPr>
              <w:t>U 90 sekundi spaja opažaj, dokaz, glas, interpretaciju i pitanje; kartica čuva izvor.</w:t>
            </w:r>
          </w:p>
        </w:tc>
      </w:tr>
    </w:tbl>
    <w:p>
      <w:pPr>
        <w:spacing w:after="20"/>
      </w:pPr>
    </w:p>
    <w:p>
      <w:pPr>
        <w:pStyle w:val="Heading2"/>
        <w:keepNext/>
      </w:pPr>
      <w:r>
        <w:t>Obvezni izlazni proizvod</w:t>
      </w:r>
    </w:p>
    <w:p>
      <w:pPr>
        <w:spacing w:before="120" w:after="160" w:line="283" w:lineRule="auto"/>
        <w:ind w:left="202" w:right="115"/>
        <w:shd w:fill="FBF5E8"/>
        <w:pBdr>
          <w:left w:val="single" w:sz="18" w:space="8" w:color="B78727"/>
        </w:pBdr>
      </w:pPr>
      <w:r>
        <w:rPr>
          <w:rFonts w:ascii="Calibri" w:hAnsi="Calibri"/>
          <w:b/>
          <w:color w:val="B78727"/>
          <w:sz w:val="19"/>
        </w:rPr>
        <w:t xml:space="preserve">DRUŠTVENI PROFIL JEDNE MIKROLOKACIJE  </w:t>
      </w:r>
      <w:r>
        <w:rPr>
          <w:rFonts w:ascii="Calibri" w:hAnsi="Calibri"/>
          <w:b/>
          <w:color w:val="17324D"/>
          <w:sz w:val="21"/>
        </w:rPr>
        <w:t>Izradite profil jedne lokacije Regije I koji sadrži: gospodarski lanac; jedan demografski pokazatelj; jednu nadležnu ustanovu; jedan obrazovni/znanstveni ili sportski/događajni sadržaj; dva različita glasa; interpretaciju od 90 sekundi; operativni plan; izvore, datum i razinu sigurnosti.</w:t>
      </w:r>
    </w:p>
    <w:p>
      <w:pPr>
        <w:pStyle w:val="Heading2"/>
        <w:keepNext/>
      </w:pPr>
      <w:r>
        <w:t>Obvezna institucijska/terenska vježba</w:t>
      </w:r>
    </w:p>
    <w:p>
      <w:pPr>
        <w:widowControl/>
      </w:pPr>
      <w:r>
        <w:t>Kandidat prije vježbe sklapa pisani dogovor s ustanovom ili dionikom o svrsi, kontaktu, sadržaju, podacima, snimanju i operativnim pravilima. Na lokaciji izvodi dvije kratke postaje, prilagođava ih ciljnoj skupini te nakon izvedbe predaje revizijsku bilješku: što je potvrđeno, što je ostalo nesigurno i kada se ponovno provjerava.</w:t>
      </w:r>
    </w:p>
    <w:p>
      <w:r>
        <w:br w:type="page"/>
      </w:r>
    </w:p>
    <w:p>
      <w:pPr>
        <w:pStyle w:val="Heading1"/>
        <w:keepNext/>
      </w:pPr>
      <w:r>
        <w:t>Pitanja za provjeru znanja i usmenu izvedbu</w:t>
      </w:r>
    </w:p>
    <w:p>
      <w:pPr>
        <w:spacing w:before="120" w:after="160" w:line="283" w:lineRule="auto"/>
        <w:ind w:left="202" w:right="115"/>
        <w:shd w:fill="E8EEF5"/>
        <w:pBdr>
          <w:left w:val="single" w:sz="18" w:space="8" w:color="2E74B5"/>
        </w:pBdr>
      </w:pPr>
      <w:r>
        <w:rPr>
          <w:rFonts w:ascii="Calibri" w:hAnsi="Calibri"/>
          <w:b/>
          <w:color w:val="2E74B5"/>
          <w:sz w:val="19"/>
        </w:rPr>
        <w:t xml:space="preserve">NAČIN ODGOVORA  </w:t>
      </w:r>
      <w:r>
        <w:rPr>
          <w:rFonts w:ascii="Calibri" w:hAnsi="Calibri"/>
          <w:b/>
          <w:color w:val="17324D"/>
          <w:sz w:val="21"/>
        </w:rPr>
        <w:t>Odgovor povezuje konkretno mjesto, provjerljiv i vremenski označen dokaz, instituciju ili glas dionika, interpretacijsku odluku te etičko-operativnu provjeru. Puko nabrajanje statistika i ustanova nije dovoljan dokaz ishoda.</w:t>
      </w:r>
    </w:p>
    <w:p>
      <w:pPr>
        <w:pStyle w:val="Heading2"/>
        <w:keepNext/>
      </w:pPr>
      <w:r>
        <w:t>Početna banka Programa povezana s R4</w:t>
      </w:r>
    </w:p>
    <w:tbl>
      <w:tblPr>
        <w:tblStyle w:val="TableGrid"/>
        <w:tblW w:type="dxa" w:w="9200"/>
        <w:jc w:val="left"/>
        <w:tblLayout w:type="fixed"/>
        <w:tblLook w:firstColumn="1" w:firstRow="1" w:lastColumn="0" w:lastRow="0" w:noHBand="0" w:noVBand="1" w:val="04A0"/>
        <w:tblInd w:w="120" w:type="dxa"/>
      </w:tblPr>
      <w:tblGrid>
        <w:gridCol w:w="1500"/>
        <w:gridCol w:w="7700"/>
      </w:tblGrid>
      <w:tr>
        <w:trPr>
          <w:tblHeader w:val="true"/>
          <w:cantSplit/>
        </w:trPr>
        <w:tc>
          <w:tcPr>
            <w:tcW w:type="dxa" w:w="1500"/>
            <w:shd w:fill="E8EEF5"/>
            <w:vAlign w:val="center"/>
            <w:tcMar>
              <w:top w:w="80" w:type="dxa"/>
              <w:start w:w="120" w:type="dxa"/>
              <w:bottom w:w="80" w:type="dxa"/>
              <w:end w:w="120" w:type="dxa"/>
            </w:tcMar>
          </w:tcPr>
          <w:p>
            <w:r>
              <w:rPr>
                <w:rFonts w:ascii="Calibri" w:hAnsi="Calibri"/>
                <w:b/>
                <w:color w:val="17324D"/>
                <w:sz w:val="19"/>
              </w:rPr>
              <w:t>Br. u banci</w:t>
            </w:r>
          </w:p>
        </w:tc>
        <w:tc>
          <w:tcPr>
            <w:tcW w:type="dxa" w:w="7700"/>
            <w:shd w:fill="E8EEF5"/>
            <w:vAlign w:val="center"/>
            <w:tcMar>
              <w:top w:w="80" w:type="dxa"/>
              <w:start w:w="120" w:type="dxa"/>
              <w:bottom w:w="80" w:type="dxa"/>
              <w:end w:w="120" w:type="dxa"/>
            </w:tcMar>
          </w:tcPr>
          <w:p>
            <w:r>
              <w:rPr>
                <w:rFonts w:ascii="Calibri" w:hAnsi="Calibri"/>
                <w:b/>
                <w:color w:val="17324D"/>
                <w:sz w:val="19"/>
              </w:rPr>
              <w:t>Pitanje</w:t>
            </w:r>
          </w:p>
        </w:tc>
      </w:tr>
      <w:tr>
        <w:trPr>
          <w:cantSplit/>
        </w:trPr>
        <w:tc>
          <w:tcPr>
            <w:tcW w:type="dxa" w:w="1500"/>
            <w:vAlign w:val="top"/>
            <w:tcMar>
              <w:top w:w="80" w:type="dxa"/>
              <w:start w:w="120" w:type="dxa"/>
              <w:bottom w:w="80" w:type="dxa"/>
              <w:end w:w="120" w:type="dxa"/>
            </w:tcMar>
          </w:tcPr>
          <w:p>
            <w:pPr>
              <w:spacing w:after="40" w:line="259" w:lineRule="auto"/>
            </w:pPr>
            <w:r>
              <w:rPr>
                <w:rFonts w:ascii="Calibri" w:hAnsi="Calibri"/>
                <w:color w:val="222222"/>
                <w:sz w:val="18"/>
              </w:rPr>
              <w:t>9</w:t>
            </w:r>
          </w:p>
        </w:tc>
        <w:tc>
          <w:tcPr>
            <w:tcW w:type="dxa" w:w="7700"/>
            <w:vAlign w:val="top"/>
            <w:tcMar>
              <w:top w:w="80" w:type="dxa"/>
              <w:start w:w="120" w:type="dxa"/>
              <w:bottom w:w="80" w:type="dxa"/>
              <w:end w:w="120" w:type="dxa"/>
            </w:tcMar>
          </w:tcPr>
          <w:p>
            <w:pPr>
              <w:spacing w:after="40" w:line="259" w:lineRule="auto"/>
            </w:pPr>
            <w:r>
              <w:rPr>
                <w:rFonts w:ascii="Calibri" w:hAnsi="Calibri"/>
                <w:color w:val="222222"/>
                <w:sz w:val="18"/>
              </w:rPr>
              <w:t>Objasnite proces mirne reintegracije hrvatskog Podunavlja i njegovu važnost za interpretaciju prostora.</w:t>
            </w:r>
          </w:p>
        </w:tc>
      </w:tr>
    </w:tbl>
    <w:p>
      <w:pPr>
        <w:spacing w:after="20"/>
      </w:pPr>
    </w:p>
    <w:p>
      <w:pPr>
        <w:spacing w:before="120" w:after="160" w:line="283" w:lineRule="auto"/>
        <w:ind w:left="202" w:right="115"/>
        <w:shd w:fill="EDF5F1"/>
        <w:pBdr>
          <w:left w:val="single" w:sz="18" w:space="8" w:color="3E7C68"/>
        </w:pBdr>
      </w:pPr>
      <w:r>
        <w:rPr>
          <w:rFonts w:ascii="Calibri" w:hAnsi="Calibri"/>
          <w:b/>
          <w:color w:val="3E7C68"/>
          <w:sz w:val="19"/>
        </w:rPr>
        <w:t xml:space="preserve">ISPITNI OKVIR  </w:t>
      </w:r>
      <w:r>
        <w:rPr>
          <w:rFonts w:ascii="Calibri" w:hAnsi="Calibri"/>
          <w:b/>
          <w:color w:val="17324D"/>
          <w:sz w:val="21"/>
        </w:rPr>
        <w:t>R4 se provjerava jednim pitanjem vrijednim 5 bodova; prag je 2,5 boda. Pitanje mora biti vezano uz konkretan lokalitet, a početna banka obnavlja se najmanje 20 % po ispitnom roku, prema Programu.</w:t>
      </w:r>
    </w:p>
    <w:p>
      <w:pPr>
        <w:pStyle w:val="Heading2"/>
        <w:keepNext/>
      </w:pPr>
      <w:r>
        <w:t>Dodatna formativna pitanja</w:t>
      </w:r>
    </w:p>
    <w:p>
      <w:pPr>
        <w:numPr>
          <w:ilvl w:val="0"/>
          <w:numId w:val="12"/>
        </w:numPr>
      </w:pPr>
      <w:r>
        <w:t>Koja su četiri podatka potrebna prije nego što izgovorite da gospodarska djelatnost raste?</w:t>
      </w:r>
    </w:p>
    <w:p>
      <w:pPr>
        <w:numPr>
          <w:ilvl w:val="0"/>
          <w:numId w:val="12"/>
        </w:numPr>
      </w:pPr>
      <w:r>
        <w:t>Kako lanac vrijednosti poljoprivrednog ili drvnog proizvoda pretvarate u terensku postaju?</w:t>
      </w:r>
    </w:p>
    <w:p>
      <w:pPr>
        <w:numPr>
          <w:ilvl w:val="0"/>
          <w:numId w:val="12"/>
        </w:numPr>
      </w:pPr>
      <w:r>
        <w:t>Koja je razlika između dolaska, noćenja i jednodnevnog posjeta?</w:t>
      </w:r>
    </w:p>
    <w:p>
      <w:pPr>
        <w:numPr>
          <w:ilvl w:val="0"/>
          <w:numId w:val="12"/>
        </w:numPr>
      </w:pPr>
      <w:r>
        <w:t>Kako razlikujete Popis 2021., godišnju procjenu i migracijski tok?</w:t>
      </w:r>
    </w:p>
    <w:p>
      <w:pPr>
        <w:numPr>
          <w:ilvl w:val="0"/>
          <w:numId w:val="12"/>
        </w:numPr>
      </w:pPr>
      <w:r>
        <w:t>Zašto nacionalna struktura nije opis osobina pojedinca ili zajednice?</w:t>
      </w:r>
    </w:p>
    <w:p>
      <w:pPr>
        <w:numPr>
          <w:ilvl w:val="0"/>
          <w:numId w:val="12"/>
        </w:numPr>
      </w:pPr>
      <w:r>
        <w:t>Kako mirnu reintegraciju povezujete s prostorom bez ponavljanja memorijalnog modula?</w:t>
      </w:r>
    </w:p>
    <w:p>
      <w:pPr>
        <w:numPr>
          <w:ilvl w:val="0"/>
          <w:numId w:val="12"/>
        </w:numPr>
      </w:pPr>
      <w:r>
        <w:t>Kako razlikujete nadležnost županije, grada/općine, javne ustanove, TZ-a i razvojne agencije?</w:t>
      </w:r>
    </w:p>
    <w:p>
      <w:pPr>
        <w:numPr>
          <w:ilvl w:val="0"/>
          <w:numId w:val="12"/>
        </w:numPr>
      </w:pPr>
      <w:r>
        <w:t>Kako javnu politiku tumačite bez stranačke promidžbe?</w:t>
      </w:r>
    </w:p>
    <w:p>
      <w:pPr>
        <w:numPr>
          <w:ilvl w:val="0"/>
          <w:numId w:val="12"/>
        </w:numPr>
      </w:pPr>
      <w:r>
        <w:t>Koji dokaz rada obrazovne ili znanstvene ustanove može postati interpretacijska postaja?</w:t>
      </w:r>
    </w:p>
    <w:p>
      <w:pPr>
        <w:numPr>
          <w:ilvl w:val="0"/>
          <w:numId w:val="12"/>
        </w:numPr>
      </w:pPr>
      <w:r>
        <w:t>Koje provjere događaj pretvaraju iz kalendarske najave u provediv itinerar?</w:t>
      </w:r>
    </w:p>
    <w:p>
      <w:pPr>
        <w:pStyle w:val="Heading2"/>
        <w:keepNext/>
      </w:pPr>
      <w:r>
        <w:t>Analitička rubrika za R4 pitanje (5 bodova)</w:t>
      </w:r>
    </w:p>
    <w:tbl>
      <w:tblPr>
        <w:tblStyle w:val="TableGrid"/>
        <w:tblW w:type="dxa" w:w="9200"/>
        <w:jc w:val="left"/>
        <w:tblLayout w:type="fixed"/>
        <w:tblLook w:firstColumn="1" w:firstRow="1" w:lastColumn="0" w:lastRow="0" w:noHBand="0" w:noVBand="1" w:val="04A0"/>
        <w:tblInd w:w="120" w:type="dxa"/>
      </w:tblPr>
      <w:tblGrid>
        <w:gridCol w:w="2500"/>
        <w:gridCol w:w="1050"/>
        <w:gridCol w:w="5650"/>
      </w:tblGrid>
      <w:tr>
        <w:trPr>
          <w:tblHeader w:val="true"/>
          <w:cantSplit/>
        </w:trPr>
        <w:tc>
          <w:tcPr>
            <w:tcW w:type="dxa" w:w="2500"/>
            <w:shd w:fill="E8EEF5"/>
            <w:vAlign w:val="center"/>
            <w:tcMar>
              <w:top w:w="80" w:type="dxa"/>
              <w:start w:w="120" w:type="dxa"/>
              <w:bottom w:w="80" w:type="dxa"/>
              <w:end w:w="120" w:type="dxa"/>
            </w:tcMar>
          </w:tcPr>
          <w:p>
            <w:r>
              <w:rPr>
                <w:rFonts w:ascii="Calibri" w:hAnsi="Calibri"/>
                <w:b/>
                <w:color w:val="17324D"/>
                <w:sz w:val="19"/>
              </w:rPr>
              <w:t>Kriterij</w:t>
            </w:r>
          </w:p>
        </w:tc>
        <w:tc>
          <w:tcPr>
            <w:tcW w:type="dxa" w:w="1050"/>
            <w:shd w:fill="E8EEF5"/>
            <w:vAlign w:val="center"/>
            <w:tcMar>
              <w:top w:w="80" w:type="dxa"/>
              <w:start w:w="120" w:type="dxa"/>
              <w:bottom w:w="80" w:type="dxa"/>
              <w:end w:w="120" w:type="dxa"/>
            </w:tcMar>
          </w:tcPr>
          <w:p>
            <w:r>
              <w:rPr>
                <w:rFonts w:ascii="Calibri" w:hAnsi="Calibri"/>
                <w:b/>
                <w:color w:val="17324D"/>
                <w:sz w:val="19"/>
              </w:rPr>
              <w:t>Bodovi</w:t>
            </w:r>
          </w:p>
        </w:tc>
        <w:tc>
          <w:tcPr>
            <w:tcW w:type="dxa" w:w="5650"/>
            <w:shd w:fill="E8EEF5"/>
            <w:vAlign w:val="center"/>
            <w:tcMar>
              <w:top w:w="80" w:type="dxa"/>
              <w:start w:w="120" w:type="dxa"/>
              <w:bottom w:w="80" w:type="dxa"/>
              <w:end w:w="120" w:type="dxa"/>
            </w:tcMar>
          </w:tcPr>
          <w:p>
            <w:r>
              <w:rPr>
                <w:rFonts w:ascii="Calibri" w:hAnsi="Calibri"/>
                <w:b/>
                <w:color w:val="17324D"/>
                <w:sz w:val="19"/>
              </w:rPr>
              <w:t>Pokazatelj</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Točnost i izvori</w:t>
            </w:r>
          </w:p>
        </w:tc>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0–1,5</w:t>
            </w:r>
          </w:p>
        </w:tc>
        <w:tc>
          <w:tcPr>
            <w:tcW w:type="dxa" w:w="5650"/>
            <w:vAlign w:val="top"/>
            <w:tcMar>
              <w:top w:w="80" w:type="dxa"/>
              <w:start w:w="120" w:type="dxa"/>
              <w:bottom w:w="80" w:type="dxa"/>
              <w:end w:w="120" w:type="dxa"/>
            </w:tcMar>
          </w:tcPr>
          <w:p>
            <w:pPr>
              <w:spacing w:after="40" w:line="259" w:lineRule="auto"/>
            </w:pPr>
            <w:r>
              <w:rPr>
                <w:rFonts w:ascii="Calibri" w:hAnsi="Calibri"/>
                <w:color w:val="222222"/>
                <w:sz w:val="18"/>
              </w:rPr>
              <w:t>Datumi, pojmovi, teritorij i uloge točni; razlikuje činjenicu, procjenu i interpretaciju.</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Društveno-prostorna veza</w:t>
            </w:r>
          </w:p>
        </w:tc>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0–1,0</w:t>
            </w:r>
          </w:p>
        </w:tc>
        <w:tc>
          <w:tcPr>
            <w:tcW w:type="dxa" w:w="5650"/>
            <w:vAlign w:val="top"/>
            <w:tcMar>
              <w:top w:w="80" w:type="dxa"/>
              <w:start w:w="120" w:type="dxa"/>
              <w:bottom w:w="80" w:type="dxa"/>
              <w:end w:w="120" w:type="dxa"/>
            </w:tcMar>
          </w:tcPr>
          <w:p>
            <w:pPr>
              <w:spacing w:after="40" w:line="259" w:lineRule="auto"/>
            </w:pPr>
            <w:r>
              <w:rPr>
                <w:rFonts w:ascii="Calibri" w:hAnsi="Calibri"/>
                <w:color w:val="222222"/>
                <w:sz w:val="18"/>
              </w:rPr>
              <w:t>Pokazuje kako proces ili značajka mijenja institucije, ljude, mjesto i vođenje.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Interpretacijska izvedba</w:t>
            </w:r>
          </w:p>
        </w:tc>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0–1,0</w:t>
            </w:r>
          </w:p>
        </w:tc>
        <w:tc>
          <w:tcPr>
            <w:tcW w:type="dxa" w:w="5650"/>
            <w:vAlign w:val="top"/>
            <w:tcMar>
              <w:top w:w="80" w:type="dxa"/>
              <w:start w:w="120" w:type="dxa"/>
              <w:bottom w:w="80" w:type="dxa"/>
              <w:end w:w="120" w:type="dxa"/>
            </w:tcMar>
          </w:tcPr>
          <w:p>
            <w:pPr>
              <w:spacing w:after="40" w:line="259" w:lineRule="auto"/>
            </w:pPr>
            <w:r>
              <w:rPr>
                <w:rFonts w:ascii="Calibri" w:hAnsi="Calibri"/>
                <w:color w:val="222222"/>
                <w:sz w:val="18"/>
              </w:rPr>
              <w:t>Jedna nosiva poruka, vidljiv trag i pitanje primjereno publici.</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Multiperspektivnost i etika</w:t>
            </w:r>
          </w:p>
        </w:tc>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0–1,0</w:t>
            </w:r>
          </w:p>
        </w:tc>
        <w:tc>
          <w:tcPr>
            <w:tcW w:type="dxa" w:w="5650"/>
            <w:vAlign w:val="top"/>
            <w:tcMar>
              <w:top w:w="80" w:type="dxa"/>
              <w:start w:w="120" w:type="dxa"/>
              <w:bottom w:w="80" w:type="dxa"/>
              <w:end w:w="120" w:type="dxa"/>
            </w:tcMar>
          </w:tcPr>
          <w:p>
            <w:pPr>
              <w:spacing w:after="40" w:line="259" w:lineRule="auto"/>
            </w:pPr>
            <w:r>
              <w:rPr>
                <w:rFonts w:ascii="Calibri" w:hAnsi="Calibri"/>
                <w:color w:val="222222"/>
                <w:sz w:val="18"/>
              </w:rPr>
              <w:t>Atribucija, više glasova, neutralan ton i izbjegavanje stereotipa/senzacionalizma.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Operativna provjera</w:t>
            </w:r>
          </w:p>
        </w:tc>
        <w:tc>
          <w:tcPr>
            <w:tcW w:type="dxa" w:w="1050"/>
            <w:vAlign w:val="top"/>
            <w:tcMar>
              <w:top w:w="80" w:type="dxa"/>
              <w:start w:w="120" w:type="dxa"/>
              <w:bottom w:w="80" w:type="dxa"/>
              <w:end w:w="120" w:type="dxa"/>
            </w:tcMar>
          </w:tcPr>
          <w:p>
            <w:pPr>
              <w:spacing w:after="40" w:line="259" w:lineRule="auto"/>
            </w:pPr>
            <w:r>
              <w:rPr>
                <w:rFonts w:ascii="Calibri" w:hAnsi="Calibri"/>
                <w:color w:val="222222"/>
                <w:sz w:val="18"/>
              </w:rPr>
              <w:t>0–0,5</w:t>
            </w:r>
          </w:p>
        </w:tc>
        <w:tc>
          <w:tcPr>
            <w:tcW w:type="dxa" w:w="5650"/>
            <w:vAlign w:val="top"/>
            <w:tcMar>
              <w:top w:w="80" w:type="dxa"/>
              <w:start w:w="120" w:type="dxa"/>
              <w:bottom w:w="80" w:type="dxa"/>
              <w:end w:w="120" w:type="dxa"/>
            </w:tcMar>
          </w:tcPr>
          <w:p>
            <w:pPr>
              <w:spacing w:after="40" w:line="259" w:lineRule="auto"/>
            </w:pPr>
            <w:r>
              <w:rPr>
                <w:rFonts w:ascii="Calibri" w:hAnsi="Calibri"/>
                <w:color w:val="222222"/>
                <w:sz w:val="18"/>
              </w:rPr>
              <w:t>Navodi aktualni izvor, datum provjere, granicu tvrdnje ili plan B.</w:t>
            </w:r>
          </w:p>
        </w:tc>
      </w:tr>
    </w:tbl>
    <w:p>
      <w:pPr>
        <w:spacing w:after="20"/>
      </w:pPr>
    </w:p>
    <w:p>
      <w:pPr>
        <w:spacing w:before="120" w:after="160" w:line="283" w:lineRule="auto"/>
        <w:ind w:left="202" w:right="115"/>
        <w:shd w:fill="FCECEC"/>
        <w:pBdr>
          <w:left w:val="single" w:sz="18" w:space="8" w:color="9B1C1C"/>
        </w:pBdr>
      </w:pPr>
      <w:r>
        <w:rPr>
          <w:rFonts w:ascii="Calibri" w:hAnsi="Calibri"/>
          <w:b/>
          <w:color w:val="9B1C1C"/>
          <w:sz w:val="19"/>
        </w:rPr>
        <w:t xml:space="preserve">PRAG  </w:t>
      </w:r>
      <w:r>
        <w:rPr>
          <w:rFonts w:ascii="Calibri" w:hAnsi="Calibri"/>
          <w:b/>
          <w:color w:val="17324D"/>
          <w:sz w:val="21"/>
        </w:rPr>
        <w:t>Najmanje 2,5/5. Bitna činjenična pogreška, izmišljeni izvor, diskriminatorna generalizacija ili stranačka propaganda zahtijevaju korekciju neovisno o stilskoj uvjerljivosti.</w:t>
      </w:r>
    </w:p>
    <w:p>
      <w:pPr>
        <w:pStyle w:val="Heading1"/>
        <w:keepNext/>
      </w:pPr>
      <w:r>
        <w:t>Pojmovnik</w:t>
      </w:r>
    </w:p>
    <w:tbl>
      <w:tblPr>
        <w:tblStyle w:val="TableGrid"/>
        <w:tblW w:type="dxa" w:w="9200"/>
        <w:jc w:val="left"/>
        <w:tblLayout w:type="fixed"/>
        <w:tblLook w:firstColumn="1" w:firstRow="1" w:lastColumn="0" w:lastRow="0" w:noHBand="0" w:noVBand="1" w:val="04A0"/>
        <w:tblInd w:w="120" w:type="dxa"/>
      </w:tblPr>
      <w:tblGrid>
        <w:gridCol w:w="2500"/>
        <w:gridCol w:w="6700"/>
      </w:tblGrid>
      <w:tr>
        <w:trPr>
          <w:tblHeader w:val="true"/>
          <w:cantSplit/>
        </w:trPr>
        <w:tc>
          <w:tcPr>
            <w:tcW w:type="dxa" w:w="2500"/>
            <w:shd w:fill="E8EEF5"/>
            <w:vAlign w:val="center"/>
            <w:tcMar>
              <w:top w:w="80" w:type="dxa"/>
              <w:start w:w="120" w:type="dxa"/>
              <w:bottom w:w="80" w:type="dxa"/>
              <w:end w:w="120" w:type="dxa"/>
            </w:tcMar>
          </w:tcPr>
          <w:p>
            <w:r>
              <w:rPr>
                <w:rFonts w:ascii="Calibri" w:hAnsi="Calibri"/>
                <w:b/>
                <w:color w:val="17324D"/>
                <w:sz w:val="19"/>
              </w:rPr>
              <w:t>Pojam</w:t>
            </w:r>
          </w:p>
        </w:tc>
        <w:tc>
          <w:tcPr>
            <w:tcW w:type="dxa" w:w="6700"/>
            <w:shd w:fill="E8EEF5"/>
            <w:vAlign w:val="center"/>
            <w:tcMar>
              <w:top w:w="80" w:type="dxa"/>
              <w:start w:w="120" w:type="dxa"/>
              <w:bottom w:w="80" w:type="dxa"/>
              <w:end w:w="120" w:type="dxa"/>
            </w:tcMar>
          </w:tcPr>
          <w:p>
            <w:r>
              <w:rPr>
                <w:rFonts w:ascii="Calibri" w:hAnsi="Calibri"/>
                <w:b/>
                <w:color w:val="17324D"/>
                <w:sz w:val="19"/>
              </w:rPr>
              <w:t>Radna definicija za vodiča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Pokazatelj</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Operacionalizirana mjera pojave; vrijedi samo uz definiciju, jedinicu, prostor, vrijeme i izvor.</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Broj / udio / stopa</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Broj je količina; udio dio cjeline; stopa odnos događaja i izložene populacije u vremenu.</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Popis / procjena</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Popis je statistički presjek prema propisanoj metodi; procjena modelira stanje između popisa.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Stanje / tok</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Stanje se odnosi na trenutak; tok na događaje u razdoblju, npr. doseljenja ili noćenja.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Korelacija / uzročnost</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Zajedničko kretanje pojava ne dokazuje da jedna uzrokuje drugu.</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Depopulacija</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Smanjenje broja stanovnika područja; uzroci se analiziraju prirodnim i migracijskim komponentama.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Dnevna mobilnost</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Redovito kretanje između mjesta stanovanja i rada, škole ili usluge.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Javna politika</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Skup ciljeva, odluka, instrumenata i resursa usmjerenih na javni problem; nije sinonim za stranku.</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Nadležnost</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Zakonom ili drugim aktom određeni djelokrug tijela ili ustanove.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Lanac vrijednosti</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Povezani koraci kroz koje resurs/proizvod dobiva vrijednost do korisnika ili tržišta.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Turistički dolazak / noćenje</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Statistički evidentiran dolazak gosta i svaka provedena noć prema metodologiji izvora.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Plan B</w:t>
            </w:r>
          </w:p>
        </w:tc>
        <w:tc>
          <w:tcPr>
            <w:tcW w:type="dxa" w:w="6700"/>
            <w:vAlign w:val="top"/>
            <w:tcMar>
              <w:top w:w="80" w:type="dxa"/>
              <w:start w:w="120" w:type="dxa"/>
              <w:bottom w:w="80" w:type="dxa"/>
              <w:end w:w="120" w:type="dxa"/>
            </w:tcMar>
          </w:tcPr>
          <w:p>
            <w:pPr>
              <w:spacing w:after="40" w:line="259" w:lineRule="auto"/>
            </w:pPr>
            <w:r>
              <w:rPr>
                <w:rFonts w:ascii="Calibri" w:hAnsi="Calibri"/>
                <w:color w:val="222222"/>
                <w:sz w:val="18"/>
              </w:rPr>
              <w:t>Unaprijed provjerena jednakovrijedna alternativa zbog vremena, gužve, otkazivanja ili pristupa.</w:t>
            </w:r>
          </w:p>
        </w:tc>
      </w:tr>
    </w:tbl>
    <w:p>
      <w:pPr>
        <w:spacing w:after="20"/>
      </w:pPr>
    </w:p>
    <w:p>
      <w:r>
        <w:br w:type="page"/>
      </w:r>
    </w:p>
    <w:p>
      <w:pPr>
        <w:pStyle w:val="Heading1"/>
        <w:keepNext/>
      </w:pPr>
      <w:r>
        <w:t>Izvori za v0.9 i obvezna provjera prije v1.0</w:t>
      </w:r>
    </w:p>
    <w:p>
      <w:pPr>
        <w:spacing w:before="120" w:after="160" w:line="283" w:lineRule="auto"/>
        <w:ind w:left="202" w:right="115"/>
        <w:shd w:fill="FCECEC"/>
        <w:pBdr>
          <w:left w:val="single" w:sz="18" w:space="8" w:color="9B1C1C"/>
        </w:pBdr>
      </w:pPr>
      <w:r>
        <w:rPr>
          <w:rFonts w:ascii="Calibri" w:hAnsi="Calibri"/>
          <w:b/>
          <w:color w:val="9B1C1C"/>
          <w:sz w:val="19"/>
        </w:rPr>
        <w:t xml:space="preserve">UREDNIČKA NAPOMENA  </w:t>
      </w:r>
      <w:r>
        <w:rPr>
          <w:rFonts w:ascii="Calibri" w:hAnsi="Calibri"/>
          <w:b/>
          <w:color w:val="17324D"/>
          <w:sz w:val="21"/>
        </w:rPr>
        <w:t>Izdanje v1.0 mora sadržavati pune bibliografske zapise, aktivne poveznice, datume pristupa, točne tablice/varijable, status privremenosti ili revizije, pravne reference, suglasnosti ustanova i aktualne operativne kontakte.</w:t>
      </w:r>
    </w:p>
    <w:p>
      <w:pPr>
        <w:numPr>
          <w:ilvl w:val="0"/>
          <w:numId w:val="14"/>
        </w:numPr>
      </w:pPr>
      <w:r>
        <w:t>Program seminara za posebni dio stručnog ispita po regijama – Regija I, R4 (dokument naručitelja).</w:t>
      </w:r>
    </w:p>
    <w:p>
      <w:pPr>
        <w:numPr>
          <w:ilvl w:val="0"/>
          <w:numId w:val="14"/>
        </w:numPr>
      </w:pPr>
      <w:r>
        <w:t>Državni zavod za statistiku: Popis stanovništva, kućanstava i stanova 2021. – stanovništvo po županijama, gradovima/općinama i relevantne metodološke napomene. podaci.dzs.hr</w:t>
      </w:r>
    </w:p>
    <w:p>
      <w:pPr>
        <w:numPr>
          <w:ilvl w:val="0"/>
          <w:numId w:val="14"/>
        </w:numPr>
      </w:pPr>
      <w:r>
        <w:t>Državni zavod za statistiku: godišnje procjene stanovništva, prirodno kretanje, migracija stanovništva, zaposlenost, BDP po županijama i turizam – koristiti posljednju objavljenu, usporedivu tablicu. podaci.dzs.hr</w:t>
      </w:r>
    </w:p>
    <w:p>
      <w:pPr>
        <w:numPr>
          <w:ilvl w:val="0"/>
          <w:numId w:val="14"/>
        </w:numPr>
      </w:pPr>
      <w:r>
        <w:t>Ministarstvo regionalnoga razvoja i fondova Europske unije: indeks razvijenosti, razvojni dokumenti i službene metodologije. razvoj.gov.hr</w:t>
      </w:r>
    </w:p>
    <w:p>
      <w:pPr>
        <w:numPr>
          <w:ilvl w:val="0"/>
          <w:numId w:val="14"/>
        </w:numPr>
      </w:pPr>
      <w:r>
        <w:t>Narodne novine i Zakon o lokalnoj i područnoj (regionalnoj) samoupravi; Ustavni zakon o pravima nacionalnih manjina i povezani važeći propisi. narodne-novine.nn.hr</w:t>
      </w:r>
    </w:p>
    <w:p>
      <w:pPr>
        <w:numPr>
          <w:ilvl w:val="0"/>
          <w:numId w:val="14"/>
        </w:numPr>
      </w:pPr>
      <w:r>
        <w:t>Ujedinjeni narodi: UNTAES – Brief Chronology i mandat Prijelazne uprave za istočnu Slavoniju, Baranju i zapadni Srijem. peacekeeping.un.org</w:t>
      </w:r>
    </w:p>
    <w:p>
      <w:pPr>
        <w:numPr>
          <w:ilvl w:val="0"/>
          <w:numId w:val="14"/>
        </w:numPr>
      </w:pPr>
      <w:r>
        <w:t>Temeljni sporazum o području istočne Slavonije, Baranje i zapadnog Srijema, 12. studenoga 1995.; službene pravne i arhivske inačice.</w:t>
      </w:r>
    </w:p>
    <w:p>
      <w:pPr>
        <w:numPr>
          <w:ilvl w:val="0"/>
          <w:numId w:val="14"/>
        </w:numPr>
      </w:pPr>
      <w:r>
        <w:t>Sveučilište Josipa Jurja Strossmayera u Osijeku i službene stranice njegovih sastavnica – važeći ustroj, programi, istraživanja i javne aktivnosti. unios.hr</w:t>
      </w:r>
    </w:p>
    <w:p>
      <w:pPr>
        <w:numPr>
          <w:ilvl w:val="0"/>
          <w:numId w:val="14"/>
        </w:numPr>
      </w:pPr>
      <w:r>
        <w:t>Agencija za znanost i visoko obrazovanje: Upisnik studijskih programa i akreditirani status visokih učilišta. azvo.hr</w:t>
      </w:r>
    </w:p>
    <w:p>
      <w:pPr>
        <w:numPr>
          <w:ilvl w:val="0"/>
          <w:numId w:val="14"/>
        </w:numPr>
      </w:pPr>
      <w:r>
        <w:t>Hrvatski državni arhiv, Državni arhiv u Osijeku i nadležni regionalni arhivi; Muzejski dokumentacijski centar i službene stranice muzeja – djelokrug, zbirke i pravila posjeta.</w:t>
      </w:r>
    </w:p>
    <w:p>
      <w:pPr>
        <w:numPr>
          <w:ilvl w:val="0"/>
          <w:numId w:val="14"/>
        </w:numPr>
      </w:pPr>
      <w:r>
        <w:t>Memorijalni centar Domovinskog rata Vukovar – službeni mandat, postavi i pravila posjeta; uskladiti sa zasebnim memorijalnim modulom.</w:t>
      </w:r>
    </w:p>
    <w:p>
      <w:pPr>
        <w:numPr>
          <w:ilvl w:val="0"/>
          <w:numId w:val="14"/>
        </w:numPr>
      </w:pPr>
      <w:r>
        <w:t>Službene stranice javnih ustanova za upravljanje zaštićenim područjima Regije I – nadležnost, režimi posjeta, istraživanja i edukacija.</w:t>
      </w:r>
    </w:p>
    <w:p>
      <w:pPr>
        <w:numPr>
          <w:ilvl w:val="0"/>
          <w:numId w:val="14"/>
        </w:numPr>
      </w:pPr>
      <w:r>
        <w:t>Hrvatska turistička zajednica, županijske/lokalne turističke zajednice i organizatori – aktualni kalendari, programi, uvjeti, kontakti i metodološke napomene.</w:t>
      </w:r>
    </w:p>
    <w:p>
      <w:pPr>
        <w:numPr>
          <w:ilvl w:val="0"/>
          <w:numId w:val="14"/>
        </w:numPr>
      </w:pPr>
      <w:r>
        <w:t>Luka Vukovar i nadležna lučka tijela – službeni podaci o djelatnosti, prometu i operativnom režimu. Koristiti datirane godišnje izvještaje.</w:t>
      </w:r>
    </w:p>
    <w:p>
      <w:pPr>
        <w:numPr>
          <w:ilvl w:val="0"/>
          <w:numId w:val="14"/>
        </w:numPr>
      </w:pPr>
      <w:r>
        <w:t>Službeni sportski savezi, klubovi, upravitelji objekata i organizatori događanja – rezultati, povijest, znakovi, ulaz i sigurnosni uvjeti.</w:t>
      </w:r>
    </w:p>
    <w:p>
      <w:pPr>
        <w:numPr>
          <w:ilvl w:val="0"/>
          <w:numId w:val="14"/>
        </w:numPr>
      </w:pPr>
      <w:r>
        <w:t>Autorizirani razgovori sa stanovnicima, predstavnicima ustanova, turističkih zajednica i razvojnih agencija; evidentirati pristanak, način navođenja i opseg uporabe.</w:t>
      </w:r>
    </w:p>
    <w:p>
      <w:pPr>
        <w:pStyle w:val="Heading2"/>
        <w:keepNext/>
      </w:pPr>
      <w:r>
        <w:t>Hijerarhija i rokovi provjere</w:t>
      </w:r>
    </w:p>
    <w:tbl>
      <w:tblPr>
        <w:tblStyle w:val="TableGrid"/>
        <w:tblW w:type="dxa" w:w="9200"/>
        <w:jc w:val="left"/>
        <w:tblLayout w:type="fixed"/>
        <w:tblLook w:firstColumn="1" w:firstRow="1" w:lastColumn="0" w:lastRow="0" w:noHBand="0" w:noVBand="1" w:val="04A0"/>
        <w:tblInd w:w="120" w:type="dxa"/>
      </w:tblPr>
      <w:tblGrid>
        <w:gridCol w:w="2100"/>
        <w:gridCol w:w="3800"/>
        <w:gridCol w:w="3300"/>
      </w:tblGrid>
      <w:tr>
        <w:trPr>
          <w:tblHeader w:val="true"/>
          <w:cantSplit/>
        </w:trPr>
        <w:tc>
          <w:tcPr>
            <w:tcW w:type="dxa" w:w="2100"/>
            <w:shd w:fill="E8EEF5"/>
            <w:vAlign w:val="center"/>
            <w:tcMar>
              <w:top w:w="80" w:type="dxa"/>
              <w:start w:w="120" w:type="dxa"/>
              <w:bottom w:w="80" w:type="dxa"/>
              <w:end w:w="120" w:type="dxa"/>
            </w:tcMar>
          </w:tcPr>
          <w:p>
            <w:r>
              <w:rPr>
                <w:rFonts w:ascii="Calibri" w:hAnsi="Calibri"/>
                <w:b/>
                <w:color w:val="17324D"/>
                <w:sz w:val="19"/>
              </w:rPr>
              <w:t>Sadržaj</w:t>
            </w:r>
          </w:p>
        </w:tc>
        <w:tc>
          <w:tcPr>
            <w:tcW w:type="dxa" w:w="3800"/>
            <w:shd w:fill="E8EEF5"/>
            <w:vAlign w:val="center"/>
            <w:tcMar>
              <w:top w:w="80" w:type="dxa"/>
              <w:start w:w="120" w:type="dxa"/>
              <w:bottom w:w="80" w:type="dxa"/>
              <w:end w:w="120" w:type="dxa"/>
            </w:tcMar>
          </w:tcPr>
          <w:p>
            <w:r>
              <w:rPr>
                <w:rFonts w:ascii="Calibri" w:hAnsi="Calibri"/>
                <w:b/>
                <w:color w:val="17324D"/>
                <w:sz w:val="19"/>
              </w:rPr>
              <w:t>Primarni izvor</w:t>
            </w:r>
          </w:p>
        </w:tc>
        <w:tc>
          <w:tcPr>
            <w:tcW w:type="dxa" w:w="3300"/>
            <w:shd w:fill="E8EEF5"/>
            <w:vAlign w:val="center"/>
            <w:tcMar>
              <w:top w:w="80" w:type="dxa"/>
              <w:start w:w="120" w:type="dxa"/>
              <w:bottom w:w="80" w:type="dxa"/>
              <w:end w:w="120" w:type="dxa"/>
            </w:tcMar>
          </w:tcPr>
          <w:p>
            <w:r>
              <w:rPr>
                <w:rFonts w:ascii="Calibri" w:hAnsi="Calibri"/>
                <w:b/>
                <w:color w:val="17324D"/>
                <w:sz w:val="19"/>
              </w:rPr>
              <w:t>Najkasnija ponovna provjera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zakon, nadležnost, naziv ustanove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Narodne novine / službeni registar / ustanova</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prije objave i prije svake izmjene modula</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statistika stanovništva i gospodarstva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DZS / službeni administrativni izvor</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pri svakoj novoj objavi; najmanje godišnje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program, termin, ulaz, promet, kapacitet</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organizator / upravitelj / službena obavijest</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48–72 sata prije dolaska i na dan izvedbe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iskustvo i glas zajednice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autorizirani sugovornik / udruga / ustanova</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prema dogovoru i prije nove javne uporabe</w:t>
            </w:r>
          </w:p>
        </w:tc>
      </w:tr>
      <w:tr>
        <w:trPr>
          <w:cantSplit/>
        </w:trPr>
        <w:tc>
          <w:tcPr>
            <w:tcW w:type="dxa" w:w="2100"/>
            <w:vAlign w:val="top"/>
            <w:tcMar>
              <w:top w:w="80" w:type="dxa"/>
              <w:start w:w="120" w:type="dxa"/>
              <w:bottom w:w="80" w:type="dxa"/>
              <w:end w:w="120" w:type="dxa"/>
            </w:tcMar>
          </w:tcPr>
          <w:p>
            <w:pPr>
              <w:spacing w:after="40" w:line="259" w:lineRule="auto"/>
            </w:pPr>
            <w:r>
              <w:rPr>
                <w:rFonts w:ascii="Calibri" w:hAnsi="Calibri"/>
                <w:color w:val="222222"/>
                <w:sz w:val="18"/>
              </w:rPr>
              <w:t>interpretacijski zaključak</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triangulacija stručnog, službenog i terenskog izvora</w:t>
            </w:r>
          </w:p>
        </w:tc>
        <w:tc>
          <w:tcPr>
            <w:tcW w:type="dxa" w:w="3300"/>
            <w:vAlign w:val="top"/>
            <w:tcMar>
              <w:top w:w="80" w:type="dxa"/>
              <w:start w:w="120" w:type="dxa"/>
              <w:bottom w:w="80" w:type="dxa"/>
              <w:end w:w="120" w:type="dxa"/>
            </w:tcMar>
          </w:tcPr>
          <w:p>
            <w:pPr>
              <w:spacing w:after="40" w:line="259" w:lineRule="auto"/>
            </w:pPr>
            <w:r>
              <w:rPr>
                <w:rFonts w:ascii="Calibri" w:hAnsi="Calibri"/>
                <w:color w:val="222222"/>
                <w:sz w:val="18"/>
              </w:rPr>
              <w:t>u svakoj uredničkoj reviziji</w:t>
            </w:r>
          </w:p>
        </w:tc>
      </w:tr>
    </w:tbl>
    <w:p>
      <w:pPr>
        <w:spacing w:after="20"/>
      </w:pPr>
    </w:p>
    <w:p>
      <w:r>
        <w:br w:type="page"/>
      </w:r>
    </w:p>
    <w:p>
      <w:pPr>
        <w:pStyle w:val="Heading1"/>
        <w:keepNext/>
      </w:pPr>
      <w:r>
        <w:t>Popis ilustracija i prava uporabe</w:t>
      </w:r>
    </w:p>
    <w:p>
      <w:pPr>
        <w:widowControl/>
      </w:pPr>
      <w:r>
        <w:t>Dokument sadrži dvije vrste ilustracija. Dvanaest shema izrađeno je izvorno za ovaj kanonski tekst; to su didaktičke sheme, a ne kartografski prikazi ni numerički grafikoni stvarnih podataka. Osam fotografija preuzeto je s Wikimedia Commonsa pod licencijama CC BY ili CC BY-SA; uz svaku su navedeni autor i licencija, a trajne poveznice nalaze se u prilogu. Fotografija ilustrira vidljiv trag, a ne dokazuje brojčanu tvrdnju: podatak i dalje traži pokazatelj, teritorij, razdoblje i izvor. Ilustracije su numerirane redoslijedom pojavljivanja. Prije javne objave preporučuje se stručna provjera oznaka i konačno definiranje licence naručitelja.</w:t>
      </w:r>
    </w:p>
    <w:tbl>
      <w:tblPr>
        <w:tblStyle w:val="TableGrid"/>
        <w:tblW w:type="dxa" w:w="9200"/>
        <w:jc w:val="left"/>
        <w:tblLayout w:type="fixed"/>
        <w:tblLook w:firstColumn="1" w:firstRow="1" w:lastColumn="0" w:lastRow="0" w:noHBand="0" w:noVBand="1" w:val="04A0"/>
        <w:tblInd w:w="120" w:type="dxa"/>
      </w:tblPr>
      <w:tblGrid>
        <w:gridCol w:w="600"/>
        <w:gridCol w:w="3900"/>
        <w:gridCol w:w="2350"/>
        <w:gridCol w:w="2350"/>
      </w:tblGrid>
      <w:tr>
        <w:trPr>
          <w:tblHeader w:val="true"/>
          <w:cantSplit/>
        </w:trPr>
        <w:tc>
          <w:tcPr>
            <w:tcW w:type="dxa" w:w="600"/>
            <w:shd w:fill="E8EEF5"/>
            <w:vAlign w:val="center"/>
            <w:tcMar>
              <w:top w:w="80" w:type="dxa"/>
              <w:start w:w="120" w:type="dxa"/>
              <w:bottom w:w="80" w:type="dxa"/>
              <w:end w:w="120" w:type="dxa"/>
            </w:tcMar>
          </w:tcPr>
          <w:p>
            <w:r>
              <w:rPr>
                <w:rFonts w:ascii="Calibri" w:hAnsi="Calibri"/>
                <w:b/>
                <w:color w:val="17324D"/>
                <w:sz w:val="19"/>
              </w:rPr>
              <w:t>Br.</w:t>
            </w:r>
          </w:p>
        </w:tc>
        <w:tc>
          <w:tcPr>
            <w:tcW w:type="dxa" w:w="3900"/>
            <w:shd w:fill="E8EEF5"/>
            <w:vAlign w:val="center"/>
            <w:tcMar>
              <w:top w:w="80" w:type="dxa"/>
              <w:start w:w="120" w:type="dxa"/>
              <w:bottom w:w="80" w:type="dxa"/>
              <w:end w:w="120" w:type="dxa"/>
            </w:tcMar>
          </w:tcPr>
          <w:p>
            <w:r>
              <w:rPr>
                <w:rFonts w:ascii="Calibri" w:hAnsi="Calibri"/>
                <w:b/>
                <w:color w:val="17324D"/>
                <w:sz w:val="19"/>
              </w:rPr>
              <w:t>Naziv</w:t>
            </w:r>
          </w:p>
        </w:tc>
        <w:tc>
          <w:tcPr>
            <w:tcW w:type="dxa" w:w="2350"/>
            <w:shd w:fill="E8EEF5"/>
            <w:vAlign w:val="center"/>
            <w:tcMar>
              <w:top w:w="80" w:type="dxa"/>
              <w:start w:w="120" w:type="dxa"/>
              <w:bottom w:w="80" w:type="dxa"/>
              <w:end w:w="120" w:type="dxa"/>
            </w:tcMar>
          </w:tcPr>
          <w:p>
            <w:r>
              <w:rPr>
                <w:rFonts w:ascii="Calibri" w:hAnsi="Calibri"/>
                <w:b/>
                <w:color w:val="17324D"/>
                <w:sz w:val="19"/>
              </w:rPr>
              <w:t>Status prava</w:t>
            </w:r>
          </w:p>
        </w:tc>
        <w:tc>
          <w:tcPr>
            <w:tcW w:type="dxa" w:w="2350"/>
            <w:shd w:fill="E8EEF5"/>
            <w:vAlign w:val="center"/>
            <w:tcMar>
              <w:top w:w="80" w:type="dxa"/>
              <w:start w:w="120" w:type="dxa"/>
              <w:bottom w:w="80" w:type="dxa"/>
              <w:end w:w="120" w:type="dxa"/>
            </w:tcMar>
          </w:tcPr>
          <w:p>
            <w:r>
              <w:rPr>
                <w:rFonts w:ascii="Calibri" w:hAnsi="Calibri"/>
                <w:b/>
                <w:color w:val="17324D"/>
                <w:sz w:val="19"/>
              </w:rPr>
              <w:t>Revizija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Društveni sustav</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Od podatka do poruke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Vinogradi u Baranji</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Misalalic / Wikimedia Commons / CC BY-SA 4.0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Plovilo Lučke kapetanije, Vukovar</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Ex13 / Wikimedia Commons / CC BY-SA 3.0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Gospodarski lanac vrijednosti</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Tvrdnja i dokaz</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7</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Demografska promjena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8</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Osijek uz Dravu</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Rp031 / Wikimedia Commons / CC BY-SA 4.0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9</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Jezik osjetljivih tema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10</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Mirna reintegracija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11</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Muzej vučedolske kulture</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Darkobilandzic / Wikimedia Commons / CC BY-SA 4.0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12</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Šetnica u Kopačkom ritu</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Misalalic / Wikimedia Commons / CC BY-SA 4.0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13</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Institucionalna mreža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14</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Javna politika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15</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Akademija za umjetnost i kulturu, Osijek</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Roko Poljak / Wikimedia Commons / CC BY-SA 4.0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16</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Ekosustav znanja</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17</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Stadion Gradski vrt, Osijek</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IvanOS / Wikimedia Commons / CC BY-SA 3.0</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18</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Vinkovačke jeseni</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IvanOS / Wikimedia Commons / CC BY-SA 3.0 HR</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licencija provjerena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19</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Događaj i itinerar</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8"/>
              </w:rPr>
              <w:t xml:space="preserve">20</w:t>
            </w:r>
          </w:p>
        </w:tc>
        <w:tc>
          <w:tcPr>
            <w:tcW w:type="dxa" w:w="3100"/>
            <w:vAlign w:val="top"/>
            <w:tcMar>
              <w:top w:w="80" w:type="dxa"/>
              <w:start w:w="120" w:type="dxa"/>
              <w:bottom w:w="80" w:type="dxa"/>
              <w:end w:w="120" w:type="dxa"/>
            </w:tcMar>
          </w:tcPr>
          <w:p>
            <w:pPr>
              <w:spacing w:after="40" w:line="259" w:lineRule="auto"/>
            </w:pPr>
            <w:r>
              <w:rPr>
                <w:rFonts w:ascii="Calibri" w:hAnsi="Calibri"/>
                <w:color w:val="222222"/>
                <w:sz w:val="18"/>
              </w:rPr>
              <w:t xml:space="preserve">Postaja od 90 sekundi</w:t>
            </w:r>
          </w:p>
        </w:tc>
        <w:tc>
          <w:tcPr>
            <w:tcW w:type="dxa" w:w="3800"/>
            <w:vAlign w:val="top"/>
            <w:tcMar>
              <w:top w:w="80" w:type="dxa"/>
              <w:start w:w="120" w:type="dxa"/>
              <w:bottom w:w="80" w:type="dxa"/>
              <w:end w:w="120" w:type="dxa"/>
            </w:tcMar>
          </w:tcPr>
          <w:p>
            <w:pPr>
              <w:spacing w:after="40" w:line="259" w:lineRule="auto"/>
            </w:pPr>
            <w:r>
              <w:rPr>
                <w:rFonts w:ascii="Calibri" w:hAnsi="Calibri"/>
                <w:color w:val="222222"/>
                <w:sz w:val="18"/>
              </w:rPr>
              <w:t xml:space="preserve">Izvorna shema; v0.9.1</w:t>
            </w:r>
          </w:p>
        </w:tc>
        <w:tc>
          <w:tcPr>
            <w:tcW w:type="dxa" w:w="1900"/>
            <w:vAlign w:val="top"/>
            <w:tcMar>
              <w:top w:w="80" w:type="dxa"/>
              <w:start w:w="120" w:type="dxa"/>
              <w:bottom w:w="80" w:type="dxa"/>
              <w:end w:w="120" w:type="dxa"/>
            </w:tcMar>
          </w:tcPr>
          <w:p>
            <w:pPr>
              <w:spacing w:after="40" w:line="259" w:lineRule="auto"/>
            </w:pPr>
            <w:r>
              <w:rPr>
                <w:rFonts w:ascii="Calibri" w:hAnsi="Calibri"/>
                <w:color w:val="222222"/>
                <w:sz w:val="18"/>
              </w:rPr>
              <w:t xml:space="preserve">provjeriti prije v1.0</w:t>
            </w:r>
          </w:p>
        </w:tc>
      </w:tr>
    </w:tbl>
    <w:p>
      <w:pPr>
        <w:pStyle w:val="Heading2"/>
        <w:keepNext/>
      </w:pPr>
      <w:r>
        <w:t>Trajne poveznice na izvore fotografija</w:t>
      </w:r>
    </w:p>
    <w:p>
      <w:pPr>
        <w:widowControl/>
      </w:pPr>
      <w:r>
        <w:t xml:space="preserve">Svih osam fotografija preuzeto je s Wikimedia Commonsa 30. kolovoza 2026. Poveznica je trajni identifikator datoteke; na njoj se nalaze puni podaci o autoru, licenciji i povijesti datoteke. Kod licencija CC BY i CC BY-SA obvezno je navesti autora, naziv licencije i poveznicu na njezin tekst, a kod CC BY-SA izvedeni se materijal dijeli pod istim uvjetima. Sheme (br. 1, 2, 5, 6, 7, 9, 10, 13, 14, 16, 19 i 20) izrađene su za ovaj dokument i nemaju vanjski izvor.</w:t>
      </w:r>
    </w:p>
    <w:tbl>
      <w:tblPr>
        <w:tblStyle w:val="TableGrid"/>
        <w:tblW w:type="dxa" w:w="9200"/>
        <w:jc w:val="left"/>
        <w:tblLayout w:type="fixed"/>
        <w:tblLook w:firstColumn="1" w:firstRow="1" w:lastColumn="0" w:lastRow="0" w:noHBand="0" w:noVBand="1" w:val="04A0"/>
        <w:tblInd w:w="120" w:type="dxa"/>
      </w:tblPr>
      <w:tblGrid>
        <w:gridCol w:w="600"/>
        <w:gridCol w:w="3900"/>
        <w:gridCol w:w="2350"/>
        <w:gridCol w:w="2350"/>
      </w:tblGrid>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Br.</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Ilustracija i trajna poveznica</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3</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Vinogradi u Baranji — https://commons.wikimedia.org/wiki/File:Wine_route_in_Baranja.jpg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4</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Plovilo Lučke kapetanije, Vukovar — https://commons.wikimedia.org/wiki/File:Brod_Sv._Bono_Vukovar.JPG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8</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Osijek uz Dravu — https://commons.wikimedia.org/wiki/File:Osijek_panorama_Gornji_grad.jpg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11</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Muzej vučedolske kulture — https://commons.wikimedia.org/wiki/File:Vucedol_Culture_Museum.jpg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12</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Šetnica u Kopačkom ritu — https://commons.wikimedia.org/wiki/File:Kopa%C4%8Dki_rit_wooden_trail.JPG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15</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Akademija za umjetnost i kulturu, Osijek — https://commons.wikimedia.org/wiki/File:Akademija_za_umjetnost_i_kulturu.jpg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17</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Stadion Gradski vrt, Osijek — https://commons.wikimedia.org/wiki/File:Gradski_vrt%2C_pogled_na_istok.jpg</w:t>
            </w:r>
          </w:p>
        </w:tc>
      </w:tr>
      <w:tr>
        <w:trPr>
          <w:cantSplit/>
        </w:trPr>
        <w:tc>
          <w:tcPr>
            <w:tcW w:type="dxa" w:w="620"/>
            <w:vAlign w:val="top"/>
            <w:tcMar>
              <w:top w:w="80" w:type="dxa"/>
              <w:start w:w="120" w:type="dxa"/>
              <w:bottom w:w="80" w:type="dxa"/>
              <w:end w:w="120" w:type="dxa"/>
            </w:tcMar>
          </w:tcPr>
          <w:p>
            <w:pPr>
              <w:spacing w:after="40" w:line="259" w:lineRule="auto"/>
            </w:pPr>
            <w:r>
              <w:rPr>
                <w:rFonts w:ascii="Calibri" w:hAnsi="Calibri"/>
                <w:color w:val="222222"/>
                <w:sz w:val="16"/>
              </w:rPr>
              <w:t xml:space="preserve">18</w:t>
            </w:r>
          </w:p>
        </w:tc>
        <w:tc>
          <w:tcPr>
            <w:tcW w:type="dxa" w:w="8800"/>
            <w:vAlign w:val="top"/>
            <w:tcMar>
              <w:top w:w="80" w:type="dxa"/>
              <w:start w:w="120" w:type="dxa"/>
              <w:bottom w:w="80" w:type="dxa"/>
              <w:end w:w="120" w:type="dxa"/>
            </w:tcMar>
          </w:tcPr>
          <w:p>
            <w:pPr>
              <w:spacing w:after="40" w:line="259" w:lineRule="auto"/>
            </w:pPr>
            <w:r>
              <w:rPr>
                <w:rFonts w:ascii="Calibri" w:hAnsi="Calibri"/>
                <w:color w:val="222222"/>
                <w:sz w:val="16"/>
              </w:rPr>
              <w:t xml:space="preserve">Vinkovačke jeseni — https://commons.wikimedia.org/wiki/File:Vinkova%C4%8Dke_jeseni_2023._%282%29.jpg</w:t>
            </w:r>
          </w:p>
        </w:tc>
      </w:tr>
    </w:tbl>
    <w:p>
      <w:pPr>
        <w:spacing w:after="20"/>
      </w:pPr>
    </w:p>
    <w:p>
      <w:r>
        <w:br w:type="page"/>
      </w:r>
    </w:p>
    <w:p>
      <w:pPr>
        <w:pStyle w:val="Heading1"/>
        <w:keepNext/>
      </w:pPr>
      <w:r>
        <w:t>Revizijska matrica za izdanje v1.0</w:t>
      </w:r>
    </w:p>
    <w:tbl>
      <w:tblPr>
        <w:tblStyle w:val="TableGrid"/>
        <w:tblW w:type="dxa" w:w="9200"/>
        <w:jc w:val="left"/>
        <w:tblLayout w:type="fixed"/>
        <w:tblLook w:firstColumn="1" w:firstRow="1" w:lastColumn="0" w:lastRow="0" w:noHBand="0" w:noVBand="1" w:val="04A0"/>
        <w:tblInd w:w="120" w:type="dxa"/>
      </w:tblPr>
      <w:tblGrid>
        <w:gridCol w:w="2500"/>
        <w:gridCol w:w="2800"/>
        <w:gridCol w:w="3900"/>
      </w:tblGrid>
      <w:tr>
        <w:trPr>
          <w:tblHeader w:val="true"/>
          <w:cantSplit/>
        </w:trPr>
        <w:tc>
          <w:tcPr>
            <w:tcW w:type="dxa" w:w="2500"/>
            <w:shd w:fill="E8EEF5"/>
            <w:vAlign w:val="center"/>
            <w:tcMar>
              <w:top w:w="80" w:type="dxa"/>
              <w:start w:w="120" w:type="dxa"/>
              <w:bottom w:w="80" w:type="dxa"/>
              <w:end w:w="120" w:type="dxa"/>
            </w:tcMar>
          </w:tcPr>
          <w:p>
            <w:r>
              <w:rPr>
                <w:rFonts w:ascii="Calibri" w:hAnsi="Calibri"/>
                <w:b/>
                <w:color w:val="17324D"/>
                <w:sz w:val="19"/>
              </w:rPr>
              <w:t>Područje audita</w:t>
            </w:r>
          </w:p>
        </w:tc>
        <w:tc>
          <w:tcPr>
            <w:tcW w:type="dxa" w:w="2800"/>
            <w:shd w:fill="E8EEF5"/>
            <w:vAlign w:val="center"/>
            <w:tcMar>
              <w:top w:w="80" w:type="dxa"/>
              <w:start w:w="120" w:type="dxa"/>
              <w:bottom w:w="80" w:type="dxa"/>
              <w:end w:w="120" w:type="dxa"/>
            </w:tcMar>
          </w:tcPr>
          <w:p>
            <w:r>
              <w:rPr>
                <w:rFonts w:ascii="Calibri" w:hAnsi="Calibri"/>
                <w:b/>
                <w:color w:val="17324D"/>
                <w:sz w:val="19"/>
              </w:rPr>
              <w:t>Provjerava</w:t>
            </w:r>
          </w:p>
        </w:tc>
        <w:tc>
          <w:tcPr>
            <w:tcW w:type="dxa" w:w="3900"/>
            <w:shd w:fill="E8EEF5"/>
            <w:vAlign w:val="center"/>
            <w:tcMar>
              <w:top w:w="80" w:type="dxa"/>
              <w:start w:w="120" w:type="dxa"/>
              <w:bottom w:w="80" w:type="dxa"/>
              <w:end w:w="120" w:type="dxa"/>
            </w:tcMar>
          </w:tcPr>
          <w:p>
            <w:r>
              <w:rPr>
                <w:rFonts w:ascii="Calibri" w:hAnsi="Calibri"/>
                <w:b/>
                <w:color w:val="17324D"/>
                <w:sz w:val="19"/>
              </w:rPr>
              <w:t>Kriterij prihvaćanja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Gospodarstvo i turizam</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ekonomist + stručnjak turizma/logistike</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usporedivi pokazatelji, točni lanci vrijednosti, datirani izvori i provedive tvrdnje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Demografija i društvo</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demograf + sociolog</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ispravne definicije, prostorne razine, multiperspektivnost i nema stereotipa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Uprava, prava i reintegracija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pravnik + politolog/javna uprava + relevantni povjesničar</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točne nadležnosti, pravni okvir, kronologija, neutralan ton i jasna granica modula</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Obrazovanje, znanost i ustanove</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predstavnici ustanova + stručnjak visokog obrazovanja</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važeći nazivi/statusi, funkcije, dokazi rada, prava i kontakti</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Sport i događanja</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sportski stručnjak + organizator + sigurnost</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točni rezultati, aktualan kalendar, kapacitet, pristup, promet i plan B</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Interpretacija i turizam</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turistički vodič + interpretacijski metodičar</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vidljiv trag, jasna poruka, prilagodba publici, izvori iza izvedbe</w:t>
            </w:r>
          </w:p>
        </w:tc>
      </w:tr>
      <w:tr>
        <w:trPr>
          <w:cantSplit/>
        </w:trPr>
        <w:tc>
          <w:tcPr>
            <w:tcW w:type="dxa" w:w="2500"/>
            <w:vAlign w:val="top"/>
            <w:tcMar>
              <w:top w:w="80" w:type="dxa"/>
              <w:start w:w="120" w:type="dxa"/>
              <w:bottom w:w="80" w:type="dxa"/>
              <w:end w:w="120" w:type="dxa"/>
            </w:tcMar>
          </w:tcPr>
          <w:p>
            <w:pPr>
              <w:spacing w:after="40" w:line="259" w:lineRule="auto"/>
            </w:pPr>
            <w:r>
              <w:rPr>
                <w:rFonts w:ascii="Calibri" w:hAnsi="Calibri"/>
                <w:color w:val="222222"/>
                <w:sz w:val="18"/>
              </w:rPr>
              <w:t>Jezik, vizuali i pristupačnost</w:t>
            </w:r>
          </w:p>
        </w:tc>
        <w:tc>
          <w:tcPr>
            <w:tcW w:type="dxa" w:w="2800"/>
            <w:vAlign w:val="top"/>
            <w:tcMar>
              <w:top w:w="80" w:type="dxa"/>
              <w:start w:w="120" w:type="dxa"/>
              <w:bottom w:w="80" w:type="dxa"/>
              <w:end w:w="120" w:type="dxa"/>
            </w:tcMar>
          </w:tcPr>
          <w:p>
            <w:pPr>
              <w:spacing w:after="40" w:line="259" w:lineRule="auto"/>
            </w:pPr>
            <w:r>
              <w:rPr>
                <w:rFonts w:ascii="Calibri" w:hAnsi="Calibri"/>
                <w:color w:val="222222"/>
                <w:sz w:val="18"/>
              </w:rPr>
              <w:t>lektor + dizajner + stručnjak pristupačnosti</w:t>
            </w:r>
          </w:p>
        </w:tc>
        <w:tc>
          <w:tcPr>
            <w:tcW w:type="dxa" w:w="3900"/>
            <w:vAlign w:val="top"/>
            <w:tcMar>
              <w:top w:w="80" w:type="dxa"/>
              <w:start w:w="120" w:type="dxa"/>
              <w:bottom w:w="80" w:type="dxa"/>
              <w:end w:w="120" w:type="dxa"/>
            </w:tcMar>
          </w:tcPr>
          <w:p>
            <w:pPr>
              <w:spacing w:after="40" w:line="259" w:lineRule="auto"/>
            </w:pPr>
            <w:r>
              <w:rPr>
                <w:rFonts w:ascii="Calibri" w:hAnsi="Calibri"/>
                <w:color w:val="222222"/>
                <w:sz w:val="18"/>
              </w:rPr>
              <w:t>standardni hrvatski, čitljivost, alt-opisi, hijerarhija i jednakovrijedne alternative; kod fotografija provjeren autor, licencija, trajna poveznica i to da natpis ne sugerira brojčani zaključak</w:t>
            </w:r>
          </w:p>
        </w:tc>
      </w:tr>
    </w:tbl>
    <w:p>
      <w:pPr>
        <w:spacing w:after="20"/>
      </w:pPr>
    </w:p>
    <w:p>
      <w:pPr>
        <w:spacing w:before="120" w:after="160" w:line="283" w:lineRule="auto"/>
        <w:ind w:left="202" w:right="115"/>
        <w:shd w:fill="FBF5E8"/>
        <w:pBdr>
          <w:left w:val="single" w:sz="18" w:space="8" w:color="B78727"/>
        </w:pBdr>
      </w:pPr>
      <w:r>
        <w:rPr>
          <w:rFonts w:ascii="Calibri" w:hAnsi="Calibri"/>
          <w:b/>
          <w:color w:val="B78727"/>
          <w:sz w:val="19"/>
        </w:rPr>
        <w:t xml:space="preserve">ODLUKA ZA OBJAVU  </w:t>
      </w:r>
      <w:r>
        <w:rPr>
          <w:rFonts w:ascii="Calibri" w:hAnsi="Calibri"/>
          <w:b/>
          <w:color w:val="17324D"/>
          <w:sz w:val="21"/>
        </w:rPr>
        <w:t>Oznaka v1.0 dopuštena je nakon zatvaranja svih revizijskih stavki i evidentiranja recenzenata, datuma, verzija izvora, dopuštenja i uredničkih odluka. Neriješen broj ili aktualni program zamjenjuje se metodom provjere, ne pretpostavkom.</w:t>
      </w:r>
    </w:p>
    <w:p>
      <w:pPr>
        <w:pStyle w:val="Heading2"/>
        <w:keepNext/>
      </w:pPr>
      <w:r>
        <w:t>Kontrolna lista pristupačnosti</w:t>
      </w:r>
    </w:p>
    <w:p>
      <w:pPr>
        <w:numPr>
          <w:ilvl w:val="0"/>
          <w:numId w:val="10"/>
        </w:numPr>
      </w:pPr>
      <w:r>
        <w:t>Svaka ilustracija ima tekstualni opis; boja nije jedini nositelj značenja.</w:t>
      </w:r>
    </w:p>
    <w:p>
      <w:pPr>
        <w:numPr>
          <w:ilvl w:val="0"/>
          <w:numId w:val="10"/>
        </w:numPr>
      </w:pPr>
      <w:r>
        <w:t>Naslovi imaju pravilnu hijerarhiju; tablice su jednostavne i imaju ponovljena zaglavlja.</w:t>
      </w:r>
    </w:p>
    <w:p>
      <w:pPr>
        <w:numPr>
          <w:ilvl w:val="0"/>
          <w:numId w:val="10"/>
        </w:numPr>
      </w:pPr>
      <w:r>
        <w:t>Brojevi se izgovaraju s jedinicom i objašnjenjem; ne oslanja se samo na vizualni graf.</w:t>
      </w:r>
    </w:p>
    <w:p>
      <w:pPr>
        <w:numPr>
          <w:ilvl w:val="0"/>
          <w:numId w:val="10"/>
        </w:numPr>
      </w:pPr>
      <w:r>
        <w:t>Posjet ustanovi i događaju ima pristupačan ulaz ili jednakovrijednu zamjenu.</w:t>
      </w:r>
    </w:p>
    <w:p>
      <w:pPr>
        <w:numPr>
          <w:ilvl w:val="0"/>
          <w:numId w:val="10"/>
        </w:numPr>
      </w:pPr>
      <w:r>
        <w:t>Audio/video sadržaj ima titlove, transkript i opis relevantnog zvuka ili pokreta.</w:t>
      </w:r>
    </w:p>
    <w:p>
      <w:pPr>
        <w:numPr>
          <w:ilvl w:val="0"/>
          <w:numId w:val="10"/>
        </w:numPr>
      </w:pPr>
      <w:r>
        <w:t>Konačni PDF/HTML provjerava se tipkovnicom i čitačem zaslona nakon izvoza.</w:t>
      </w:r>
    </w:p>
    <w:sectPr w:rsidR="00FC693F" w:rsidRPr="0006063C" w:rsidSect="00034616">
      <w:headerReference w:type="default" r:id="rId9"/>
      <w:footerReference w:type="default" r:id="rId10"/>
      <w:pgSz w:w="12240" w:h="15840"/>
      <w:pgMar w:top="1123" w:right="1238" w:bottom="1037"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R4 · Društveno okruženje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6"/>
      </w:rPr>
      <w:t>POSEBNI PROGRAM · REGIJA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R4 – Društveno okruženje Regije I</dc:title>
  <dc:subject>Posebni program za turističke vodiče – Regija I</dc:subject>
  <dc:creator>Razvojni urednički tim</dc:creator>
  <cp:keywords>Regija I, R4, gospodarstvo, demografija, institucije, sport, manifestacije, interpretacija</cp:keywords>
  <dc:description>Kanonski tekst v0.9 za stručnu reviziju</dc:description>
  <cp:lastModifiedBy/>
  <cp:revision>1</cp:revision>
  <dcterms:created xsi:type="dcterms:W3CDTF">2013-12-23T23:15:00Z</dcterms:created>
  <dcterms:modified xsi:type="dcterms:W3CDTF">2013-12-23T23:15:00Z</dcterms:modified>
  <cp:category/>
</cp:coreProperties>
</file>