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B78727"/>
          <w:sz w:val="20"/>
        </w:rPr>
        <w:t>POSEBNI DIO STRUČNOG ISPITA ZA TURISTIČKOG VODIČA</w:t>
      </w:r>
    </w:p>
    <w:p>
      <w:pPr>
        <w:spacing w:after="100"/>
        <w:jc w:val="center"/>
      </w:pPr>
      <w:r>
        <w:rPr>
          <w:rFonts w:ascii="Calibri" w:hAnsi="Calibri"/>
          <w:b/>
          <w:color w:val="B78727"/>
          <w:sz w:val="72"/>
        </w:rPr>
        <w:t>R3</w:t>
      </w:r>
    </w:p>
    <w:p>
      <w:pPr>
        <w:spacing w:after="300"/>
        <w:jc w:val="center"/>
      </w:pPr>
      <w:r>
        <w:rPr>
          <w:rFonts w:ascii="Calibri" w:hAnsi="Calibri"/>
          <w:b/>
          <w:color w:val="17324D"/>
          <w:sz w:val="48"/>
        </w:rPr>
        <w:t>Kulturno okruženje Regije I.</w:t>
        <w:br/>
        <w:t>i nematerijalna baština</w:t>
      </w:r>
    </w:p>
    <w:p>
      <w:pPr>
        <w:spacing w:after="840"/>
        <w:jc w:val="center"/>
      </w:pPr>
      <w:r>
        <w:rPr>
          <w:rFonts w:ascii="Calibri" w:hAnsi="Calibri"/>
          <w:color w:val="667085"/>
          <w:sz w:val="21"/>
        </w:rPr>
        <w:t>Bjelovarsko-bilogorska · Brodsko-posavska · Osječko-baranjska · Požeško-slavonska · Virovitičko-podravska · Vukovarsko-srijemska županija</w:t>
      </w:r>
    </w:p>
    <w:p>
      <w:pPr>
        <w:jc w:val="center"/>
      </w:pPr>
      <w:r>
        <w:rPr>
          <w:rFonts w:ascii="Calibri" w:hAnsi="Calibri"/>
          <w:b/>
          <w:color w:val="9B1C1C"/>
          <w:sz w:val="22"/>
        </w:rPr>
        <w:t>KANONSKI TEKST · v0.9.1 ZA STRUČNU REVIZIJU</w:t>
      </w:r>
    </w:p>
    <w:p>
      <w:pPr>
        <w:jc w:val="center"/>
      </w:pPr>
      <w:r>
        <w:rPr>
          <w:rFonts w:ascii="Calibri" w:hAnsi="Calibri"/>
          <w:color w:val="667085"/>
          <w:sz w:val="20"/>
        </w:rPr>
        <w:t>kolovoz 2026.</w:t>
      </w:r>
    </w:p>
    <w:p>
      <w:r>
        <w:br w:type="page"/>
      </w:r>
    </w:p>
    <w:p>
      <w:pPr>
        <w:pStyle w:val="Heading1"/>
        <w:keepNext/>
      </w:pPr>
      <w:r>
        <w:t>Nakladnička i revizijska napomena</w:t>
      </w: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STATUS DOKUMENTA  </w:t>
      </w:r>
      <w:r>
        <w:rPr>
          <w:rFonts w:ascii="Calibri" w:hAnsi="Calibri"/>
          <w:b/>
          <w:color w:val="17324D"/>
          <w:sz w:val="21"/>
        </w:rPr>
        <w:t>Verzija v0.9.1 donosi uredničku reviziju i prošireni fotografski aparat: uz izvorne sheme dodane su fotografije regionalnih lokaliteta i javnih izvedbi iz slobodno licenciranih izvora. Razvojna verzija postaje v1.0 nakon povijesnoumjetničkog, etnološkog, konzervatorskog, enogastronomskog, pravnog, jezičnog i ilustracijskog audita. Aktualne programe manifestacija, pravila posjeta, registrirane oznake i uvjete degustacije treba ponovno provjeriti neposredno prije objave i svake izvedbe.</w:t>
      </w:r>
    </w:p>
    <w:p>
      <w:pPr>
        <w:widowControl/>
      </w:pPr>
      <w:r>
        <w:t>Ovaj kanonski tekst pripada zasebnoj platformi Posebnog programa za Regiju I. Njegova je svrha osposobiti kandidata da gradnju, predmet, književni trag, izvedbu, okus i svakodnevnu praksu poveže s mjestom i ljudima – bez pretvaranja kulture u statičan popis „znamenitosti”.</w:t>
      </w:r>
    </w:p>
    <w:p>
      <w:pPr>
        <w:widowControl/>
      </w:pPr>
      <w:r>
        <w:t>Sadržaj slijedi pet cjelina iz Programa: graditeljsku; likovnu i književnu; nematerijalnu; enogastronomsku baštinu; te svakodnevnu kulturu života i rada. Svaka cjelina završava odgovorom na pitanje „što od ovoga i kako ide u vođenje” i zadatkom za portfelj.</w:t>
      </w:r>
    </w:p>
    <w:p>
      <w:pPr>
        <w:widowControl/>
      </w:pPr>
      <w:r>
        <w:t>Živa baština pripada zajednicama koje je stvaraju, održavaju i prenose. Vodič ne prisvaja njihov glas, ne glumi „autentičnost” i ne zamjenjuje složenu praksu scenskom slikom. Pristanak, atribucija, kontekst, dostojanstvo i pravo na neizlaganje dio su stručne kvalitete.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550"/>
        <w:gridCol w:w="3700"/>
      </w:tblGrid>
      <w:tr>
        <w:trPr>
          <w:tblHeader w:val="true"/>
          <w:cantSplit/>
        </w:trPr>
        <w:tc>
          <w:tcPr>
            <w:tcW w:type="dxa" w:w="1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Razina sadržaja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Što znači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Obveza vodiča</w:t>
            </w:r>
          </w:p>
        </w:tc>
      </w:tr>
      <w:tr>
        <w:trPr>
          <w:cantSplit/>
        </w:trP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PROVJERLJIVA ČINJENICA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Datacija, autorstvo, status ili naziv potvrđen službenim/stručnim izvorom.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Navesti izvor i označiti nesigurnost.</w:t>
            </w:r>
          </w:p>
        </w:tc>
      </w:tr>
      <w:tr>
        <w:trPr>
          <w:cantSplit/>
        </w:trP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GLAS ZAJEDNICE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Samorazumijevanje, sjećanje ili praksa koju prenose nositelji.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Tražiti pristanak, pripisati izvor i ne generalizirati.</w:t>
            </w:r>
          </w:p>
        </w:tc>
      </w:tr>
      <w:tr>
        <w:trPr>
          <w:cantSplit/>
        </w:trP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INTERPRETACIJA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Odabir veze i poruke za publiku.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Odvojiti metaforu i osobni zaključak od činjenice.</w:t>
            </w:r>
          </w:p>
        </w:tc>
      </w:tr>
      <w:tr>
        <w:trPr>
          <w:cantSplit/>
        </w:trP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OPERATIVNI UVJET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Promjenjiv program, pristup, kušanje, fotografiranje ili bogoslužje.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Provjeriti neposredno prije dolaska.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Sadržaj i programska satnica</w:t>
      </w:r>
    </w:p>
    <w:p>
      <w:pPr>
        <w:numPr>
          <w:ilvl w:val="0"/>
          <w:numId w:val="11"/>
        </w:numPr>
      </w:pPr>
      <w:r>
        <w:t>Polazišta, ishod i interpretacijska okosnica</w:t>
      </w:r>
    </w:p>
    <w:p>
      <w:pPr>
        <w:numPr>
          <w:ilvl w:val="0"/>
          <w:numId w:val="11"/>
        </w:numPr>
      </w:pPr>
      <w:r>
        <w:t>R3.1 Graditeljska baština</w:t>
      </w:r>
    </w:p>
    <w:p>
      <w:pPr>
        <w:numPr>
          <w:ilvl w:val="0"/>
          <w:numId w:val="11"/>
        </w:numPr>
      </w:pPr>
      <w:r>
        <w:t>R3.2 Likovna i književna baština</w:t>
      </w:r>
    </w:p>
    <w:p>
      <w:pPr>
        <w:numPr>
          <w:ilvl w:val="0"/>
          <w:numId w:val="11"/>
        </w:numPr>
      </w:pPr>
      <w:r>
        <w:t>R3.3 Nematerijalna baština</w:t>
      </w:r>
    </w:p>
    <w:p>
      <w:pPr>
        <w:numPr>
          <w:ilvl w:val="0"/>
          <w:numId w:val="11"/>
        </w:numPr>
      </w:pPr>
      <w:r>
        <w:t>R3.4 Enogastronomija</w:t>
      </w:r>
    </w:p>
    <w:p>
      <w:pPr>
        <w:numPr>
          <w:ilvl w:val="0"/>
          <w:numId w:val="11"/>
        </w:numPr>
      </w:pPr>
      <w:r>
        <w:t>R3.5 Svakodnevna kultura života i rada</w:t>
      </w:r>
    </w:p>
    <w:p>
      <w:pPr>
        <w:numPr>
          <w:ilvl w:val="0"/>
          <w:numId w:val="11"/>
        </w:numPr>
      </w:pPr>
      <w:r>
        <w:t>Sinteza, zadaci, pitanja i vrednovanje</w:t>
      </w:r>
    </w:p>
    <w:p>
      <w:pPr>
        <w:numPr>
          <w:ilvl w:val="0"/>
          <w:numId w:val="11"/>
        </w:numPr>
      </w:pPr>
      <w:r>
        <w:t>Izvori, prava i revizijska matrica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00"/>
        <w:gridCol w:w="750"/>
        <w:gridCol w:w="235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Cjelina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Tema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Sati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R3.1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Barokna sakralna arhitektura, historicizam, tvrđave, jezgre, dvorci i ruralna gradnja</w:t>
            </w:r>
          </w:p>
        </w:tc>
        <w:tc>
          <w:tcPr>
            <w:tcW w:type="dxa" w:w="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+ vizualna analiza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R3.2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Crkveni inventar, muzeji, galerije, književnici i kulturni djelatnici</w:t>
            </w:r>
          </w:p>
        </w:tc>
        <w:tc>
          <w:tcPr>
            <w:tcW w:type="dxa" w:w="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+ posjet ustanovi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R3.3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Bećarac, ljelje, tambura, smotre, običaji, nošnje i vez</w:t>
            </w:r>
          </w:p>
        </w:tc>
        <w:tc>
          <w:tcPr>
            <w:tcW w:type="dxa" w:w="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+ audio/video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R3.4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Zaštićeni proizvodi, jela, vinogorja, Graševina i podrumska interpretacija</w:t>
            </w:r>
          </w:p>
        </w:tc>
        <w:tc>
          <w:tcPr>
            <w:tcW w:type="dxa" w:w="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+ degustacijski prikaz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R3.5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Poljodjelstvo, salaši, zavičajne zajednice, manjine i suvremeni kulturni život</w:t>
            </w:r>
          </w:p>
        </w:tc>
        <w:tc>
          <w:tcPr>
            <w:tcW w:type="dxa" w:w="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+ etnografski primjeri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MINIMALNI STANDARD IZVEDBE  </w:t>
      </w:r>
      <w:r>
        <w:rPr>
          <w:rFonts w:ascii="Calibri" w:hAnsi="Calibri"/>
          <w:b/>
          <w:color w:val="17324D"/>
          <w:sz w:val="21"/>
        </w:rPr>
        <w:t>Preporučuje se najmanje 4 sata uživo te najmanje 2 sata u muzeju, zbirci, kulturnoj ustanovi, kod nositelja žive baštine ili u drugom prikladnom terenskom okruženju.</w:t>
      </w:r>
    </w:p>
    <w:p>
      <w:r>
        <w:br w:type="page"/>
      </w:r>
    </w:p>
    <w:p>
      <w:pPr>
        <w:pStyle w:val="Heading1"/>
        <w:keepNext/>
      </w:pPr>
      <w:r>
        <w:t>Polazišta, ishod i interpretacijska okosnica</w:t>
      </w: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SREDIŠNJA PORUKA  </w:t>
      </w:r>
      <w:r>
        <w:rPr>
          <w:rFonts w:ascii="Calibri" w:hAnsi="Calibri"/>
          <w:b/>
          <w:color w:val="17324D"/>
          <w:sz w:val="21"/>
        </w:rPr>
        <w:t>Kulturno okruženje Regije I nastaje u odnosu prostora, zajednica i vremena. Građevina, predmet, riječ, pjesma, ophod, jelo i rad nisu izolirani eksponati nego tragovi načina na koji ljudi stvaraju značenje i prenose ga dalje.</w:t>
      </w:r>
    </w:p>
    <w:p>
      <w:pPr>
        <w:pStyle w:val="Heading2"/>
        <w:keepNext/>
      </w:pPr>
      <w:r>
        <w:t>Ishod R3</w:t>
      </w:r>
    </w:p>
    <w:p>
      <w:pPr>
        <w:widowControl/>
      </w:pPr>
      <w:r>
        <w:t>Kandidat prezentira kulturno okruženje Regije I u smislu kolektivnih i osobnih dostignuća u umjetnosti, običajima, folkloru, enogastronomiji i tradiciji. U izvedbi razdvaja činjenicu, glas nositelja i vlastitu interpretaciju; prilagođava poruku publici; poštuje sakralni prostor, autorska prava, privatnost i pravila domaćina.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8207"/>
            <wp:docPr id="1" name="Picture 1" descr="Slika 1. Kulturno okruženje kao mreža materijalnih i živih odnosa." title="Slika 1. Kulturno okruženje kao mreža materijalnih i živih odno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ulturni_sust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1. Kulturno okruženje kao mreža materijalnih i živih odnosa.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Šest pitanja na svakoj kulturnoj postaji</w:t>
      </w:r>
    </w:p>
    <w:p>
      <w:pPr>
        <w:numPr>
          <w:ilvl w:val="0"/>
          <w:numId w:val="10"/>
        </w:numPr>
      </w:pPr>
      <w:r>
        <w:t>Što publika može izravno opaziti?</w:t>
      </w:r>
    </w:p>
    <w:p>
      <w:pPr>
        <w:numPr>
          <w:ilvl w:val="0"/>
          <w:numId w:val="10"/>
        </w:numPr>
      </w:pPr>
      <w:r>
        <w:t>Tko je autor, nositelj, korisnik ili izvor znanja?</w:t>
      </w:r>
    </w:p>
    <w:p>
      <w:pPr>
        <w:numPr>
          <w:ilvl w:val="0"/>
          <w:numId w:val="10"/>
        </w:numPr>
      </w:pPr>
      <w:r>
        <w:t>Koja je funkcija sadržaja u izvornom i današnjem kontekstu?</w:t>
      </w:r>
    </w:p>
    <w:p>
      <w:pPr>
        <w:numPr>
          <w:ilvl w:val="0"/>
          <w:numId w:val="10"/>
        </w:numPr>
      </w:pPr>
      <w:r>
        <w:t>Što je potvrđena činjenica, a što tumačenje ili sjećanje?</w:t>
      </w:r>
    </w:p>
    <w:p>
      <w:pPr>
        <w:numPr>
          <w:ilvl w:val="0"/>
          <w:numId w:val="10"/>
        </w:numPr>
      </w:pPr>
      <w:r>
        <w:t>Čije glasove ne čujemo i kako izbjeći stereotip?</w:t>
      </w:r>
    </w:p>
    <w:p>
      <w:pPr>
        <w:numPr>
          <w:ilvl w:val="0"/>
          <w:numId w:val="10"/>
        </w:numPr>
      </w:pPr>
      <w:r>
        <w:t>Koju jednu poruku i pitanje publika nosi dalje?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R3.1</w:t>
      </w:r>
    </w:p>
    <w:p>
      <w:pPr>
        <w:pStyle w:val="Heading1"/>
        <w:spacing w:before="40"/>
      </w:pPr>
      <w:r>
        <w:t>Graditeljska baština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 rada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Ishod cjeline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sata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· vizualna analiza · rad na lokalitetu</w:t>
            </w:r>
          </w:p>
        </w:tc>
        <w:tc>
          <w:tcPr>
            <w:tcW w:type="dxa" w:w="5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kulturni sadržaj u točnu, uključivu i etičnu interpretaciju na lokalitetu.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KLJUČNA PORUKA  </w:t>
      </w:r>
      <w:r>
        <w:rPr>
          <w:rFonts w:ascii="Calibri" w:hAnsi="Calibri"/>
          <w:b/>
          <w:color w:val="17324D"/>
          <w:sz w:val="21"/>
        </w:rPr>
        <w:t>Građevina se ne tumači samo stilom. Vodič čita odnos namjene, prostora, materijala, konstrukcije, oblikovanja, pregradnji, zaštite i današnje uporabe.</w:t>
      </w:r>
    </w:p>
    <w:p>
      <w:pPr>
        <w:pStyle w:val="Heading2"/>
        <w:keepNext/>
      </w:pPr>
      <w:r>
        <w:t>Obvezna početna mreža lokaliteta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650"/>
      </w:tblGrid>
      <w:tr>
        <w:trPr>
          <w:tblHeader w:val="true"/>
          <w:cantSplit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Prostorni tip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Primjeri za izbor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Interpretacijsko pitanje</w:t>
            </w:r>
          </w:p>
        </w:tc>
      </w:tr>
      <w:tr>
        <w:trPr>
          <w:cantSplit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Tvrđavni i gradski sklop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Tvrđa u Osijeku; Tvrđava Brod; povijesne jezgre Bjelovara, Daruvara, Požege, Virovitice i Iloka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Kako obrana, uprava, trgovina i svakodnevica dijele isti prostor?</w:t>
            </w:r>
          </w:p>
        </w:tc>
      </w:tr>
      <w:tr>
        <w:trPr>
          <w:cantSplit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Sakralna arhitektura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barokne crkve Slavonije; katedrala sv. Petra u Đakovu; katedralni i samostanski sklopovi regije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Kako obred, reprezentacija, akustika i urbanizam oblikuju doživljaj?</w:t>
            </w:r>
          </w:p>
        </w:tc>
      </w:tr>
      <w:tr>
        <w:trPr>
          <w:cantSplit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Dvorci i rezidencije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Daruvar – dvorac Janković; Virovitica – dvorac Pejačević; drugi potvrđeni primjeri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Kako se privatna moć, gospodarstvo i javna namjena mijenjaju?</w:t>
            </w:r>
          </w:p>
        </w:tc>
      </w:tr>
      <w:tr>
        <w:trPr>
          <w:cantSplit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Ruralna gradnja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panonska kuća, okućnica, gospodarske zgrade i naselje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Kako raspored prostora prati rad, obitelj, klimu i dostupne materijale?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Metoda vizualnog čitanja</w:t>
      </w:r>
    </w:p>
    <w:p>
      <w:pPr>
        <w:widowControl/>
      </w:pPr>
      <w:r>
        <w:t>Prva rečenica mora proizaći iz opažanja, ne iz etikete stila. Kandidat opisuje masu, tlocrtni slijed, pročelje, otvor, svod, toranj, materijal, trag dogradnje ili odnos zgrade i ulice. Tek zatim provjerava dataciju, autora, naručitelja i termin u stručnoj literaturi. Time izbjegava čestu pogrešku „staro = barokno”.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7173" cy="3700000"/>
            <wp:docPr id="301" name="Picture 301" descr="Slika 2. Dvorac Pejačević u Virovitici – vlastelinska rezidencija kao prostorni tip." title="Slika 2. Dvorac Pejačević u Virovitici – vlastelinska rezidencija kao prostorni t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7173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2. Dvorac Pejačević u Virovitici – vlastelinska rezidencija kao prostorni tip.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Tournasol7,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50000" cy="3700000"/>
            <wp:docPr id="302" name="Picture 302" descr="Slika 3. Panonska kuća u Karancu – ulično pročelje, dvorišni niz i ograda kao dio istoga sklopa." title="Slika 3. Panonska kuća u Karancu – ulično pročelje, dvorišni niz i ograda kao dio istoga sklo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000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3. Panonska kuća u Karancu – ulično pročelje, dvorišni niz i ograda kao dio istoga sklopa.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Roland Puskaric, Wikimedia Commons, CC0.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3200"/>
            <wp:docPr id="2" name="Picture 2" descr="Slika 4. Metoda vizualnog čitanja građevine." title="Slika 4. Metoda vizualnog čitanja građev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zualno_citanj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4. Metoda vizualnog čitanja građevine.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37186"/>
            <wp:docPr id="3" name="Picture 3" descr="Slika 5. Različiti tipovi prostora traže različita interpretacijska pitanja." title="Slika 5. Različiti tipovi prostora traže različita interpretacijska pitan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pologije_gradnj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3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5. Različiti tipovi prostora traže različita interpretacijska pitanja.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tipološka shema.</w:t>
      </w:r>
    </w:p>
    <w:p>
      <w:pPr>
        <w:pStyle w:val="Heading2"/>
        <w:keepNext/>
      </w:pPr>
      <w:r>
        <w:t>Barok, historicizam i slojevi</w:t>
      </w:r>
    </w:p>
    <w:p>
      <w:pPr>
        <w:widowControl/>
      </w:pPr>
      <w:r>
        <w:t>Barokna sakralna arhitektura tumači se kroz prostornu dramaturgiju, svjetlo, pokret, oltarnu cjelinu i odnos s obredom. Đakovačka katedrala važna je za čitanje historicizma, biskupskog projekta i urbanog znaka. Tvrđe Osijeka i Slavonskog Broda uspoređuju se kao vojni i urbani sustavi, a ne kao kulise. Datacije, atribucije i naziv stila moraju se provjeriti po konkretnom objektu; obnova i prenamjena dio su njegove biografije.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45981" cy="3700000"/>
            <wp:docPr id="303" name="Picture 303" descr="Slika 6. Osječka Tvrđa – vrata, zemljani nasipi i bastionski sustav uz gradsku jezgru." title="Slika 6. Osječka Tvrđa – vrata, zemljani nasipi i bastionski sustav uz gradsku jezgr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5981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6. Osječka Tvrđa – vrata, zemljani nasipi i bastionski sustav uz gradsku jezgru.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Pudelek,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3333" cy="3700000"/>
            <wp:docPr id="304" name="Picture 304" descr="Slika 7. Katedrala sv. Petra u Đakovu – historicistički projekt kao urbani znak." title="Slika 7. Katedrala sv. Petra u Đakovu – historicistički projekt kao urbani zna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7. Katedrala sv. Petra u Đakovu – historicistički projekt kao urbani znak.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Christian Thieltges, Wikimedia Commons, CC BY-SA 3.0.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80616"/>
            <wp:docPr id="4" name="Picture 4" descr="Slika 8. Građevina kao slojevita biografija." title="Slika 8. Građevina kao slojevita biografi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lojevi_gradjev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8. Građevina kao slojevita biografija.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Sakralni i zaštićeni prostor</w:t>
      </w:r>
    </w:p>
    <w:p>
      <w:pPr>
        <w:numPr>
          <w:ilvl w:val="0"/>
          <w:numId w:val="10"/>
        </w:numPr>
      </w:pPr>
      <w:r>
        <w:t>Potvrditi bogoslužje, dopušten ulaz, odijevanje, fotografiranje i kretanje skupine.</w:t>
      </w:r>
    </w:p>
    <w:p>
      <w:pPr>
        <w:numPr>
          <w:ilvl w:val="0"/>
          <w:numId w:val="10"/>
        </w:numPr>
      </w:pPr>
      <w:r>
        <w:t>Ne prekidati molitvu i ne tretirati liturgijski predmet kao dekoraciju.</w:t>
      </w:r>
    </w:p>
    <w:p>
      <w:pPr>
        <w:numPr>
          <w:ilvl w:val="0"/>
          <w:numId w:val="10"/>
        </w:numPr>
      </w:pPr>
      <w:r>
        <w:t>Konzervatorsku intervenciju tumačiti samo uz provjeren opis; ne zaključivati iz boje ili novog izgleda.</w:t>
      </w:r>
    </w:p>
    <w:p>
      <w:pPr>
        <w:numPr>
          <w:ilvl w:val="0"/>
          <w:numId w:val="10"/>
        </w:numPr>
      </w:pPr>
      <w:r>
        <w:t>Dostupnost osobama smanjene pokretljivosti i plan B provjeriti prije dolaska.</w:t>
      </w:r>
    </w:p>
    <w:p>
      <w:pPr>
        <w:pStyle w:val="Heading2"/>
        <w:keepNext/>
      </w:pPr>
      <w:r>
        <w:t>Što od ovoga i kako ide u vođenje</w:t>
      </w:r>
    </w:p>
    <w:p>
      <w:pPr>
        <w:numPr>
          <w:ilvl w:val="0"/>
          <w:numId w:val="10"/>
        </w:numPr>
      </w:pPr>
      <w:r>
        <w:t>Počnite jednim vidljivim detaljem pa otvorite funkciju i društveni kontekst.</w:t>
      </w:r>
    </w:p>
    <w:p>
      <w:pPr>
        <w:numPr>
          <w:ilvl w:val="0"/>
          <w:numId w:val="10"/>
        </w:numPr>
      </w:pPr>
      <w:r>
        <w:t>Usporedite tvrđavu, katedralu, dvorac i kuću prema svrsi, kretanju i korisnicima.</w:t>
      </w:r>
    </w:p>
    <w:p>
      <w:pPr>
        <w:numPr>
          <w:ilvl w:val="0"/>
          <w:numId w:val="10"/>
        </w:numPr>
      </w:pPr>
      <w:r>
        <w:t>Ne skrivajte slojeve: pregradnja i prenamjena mogu biti nosivi dio priče.</w:t>
      </w:r>
    </w:p>
    <w:p>
      <w:pPr>
        <w:numPr>
          <w:ilvl w:val="0"/>
          <w:numId w:val="10"/>
        </w:numPr>
      </w:pPr>
      <w:r>
        <w:t>Završite pitanjem koje vraća pogled publike na prostor.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PORTFELJ  </w:t>
      </w:r>
      <w:r>
        <w:rPr>
          <w:rFonts w:ascii="Calibri" w:hAnsi="Calibri"/>
          <w:b/>
          <w:color w:val="17324D"/>
          <w:sz w:val="21"/>
        </w:rPr>
        <w:t>Izradite karticu jedne građevine: tri opažaja, funkcija, provjerena datacija/atribucija, jedan sloj promjene, poruka publici, operativna provjera i dva izvora.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R3.2</w:t>
      </w:r>
    </w:p>
    <w:p>
      <w:pPr>
        <w:pStyle w:val="Heading1"/>
        <w:spacing w:before="40"/>
      </w:pPr>
      <w:r>
        <w:t>Likovna i književna baština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 rada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Ishod cjeline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sata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· posjet muzeju/galeriji · analiza predmeta</w:t>
            </w:r>
          </w:p>
        </w:tc>
        <w:tc>
          <w:tcPr>
            <w:tcW w:type="dxa" w:w="5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kulturni sadržaj u točnu, uključivu i etičnu interpretaciju na lokalitetu.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8E8EF"/>
        <w:pBdr>
          <w:left w:val="single" w:sz="18" w:space="8" w:color="7A4E7C"/>
        </w:pBdr>
      </w:pPr>
      <w:r>
        <w:rPr>
          <w:rFonts w:ascii="Calibri" w:hAnsi="Calibri"/>
          <w:b/>
          <w:color w:val="7A4E7C"/>
          <w:sz w:val="19"/>
        </w:rPr>
        <w:t xml:space="preserve">KLJUČNA PORUKA  </w:t>
      </w:r>
      <w:r>
        <w:rPr>
          <w:rFonts w:ascii="Calibri" w:hAnsi="Calibri"/>
          <w:b/>
          <w:color w:val="17324D"/>
          <w:sz w:val="21"/>
        </w:rPr>
        <w:t>Umjetničko djelo ili muzejski predmet nije ilustracija već dokaz ljudske odluke, vještine, uporabe, narudžbe, prikupljanja i čuvanja.</w:t>
      </w:r>
    </w:p>
    <w:p>
      <w:pPr>
        <w:pStyle w:val="Heading2"/>
        <w:keepNext/>
      </w:pPr>
      <w:r>
        <w:t>Barokni oltari i crkveni inventar</w:t>
      </w:r>
    </w:p>
    <w:p>
      <w:pPr>
        <w:widowControl/>
      </w:pPr>
      <w:r>
        <w:t>Oltar se čita kao cjelina arhitekture, slike, skulpture, ornamenta i liturgijske funkcije. Vodič razlikuje ikonografski motiv, materijal, radionicu ili autora, naručitelja, smještaj u prostoru i konzervatorsko stanje. Ne pripisuje autorstvo po sličnosti i ne izmišlja simboliku: kada podatak nije potvrđen, govori o opaženom obliku i jasno označava granicu znanja.</w:t>
      </w:r>
    </w:p>
    <w:p>
      <w:pPr>
        <w:pStyle w:val="Heading2"/>
        <w:keepNext/>
      </w:pPr>
      <w:r>
        <w:t>Muzejski predmet i njegova dokumentacija</w:t>
      </w:r>
    </w:p>
    <w:p>
      <w:pPr>
        <w:widowControl/>
      </w:pPr>
      <w:r>
        <w:t>Vrijednost predmeta proizlazi i iz njegova podrijetla: tko ga je izradio, koristio, sačuvao, prikupio i opisao. Legenda u vitrini početna je točka, ali za vođenje se provjeravaju inventarni podaci, kustoski tekst i uvjeti snimanja. Replika, rekonstrukcija i original moraju biti jasno imenovani.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64520"/>
            <wp:docPr id="5" name="Picture 5" descr="Slika 9. Od opažanja predmeta prema provjerljivoj priči." title="Slika 9. Od opažanja predmeta prema provjerljivoj prič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met_pr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9. Od opažanja predmeta prema provjerljivoj priči.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Zavičajni muzeji i galerije kao partneri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650"/>
        <w:gridCol w:w="3100"/>
      </w:tblGrid>
      <w:tr>
        <w:trPr>
          <w:tblHeader w:val="true"/>
          <w:cantSplit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Ustanova / zbirka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Što kandidat provjerava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Moguća postaja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zavičajni i gradski muzej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predmet, podrijetlo, autor legende, pravo fotografiranja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jedan predmet – jedan životni kontekst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galerija / likovna zbirka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autorstvo, datacija, tehnika, provenijencija, autorska prava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formalni detalj – društvena poruka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sakralna zbirka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liturgijska funkcija, svetost prostora, režim posjeta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predmet u odnosu na obred i zajednicu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arhiv / knjižnica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signatura, izdanje, pravo citiranja i reprodukcije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dokument ili naslovnica kao trag mjesta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Književnici i kulturni djelatnici vezani uz regiju</w:t>
      </w:r>
    </w:p>
    <w:p>
      <w:pPr>
        <w:widowControl/>
      </w:pPr>
      <w:r>
        <w:t>Književna geografija nije popis rođenih osoba. Veza s mjestom mora se dokazati životom, djelom, institucijom, motivom ili recepcijom. Kandidat bira kratak zakonito upotrebljiv ulomak ili parafrazu, objašnjava kontekst i vraća tekst konkretnom pogledu, ulici, krajoliku ili društvenom pitanju. Za djela pod autorskim pravom koristi se samo opseg dopušten licencom ili zakonskom iznimkom.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49220"/>
            <wp:docPr id="6" name="Picture 6" descr="Slika 10. Mreža književne i kulturne geografije." title="Slika 10. Mreža književne i kulturne geografij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jizevna_geograf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4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10. Mreža književne i kulturne geografije.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Pitanja gostu kustosu</w:t>
      </w:r>
    </w:p>
    <w:p>
      <w:pPr>
        <w:numPr>
          <w:ilvl w:val="0"/>
          <w:numId w:val="10"/>
        </w:numPr>
      </w:pPr>
      <w:r>
        <w:t>Koji podatak o predmetu publika najčešće pogrešno pretpostavlja?</w:t>
      </w:r>
    </w:p>
    <w:p>
      <w:pPr>
        <w:numPr>
          <w:ilvl w:val="0"/>
          <w:numId w:val="10"/>
        </w:numPr>
      </w:pPr>
      <w:r>
        <w:t>Kako je predmet dospio u zbirku i što o njegovu podrijetlu još nije poznato?</w:t>
      </w:r>
    </w:p>
    <w:p>
      <w:pPr>
        <w:numPr>
          <w:ilvl w:val="0"/>
          <w:numId w:val="10"/>
        </w:numPr>
      </w:pPr>
      <w:r>
        <w:t>Koji je detalj moguće pokazati bez ugrožavanja predmeta ili prostora?</w:t>
      </w:r>
    </w:p>
    <w:p>
      <w:pPr>
        <w:numPr>
          <w:ilvl w:val="0"/>
          <w:numId w:val="10"/>
        </w:numPr>
      </w:pPr>
      <w:r>
        <w:t>Kako ustanova želi biti navedena i koje su fotografije dopuštene?</w:t>
      </w:r>
    </w:p>
    <w:p>
      <w:pPr>
        <w:numPr>
          <w:ilvl w:val="0"/>
          <w:numId w:val="10"/>
        </w:numPr>
      </w:pPr>
      <w:r>
        <w:t>Koje zajednice ili pojedinci mogu dopuniti muzejski glas?</w:t>
      </w:r>
    </w:p>
    <w:p>
      <w:pPr>
        <w:pStyle w:val="Heading2"/>
        <w:keepNext/>
      </w:pPr>
      <w:r>
        <w:t>Što od ovoga i kako ide u vođenje</w:t>
      </w:r>
    </w:p>
    <w:p>
      <w:pPr>
        <w:numPr>
          <w:ilvl w:val="0"/>
          <w:numId w:val="10"/>
        </w:numPr>
      </w:pPr>
      <w:r>
        <w:t>Jedan predmet ili jedan ulomak nosi postaju; ne nabrajajte inventar.</w:t>
      </w:r>
    </w:p>
    <w:p>
      <w:pPr>
        <w:numPr>
          <w:ilvl w:val="0"/>
          <w:numId w:val="10"/>
        </w:numPr>
      </w:pPr>
      <w:r>
        <w:t>Uvedite predmet preko opažanja, zatim podrijetla, funkcije, korisnika i značenja.</w:t>
      </w:r>
    </w:p>
    <w:p>
      <w:pPr>
        <w:numPr>
          <w:ilvl w:val="0"/>
          <w:numId w:val="10"/>
        </w:numPr>
      </w:pPr>
      <w:r>
        <w:t>Autorstvo i simboliku navodite samo uz potvrdu.</w:t>
      </w:r>
    </w:p>
    <w:p>
      <w:pPr>
        <w:numPr>
          <w:ilvl w:val="0"/>
          <w:numId w:val="10"/>
        </w:numPr>
      </w:pPr>
      <w:r>
        <w:t>Kustoski glas i glas korisnika predmeta ne moraju biti isti – pokažite odnos.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PORTFELJ  </w:t>
      </w:r>
      <w:r>
        <w:rPr>
          <w:rFonts w:ascii="Calibri" w:hAnsi="Calibri"/>
          <w:b/>
          <w:color w:val="17324D"/>
          <w:sz w:val="21"/>
        </w:rPr>
        <w:t>Izradite karticu jednog predmeta, djela ili autora vezanog uz lokaciju: opažaj, provenijencija/veza s mjestom, funkcija, poruka, pravo uporabe, pitanje publici i dva izvora.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R3.3</w:t>
      </w:r>
    </w:p>
    <w:p>
      <w:pPr>
        <w:pStyle w:val="Heading1"/>
        <w:spacing w:before="40"/>
      </w:pPr>
      <w:r>
        <w:t>Nematerijalna baština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 rada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Ishod cjeline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sata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· audio/video analiza · razgovor s nositeljima</w:t>
            </w:r>
          </w:p>
        </w:tc>
        <w:tc>
          <w:tcPr>
            <w:tcW w:type="dxa" w:w="5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kulturni sadržaj u točnu, uključivu i etičnu interpretaciju na lokalitetu.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KLJUČNA PORUKA  </w:t>
      </w:r>
      <w:r>
        <w:rPr>
          <w:rFonts w:ascii="Calibri" w:hAnsi="Calibri"/>
          <w:b/>
          <w:color w:val="17324D"/>
          <w:sz w:val="21"/>
        </w:rPr>
        <w:t>Nematerijalna baština živa je samo dok je zajednice smatraju svojom, izvode je, mijenjaju i prenose. UNESCO upis nije vlasništvo turističke industrije niti dokaz da je jedna izvedba jedina „autentična”.</w:t>
      </w:r>
    </w:p>
    <w:p>
      <w:pPr>
        <w:pStyle w:val="Heading2"/>
        <w:keepNext/>
      </w:pPr>
      <w:r>
        <w:t>Etička polazišta</w:t>
      </w:r>
    </w:p>
    <w:p>
      <w:pPr>
        <w:widowControl/>
      </w:pPr>
      <w:r>
        <w:t>Prema UNESCO-ovim etičkim načelima zajednice, skupine i pojedinci imaju prvenstvenu ulogu u očuvanju vlastite nematerijalne baštine. Sudjelovanje u snimanju, intervjuu ili turističkom prikazu mora biti slobodno, prethodno i informirano. Čuvanje ne znači zamrzavanje: praksa se prenosi zato što ostaje važna i može se iznova stvarati.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46076"/>
            <wp:docPr id="7" name="Picture 7" descr="Slika 11. Ciklus žive baštine: zajednica, izvedba, prijenos, prilagodba i zaštita." title="Slika 11. Ciklus žive baštine: zajednica, izvedba, prijenos, prilagodba i zašti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ziva_basti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4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11. Ciklus žive baštine: zajednica, izvedba, prijenos, prilagodba i zaštita.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prema UNESCO-ovim načelima očuvanja.</w:t>
      </w:r>
    </w:p>
    <w:p>
      <w:pPr>
        <w:pStyle w:val="Heading2"/>
        <w:keepNext/>
      </w:pPr>
      <w:r>
        <w:t>Bećarac</w:t>
      </w:r>
    </w:p>
    <w:p>
      <w:pPr>
        <w:widowControl/>
      </w:pPr>
      <w:r>
        <w:t>Bećarac je vokalno-instrumentalni izričaj duboko ukorijenjen u Slavoniji, Baranji i Srijemu. UNESCO ga je 2011. uvrstio na Reprezentativni popis nematerijalne kulturne baštine čovječanstva. Interpretacija naglašava stvaranje i odgovor u izvedbi, humor, improvizaciju, društveni odnos i prigodu. Vodič ne izmišlja „izvorne” stihove, ne prisvaja izvođačku ulogu i ne prešućuje da sadržaj može biti višeznačan ili neprimjeren pojedinoj publici.</w:t>
      </w:r>
    </w:p>
    <w:p>
      <w:pPr>
        <w:pStyle w:val="Heading2"/>
        <w:keepNext/>
      </w:pPr>
      <w:r>
        <w:t>Proljetni ophod kraljica ili ljelja iz Gorjana</w:t>
      </w:r>
    </w:p>
    <w:p>
      <w:pPr>
        <w:widowControl/>
      </w:pPr>
      <w:r>
        <w:t>Ophod mladih žena i djevojaka iz Gorjana izvodi se u proljeće, u vrijeme Duhova, s podijeljenim ulogama, pjesmom i plesom tijekom ophoda zajednicom. UNESCO ga je 2009. uvrstio na Reprezentativni popis. Vodič opisuje strukturu i lokalni kontekst, ali ne organizira improviziranu „rekonstrukciju” bez nositelja i njihova pristanka.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50000" cy="3700000"/>
            <wp:docPr id="305" name="Picture 305" descr="Slika 12. Ophod ljelja kroz Gorjane – praksa se odvija u prostoru zajednice, a ne na pozornici." title="Slika 12. Ophod ljelja kroz Gorjane – praksa se odvija u prostoru zajednice, a ne na pozornic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000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12. Ophod ljelja kroz Gorjane – praksa se odvija u prostoru zajednice, a ne na pozornici.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Iruka~enwiki, Wikimedia Commons, CC BY 4.0; javna izvedba, 2024.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6666" cy="3700000"/>
            <wp:docPr id="306" name="Picture 306" descr="Slika 13. Oglavlja ljelja izbliza – izrada, materijal i uloga u ophodu traže objašnjenje nositelja." title="Slika 13. Oglavlja ljelja izbliza – izrada, materijal i uloga u ophodu traže objašnjenje nositel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6666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13. Oglavlja ljelja izbliza – izrada, materijal i uloga u ophodu traže objašnjenje nositelja.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Iruka~enwiki, Wikimedia Commons, CC BY 4.0; javna izvedba, 2024.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15309"/>
            <wp:docPr id="8" name="Picture 8" descr="Slika 14. Strukture bećarca i ophoda ljelja – didaktička usporedba." title="Slika 14. Strukture bećarca i ophoda ljelja – didaktička usporedb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ecarac_ljelj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14. Strukture bećarca i ophoda ljelja – didaktička usporedba.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prema službenim UNESCO opisima; bez reprodukcije stihova.</w:t>
      </w:r>
    </w:p>
    <w:p>
      <w:pPr>
        <w:pStyle w:val="Heading2"/>
        <w:keepNext/>
      </w:pPr>
      <w:r>
        <w:t>Tambura, običaji, nošnje i vez</w:t>
      </w:r>
    </w:p>
    <w:p>
      <w:pPr>
        <w:widowControl/>
      </w:pPr>
      <w:r>
        <w:t>Tamburaška tradicija tumači se kroz glazbalo, sastav, način učenja, repertoar i prigodu, a ne kao jedinstveni zvuk cijele regije. Običaji godišnjeg i životnog ciklusa promatraju se u konkretnom mjestu i razdoblju. Nošnja nije kostim bez povijesti: kroj, materijal, način izrade, dob, status i prigoda traže stručan izvor i glas nositelja. Vez se ne svodi na ornament nego se povezuje s radom, znanjem, uporabom i prijenosom.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50000" cy="3700000"/>
            <wp:docPr id="307" name="Picture 307" descr="Slika 15. Tamburaška pratnja u ophodu – glazbalo, sastav i prigoda čine cjelinu." title="Slika 15. Tamburaška pratnja u ophodu – glazbalo, sastav i prigoda čine cjeli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0000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15. Tamburaška pratnja u ophodu – glazbalo, sastav i prigoda čine cjelinu.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Iruka~enwiki, Wikimedia Commons, CC BY 4.0; javna izvedba, 2024.</w:t>
      </w:r>
    </w:p>
    <w:p>
      <w:pPr>
        <w:pStyle w:val="Heading2"/>
        <w:keepNext/>
      </w:pPr>
      <w:r>
        <w:t>Đakovački vezovi i Vinkovačke jeseni</w:t>
      </w:r>
    </w:p>
    <w:p>
      <w:pPr>
        <w:widowControl/>
      </w:pPr>
      <w:r>
        <w:t>Manifestacije omogućuju susret, javni prikaz i prijenos baštine, ali pozornica nije cijela tradicija. Program, selekcija, koreografija, turizam i mediji oblikuju ono što publika vidi. Aktualne datume i sadržaj treba provjeriti na službenim stranicama; u kanonskom tekstu ne pretvaraju se u trajnu činjenicu.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11504" cy="3700000"/>
            <wp:docPr id="308" name="Picture 308" descr="Slika 16. Pozornica Vinkovačkih jeseni – manifestacija odabire i oblikuje ono što publika vidi." title="Slika 16. Pozornica Vinkovačkih jeseni – manifestacija odabire i oblikuje ono što publika vid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1504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16. Pozornica Vinkovačkih jeseni – manifestacija odabire i oblikuje ono što publika vidi.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MirkoS18,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3333" cy="3700000"/>
            <wp:docPr id="309" name="Picture 309" descr="Slika 17. Festivalska ulica navečer – susret, prijenos i turistička ponuda dijele isti prostor." title="Slika 17. Festivalska ulica navečer – susret, prijenos i turistička ponuda dijele isti pros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17. Festivalska ulica navečer – susret, prijenos i turistička ponuda dijele isti prostor.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IvanOS, Wikimedia Commons, CC BY-SA 3.0 HR.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878"/>
            <wp:docPr id="9" name="Picture 9" descr="Slika 18. Razlika i odnos žive prakse i manifestacije." title="Slika 18. Razlika i odnos žive prakse i manifestacij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aksa_manifestacij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18. Razlika i odnos žive prakse i manifestacije.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900"/>
        <w:gridCol w:w="2950"/>
      </w:tblGrid>
      <w:tr>
        <w:trPr>
          <w:tblHeader w:val="true"/>
          <w:cantSplit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Situacija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Obvezna provjera</w:t>
            </w:r>
          </w:p>
        </w:tc>
        <w:tc>
          <w:tcPr>
            <w:tcW w:type="dxa" w:w="2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Neprihvatljiva praksa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audio/video snimanje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pristanak nositelja, domaćina i snimljenih osoba; prava glazbe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tajno snimanje ili objava izvan dogovorene svrhe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djeca i maloljetnici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suglasnost odgovorne osobe i zaštita identiteta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pritiskanje djeteta da nastupi radi grupe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sveti ili privatni sadržaj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što je javno, tko smije prenijeti i u kojem kontekstu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izlaganje zatvorenog sadržaja kao atrakcije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dijalekt, nošnja, šala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kompetencija, kontekst i samopredstavljanje zajednice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karikiranje naglaska, odjeće ili identiteta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Što od ovoga i kako ide u vođenje</w:t>
      </w:r>
    </w:p>
    <w:p>
      <w:pPr>
        <w:numPr>
          <w:ilvl w:val="0"/>
          <w:numId w:val="10"/>
        </w:numPr>
      </w:pPr>
      <w:r>
        <w:t>Najprije predstavite nositelje i prigodu, zatim strukturu izvedbe.</w:t>
      </w:r>
    </w:p>
    <w:p>
      <w:pPr>
        <w:numPr>
          <w:ilvl w:val="0"/>
          <w:numId w:val="10"/>
        </w:numPr>
      </w:pPr>
      <w:r>
        <w:t>UNESCO status objasnite kao obvezu očuvanja, ne kao medalju autentičnosti.</w:t>
      </w:r>
    </w:p>
    <w:p>
      <w:pPr>
        <w:numPr>
          <w:ilvl w:val="0"/>
          <w:numId w:val="10"/>
        </w:numPr>
      </w:pPr>
      <w:r>
        <w:t>Razlikujte praksu u zajednici, scensku izvedbu i turističku demonstraciju.</w:t>
      </w:r>
    </w:p>
    <w:p>
      <w:pPr>
        <w:numPr>
          <w:ilvl w:val="0"/>
          <w:numId w:val="10"/>
        </w:numPr>
      </w:pPr>
      <w:r>
        <w:t>Pitajte zajednicu kako želi biti predstavljena i navedena.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PORTFELJ  </w:t>
      </w:r>
      <w:r>
        <w:rPr>
          <w:rFonts w:ascii="Calibri" w:hAnsi="Calibri"/>
          <w:b/>
          <w:color w:val="17324D"/>
          <w:sz w:val="21"/>
        </w:rPr>
        <w:t>Osmislite interpretaciju od 90 sekundi za jedan element žive baštine: nositelji, prigoda, način prijenosa, jedna promjena kroz vrijeme, izvor zajednice, zaštitna radnja i etička granica.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R3.4</w:t>
      </w:r>
    </w:p>
    <w:p>
      <w:pPr>
        <w:pStyle w:val="Heading1"/>
        <w:spacing w:before="40"/>
      </w:pPr>
      <w:r>
        <w:t>Enogastronomija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 rada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Ishod cjeline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sata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· degustacijski prikaz · dizajn postaje</w:t>
            </w:r>
          </w:p>
        </w:tc>
        <w:tc>
          <w:tcPr>
            <w:tcW w:type="dxa" w:w="5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kulturni sadržaj u točnu, uključivu i etičnu interpretaciju na lokalitetu.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KLJUČNA PORUKA  </w:t>
      </w:r>
      <w:r>
        <w:rPr>
          <w:rFonts w:ascii="Calibri" w:hAnsi="Calibri"/>
          <w:b/>
          <w:color w:val="17324D"/>
          <w:sz w:val="21"/>
        </w:rPr>
        <w:t>Hrana i vino tumače odnos sirovine, znanja, sezone, rada, propisa, krajolika i gostoprimstva. Kušanje mora biti informirano, uključivo i sigurno.</w:t>
      </w:r>
    </w:p>
    <w:p>
      <w:pPr>
        <w:pStyle w:val="Heading2"/>
        <w:keepNext/>
      </w:pPr>
      <w:r>
        <w:t>Zaštićeni nazivi nisu opći pridjevi</w:t>
      </w:r>
    </w:p>
    <w:p>
      <w:pPr>
        <w:widowControl/>
      </w:pPr>
      <w:r>
        <w:t>„Baranjski kulen” registriran je kao zaštićena oznaka zemljopisnog podrijetla 2015., a „Slavonski kulen”/„Slavonski kulin” 2017. To nisu zamjenjivi nazivi za svaki kulen iz istočne Hrvatske. Vodič provjerava točan registrirani naziv, oznaku na proizvodu, proizvođača i važeću specifikaciju; oznaka potvrđuje vezu proizvoda i propisanog sustava, ali ne ovlašćuje vodiča da daje proizvoljan rang kvalitete.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350"/>
        <w:gridCol w:w="315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Tvrdnja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Provjera prije izgovora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Sigurna formulacija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„Ovo je zaštićeni kulen.”</w:t>
            </w:r>
          </w:p>
        </w:tc>
        <w:tc>
          <w:tcPr>
            <w:tcW w:type="dxa" w:w="3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registrirani naziv, znak, proizvođač i specifikacija</w:t>
            </w:r>
          </w:p>
        </w:tc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„Proizvod je označen registriranim nazivom …; oznaka znači …”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„Ovo je izvorni recept.”</w:t>
            </w:r>
          </w:p>
        </w:tc>
        <w:tc>
          <w:tcPr>
            <w:tcW w:type="dxa" w:w="3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čiji recept, mjesto, razdoblje i izvor</w:t>
            </w:r>
          </w:p>
        </w:tc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„Domaćin priprema ovu varijantu prema …”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„Graševina je tipična za sva vinogorja jednako.”</w:t>
            </w:r>
          </w:p>
        </w:tc>
        <w:tc>
          <w:tcPr>
            <w:tcW w:type="dxa" w:w="3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položaj, proizvođač, berba, vinifikacija i izvor</w:t>
            </w:r>
          </w:p>
        </w:tc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„Na ovom položaju i u ovoj izvedbi proizvođač ističe …”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Jela i vinska područja</w:t>
      </w:r>
    </w:p>
    <w:p>
      <w:pPr>
        <w:widowControl/>
      </w:pPr>
      <w:r>
        <w:t>Čobanac i fiš-paprikaš žive su kulinarske prakse s lokalnim, obiteljskim i ugostiteljskim varijantama. Umjesto „jedinog pravog recepta”, interpretacija uspoređuje namjenu jela, dostupne sirovine, postupak, posuđe i društvenu prigodu. Vinogorja Kutjeva, Erduta, Iloka i Baranje čitaju se kroz položaj, tlo, klimu, sortu, podrum, rad proizvođača i tržište. Graševina je važna interpretacijska nit, ali svaka kušana boca traži vlastite podatke.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2289" cy="3700000"/>
            <wp:docPr id="310" name="Picture 310" descr="Slika 19. Vinogradi u Baranji – položaj i nagib kao dio priče o vinogorju." title="Slika 19. Vinogradi u Baranji – položaj i nagib kao dio priče o vinogorj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289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19. Vinogradi u Baranji – položaj i nagib kao dio priče o vinogorju.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Misalalic, Wikimedia Commons, CC BY-SA 4.0.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05553"/>
            <wp:docPr id="10" name="Picture 10" descr="Slika 20. Slijed vođenog osjetilnog i kulturnog čitanja proizvoda." title="Slika 20. Slijed vođenog osjetilnog i kulturnog čitanja proizvo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nogastro_slij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20. Slijed vođenog osjetilnog i kulturnog čitanja proizvoda.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Odgovorna degustacija</w:t>
      </w:r>
    </w:p>
    <w:p>
      <w:pPr>
        <w:numPr>
          <w:ilvl w:val="0"/>
          <w:numId w:val="10"/>
        </w:numPr>
      </w:pPr>
      <w:r>
        <w:t>Najaviti sastojke i alergene; podatke potvrđuje domaćin/proizvođač.</w:t>
      </w:r>
    </w:p>
    <w:p>
      <w:pPr>
        <w:numPr>
          <w:ilvl w:val="0"/>
          <w:numId w:val="10"/>
        </w:numPr>
      </w:pPr>
      <w:r>
        <w:t>Osigurati vodu, mogućnost neprobanja i jednako vrijednu bezalkoholnu opciju.</w:t>
      </w:r>
    </w:p>
    <w:p>
      <w:pPr>
        <w:numPr>
          <w:ilvl w:val="0"/>
          <w:numId w:val="10"/>
        </w:numPr>
      </w:pPr>
      <w:r>
        <w:t>Maloljetnicima ne posluživati alkohol; poštovati propise i politiku domaćina.</w:t>
      </w:r>
    </w:p>
    <w:p>
      <w:pPr>
        <w:numPr>
          <w:ilvl w:val="0"/>
          <w:numId w:val="10"/>
        </w:numPr>
      </w:pPr>
      <w:r>
        <w:t>Ne poticati količinu ni natjecanje; ponuditi pljuvačnice gdje je primjereno.</w:t>
      </w:r>
    </w:p>
    <w:p>
      <w:pPr>
        <w:numPr>
          <w:ilvl w:val="0"/>
          <w:numId w:val="10"/>
        </w:numPr>
      </w:pPr>
      <w:r>
        <w:t>Ne davati zdravstvene tvrdnje niti povezivati alkohol s vožnjom ili sposobnošću.</w:t>
      </w:r>
    </w:p>
    <w:p>
      <w:pPr>
        <w:numPr>
          <w:ilvl w:val="0"/>
          <w:numId w:val="10"/>
        </w:numPr>
      </w:pPr>
      <w:r>
        <w:t>Provjeriti stepenice, podlogu, temperaturu, ventilaciju, izlaz i kapacitet prostora.</w:t>
      </w:r>
    </w:p>
    <w:p>
      <w:pPr>
        <w:pStyle w:val="Heading2"/>
        <w:keepNext/>
      </w:pPr>
      <w:r>
        <w:t>Primjer postaje u podrumu za 30 osoba</w:t>
      </w:r>
    </w:p>
    <w:p>
      <w:pPr>
        <w:widowControl/>
      </w:pPr>
      <w:r>
        <w:t>Skupina se dijeli samo ako domaćin potvrdi kapacitet, osoblje i siguran tok. Brifing objašnjava prostor, trajanje, alergene i dobrovoljnost kušanja. Tri manje skupine mogu rotirati kroz proizvod, prostor/podrum i vođeni osjetilni zadatak. Trajanje se ne propisuje kanonski: prilagođava se lokaciji, akustici, pokretljivosti i planu domaćina.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42"/>
            <wp:docPr id="11" name="Picture 11" descr="Slika 21. Primjer toka podrumske postaje za skupinu od 30 osoba." title="Slika 21. Primjer toka podrumske postaje za skupinu od 30 osob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drumska_postaj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21. Primjer toka podrumske postaje za skupinu od 30 osoba.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ilustracija; operativni plan potvrđuje domaćin.</w:t>
      </w:r>
    </w:p>
    <w:p>
      <w:pPr>
        <w:pStyle w:val="Heading2"/>
        <w:keepNext/>
      </w:pPr>
      <w:r>
        <w:t>Što od ovoga i kako ide u vođenje</w:t>
      </w:r>
    </w:p>
    <w:p>
      <w:pPr>
        <w:numPr>
          <w:ilvl w:val="0"/>
          <w:numId w:val="10"/>
        </w:numPr>
      </w:pPr>
      <w:r>
        <w:t>Počnite osjetom, zatim objasnite postupak, ljude i krajolik.</w:t>
      </w:r>
    </w:p>
    <w:p>
      <w:pPr>
        <w:numPr>
          <w:ilvl w:val="0"/>
          <w:numId w:val="10"/>
        </w:numPr>
      </w:pPr>
      <w:r>
        <w:t>Zaštićeni naziv izgovorite točno i objasnite što oznaka doista jamči.</w:t>
      </w:r>
    </w:p>
    <w:p>
      <w:pPr>
        <w:numPr>
          <w:ilvl w:val="0"/>
          <w:numId w:val="10"/>
        </w:numPr>
      </w:pPr>
      <w:r>
        <w:t>Varijantu recepta pripišite izvoru; ne proglašavajte je jedinom autentičnom.</w:t>
      </w:r>
    </w:p>
    <w:p>
      <w:pPr>
        <w:numPr>
          <w:ilvl w:val="0"/>
          <w:numId w:val="10"/>
        </w:numPr>
      </w:pPr>
      <w:r>
        <w:t>Jednako kvalitetno uključite gosta koji ne kuša alkohol ili određenu hranu.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PORTFELJ  </w:t>
      </w:r>
      <w:r>
        <w:rPr>
          <w:rFonts w:ascii="Calibri" w:hAnsi="Calibri"/>
          <w:b/>
          <w:color w:val="17324D"/>
          <w:sz w:val="21"/>
        </w:rPr>
        <w:t>Izradite plan enogastronomske postaje za 30 osoba: tok, trajanje po fazama, domaćin, predmet interpretacije, alergeni, bezalkoholna opcija, dostupnost, sigurnost, provjera oznake i dva izvora.</w:t>
      </w:r>
    </w:p>
    <w:p>
      <w:r>
        <w:br w:type="page"/>
      </w:r>
    </w:p>
    <w:p>
      <w:r>
        <w:rPr>
          <w:rFonts w:ascii="Calibri" w:hAnsi="Calibri"/>
          <w:b/>
          <w:color w:val="B78727"/>
          <w:sz w:val="48"/>
        </w:rPr>
        <w:t>R3.5</w:t>
      </w:r>
    </w:p>
    <w:p>
      <w:pPr>
        <w:pStyle w:val="Heading1"/>
        <w:spacing w:before="40"/>
      </w:pPr>
      <w:r>
        <w:t>Svakodnevna kultura života i rada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Satnica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Oblik rada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Ishod cjeline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2 sata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Predavanje · etnografski primjeri · multiperspektivna vježba</w:t>
            </w:r>
          </w:p>
        </w:tc>
        <w:tc>
          <w:tcPr>
            <w:tcW w:type="dxa" w:w="5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Pretvoriti kulturni sadržaj u točnu, uključivu i etičnu interpretaciju na lokalitetu.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KLJUČNA PORUKA  </w:t>
      </w:r>
      <w:r>
        <w:rPr>
          <w:rFonts w:ascii="Calibri" w:hAnsi="Calibri"/>
          <w:b/>
          <w:color w:val="17324D"/>
          <w:sz w:val="21"/>
        </w:rPr>
        <w:t>Svakodnevica nije romantična pozadina. Ona uključuje rad, znanje, nejednakost, suradnju, migracije, promjene tehnologije i različite načine pripadanja.</w:t>
      </w:r>
    </w:p>
    <w:p>
      <w:pPr>
        <w:pStyle w:val="Heading2"/>
        <w:keepNext/>
      </w:pPr>
      <w:r>
        <w:t>Ravničarsko poljodjelstvo i salaši</w:t>
      </w:r>
    </w:p>
    <w:p>
      <w:pPr>
        <w:widowControl/>
      </w:pPr>
      <w:r>
        <w:t>Poljodjelstvo se tumači kao sustav zemljišta, vode, usjeva, alata, vlasništva, sezonskog rada, tržišta i obiteljskih odnosa. Salaš nije samo slikovita kuća izvan naselja, nego prostorna organizacija života i proizvodnje čiji se oblik i funkcija mijenjaju. Povijesni opis ne smije se automatski preslikati na današnje gospodarstvo.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00000" cy="3700000"/>
            <wp:docPr id="311" name="Picture 311" descr="Slika 22. Okućnica u Karancu – dvorište, gospodarski predmeti i svakodnevna organizacija prostora." title="Slika 22. Okućnica u Karancu – dvorište, gospodarski predmeti i svakodnevna organizacija prosto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0000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 xml:space="preserve">Slika 22. Okućnica u Karancu – dvorište, gospodarski predmeti i svakodnevna organizacija prostora.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 xml:space="preserve">Foto: Euterpa Globtroter, Wikimedia Commons, CC BY-SA 4.0.</w:t>
      </w:r>
    </w:p>
    <w:p>
      <w:pPr>
        <w:pStyle w:val="Heading2"/>
        <w:keepNext/>
      </w:pPr>
      <w:r>
        <w:t>Zavičajne zajednice i nacionalne manjine</w:t>
      </w:r>
    </w:p>
    <w:p>
      <w:pPr>
        <w:widowControl/>
      </w:pPr>
      <w:r>
        <w:t>Šokačka i druge zavičajne zajednice te nacionalne manjine Podunavlja predstavljaju se preko vlastitih ustanova, kazivača, arhiva i suvremenih aktivnosti. Identitet nije zatvoren popis nošnje, jela i jezika, niti svi članovi zajednice žive pripadnost jednako. Vodič izbjegava formulacije „oni su svi”, jasno navodi čiji iskaz prenosi i, gdje je moguće, uključuje više glasova.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878"/>
            <wp:docPr id="12" name="Picture 12" descr="Slika 23. Metoda interpretacije svakodnevice bez stereotipa." title="Slika 23. Metoda interpretacije svakodnevice bez stereoti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ez_stereotip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Calibri" w:hAnsi="Calibri"/>
          <w:i/>
          <w:color w:val="1F4D78"/>
          <w:sz w:val="18"/>
        </w:rPr>
        <w:t>Slika 23. Metoda interpretacije svakodnevice bez stereotipa.</w:t>
      </w:r>
    </w:p>
    <w:p>
      <w:pPr>
        <w:spacing w:before="0" w:after="160"/>
        <w:jc w:val="center"/>
      </w:pPr>
      <w:r>
        <w:rPr>
          <w:rFonts w:ascii="Calibri" w:hAnsi="Calibri"/>
          <w:color w:val="667085"/>
          <w:sz w:val="16"/>
        </w:rPr>
        <w:t>Izvorna ilustracija za ovaj dokument.</w:t>
      </w:r>
    </w:p>
    <w:p>
      <w:pPr>
        <w:pStyle w:val="Heading2"/>
        <w:keepNext/>
      </w:pPr>
      <w:r>
        <w:t>Suvremeni kulturni život i manifestacije</w:t>
      </w:r>
    </w:p>
    <w:p>
      <w:pPr>
        <w:widowControl/>
      </w:pPr>
      <w:r>
        <w:t>Kulturni život regije uključuje ustanove, udruge, škole, nezavisne inicijative, amatersko stvaralaštvo, festivale, nove medije i svakodnevna mjesta susreta. Tradicija i suvremenost nisu suprotnosti: zajednice biraju što će čuvati, mijenjati, izvoditi ili napustiti. Vodič stoga povezuje povijesni trag s današnjim stvarateljem i pitanjem budućnosti.</w:t>
      </w:r>
    </w:p>
    <w:p>
      <w:pPr>
        <w:pStyle w:val="Heading2"/>
        <w:keepNext/>
      </w:pPr>
      <w:r>
        <w:t>Rad s kazivačima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3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Faza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Postupak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Dokaz odgovornosti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prije razgovora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objasniti svrhu, publiku, snimanje, pohranu i pravo povlačenja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zabilježen pristanak i dogovor o navođenju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tijekom razgovora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otvorena pitanja; bez prisile i traženja „egzotičnog” odgovora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kazivač može odbiti temu ili zaustaviti snimanje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nakon razgovora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provjeriti citat, kontekst i način predstavljanja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autorizacija prema dogovoru; ograničena uporaba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u vođenju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navesti tko govori i razlikovati sjećanje od dokumentirane činjenice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 generalizacije na cijelu zajednicu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Što od ovoga i kako ide u vođenje</w:t>
      </w:r>
    </w:p>
    <w:p>
      <w:pPr>
        <w:numPr>
          <w:ilvl w:val="0"/>
          <w:numId w:val="10"/>
        </w:numPr>
      </w:pPr>
      <w:r>
        <w:t>Pokažite kako rad i prostor oblikuju jedan drugoga.</w:t>
      </w:r>
    </w:p>
    <w:p>
      <w:pPr>
        <w:numPr>
          <w:ilvl w:val="0"/>
          <w:numId w:val="10"/>
        </w:numPr>
      </w:pPr>
      <w:r>
        <w:t>Identitet predstavite kroz samoodređenje i više glasova, ne kroz tipiziranje.</w:t>
      </w:r>
    </w:p>
    <w:p>
      <w:pPr>
        <w:numPr>
          <w:ilvl w:val="0"/>
          <w:numId w:val="10"/>
        </w:numPr>
      </w:pPr>
      <w:r>
        <w:t>Povežite povijesni običaj s današnjom praksom i promjenom.</w:t>
      </w:r>
    </w:p>
    <w:p>
      <w:pPr>
        <w:numPr>
          <w:ilvl w:val="0"/>
          <w:numId w:val="10"/>
        </w:numPr>
      </w:pPr>
      <w:r>
        <w:t>Završite pitanjem što zajednica želi prenijeti dalje i pod kojim uvjetima.</w:t>
      </w: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PORTFELJ  </w:t>
      </w:r>
      <w:r>
        <w:rPr>
          <w:rFonts w:ascii="Calibri" w:hAnsi="Calibri"/>
          <w:b/>
          <w:color w:val="17324D"/>
          <w:sz w:val="21"/>
        </w:rPr>
        <w:t>Osmislite interpretaciju jedne teme svakodnevice kroz tri glasa: institucionalni izvor, kazivač/ica i vidljivi trag. Za svaki glas navedite pristanak ili pravo uporabe, granicu tvrdnje i zajedničku poruku.</w:t>
      </w:r>
    </w:p>
    <w:p>
      <w:r>
        <w:br w:type="page"/>
      </w:r>
    </w:p>
    <w:p>
      <w:pPr>
        <w:pStyle w:val="Heading1"/>
        <w:keepNext/>
      </w:pPr>
      <w:r>
        <w:t>Sažetak R3: što kandidat mora moći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750"/>
      </w:tblGrid>
      <w:tr>
        <w:trPr>
          <w:tblHeader w:val="true"/>
          <w:cantSplit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Područje</w:t>
            </w:r>
          </w:p>
        </w:tc>
        <w:tc>
          <w:tcPr>
            <w:tcW w:type="dxa" w:w="6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Minimalni dokaz ishoda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Graditeljska baština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Od opažaja dolazi do funkcije, stila i sloja promjene uz provjerenu dataciju.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Likovna i književna baština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Tumači jedan predmet ili tekst kroz podrijetlo, uporabu, pravo i mjesto.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Nematerijalna baština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Daje prvenstvo nositeljima, razlikuje praksu i pozornicu te poštuje pristanak.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Enogastronomija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Točno koristi oznaku, vodi uključivo kušanje i upravlja alergenima i alkoholom.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Svakodnevica i identitet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Koristi više glasova, pripisuje izvor i izbjegava stereotip.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Vođenje</w:t>
            </w:r>
          </w:p>
        </w:tc>
        <w:tc>
          <w:tcPr>
            <w:tcW w:type="dxa" w:w="6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Jedna poruka, opažanje, pitanje, etička granica i aktualna operativna provjera.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Obvezni izlazni zadatak</w:t>
      </w: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JEDNA KARTICA TEKSTA  </w:t>
      </w:r>
      <w:r>
        <w:rPr>
          <w:rFonts w:ascii="Calibri" w:hAnsi="Calibri"/>
          <w:b/>
          <w:color w:val="17324D"/>
          <w:sz w:val="21"/>
        </w:rPr>
        <w:t>Izradite interpretacijsku karticu jedne kulturne lokacije ili prakse Regije I. Kartica sadrži: vidljivi/čujni/osjetilni trag; provjerljivu činjenicu; glas nositelja ili ustanove; jednu nosivu poruku; pitanje publici; etičku granicu; operativnu provjeru; najmanje dva pouzdana izvora.</w:t>
      </w:r>
    </w:p>
    <w:p>
      <w:pPr>
        <w:pStyle w:val="Heading2"/>
        <w:keepNext/>
      </w:pPr>
      <w:r>
        <w:t>Obvezna ustanova ili terenska vježba</w:t>
      </w:r>
    </w:p>
    <w:p>
      <w:pPr>
        <w:widowControl/>
      </w:pPr>
      <w:r>
        <w:t>Kandidat izvodi najmanje jednu vježbu u kulturnoj ustanovi, sakralnom prostoru, kod nositelja žive baštine ili u odgovorno organiziranoj enogastronomskoj postaji. Izvedba uključuje dogovor s domaćinom, dvije interpretacijske postaje, prilagodbu publici, poštovanje prava i kratku refleksiju o tome čiji je glas korišten.</w:t>
      </w:r>
    </w:p>
    <w:p>
      <w:r>
        <w:br w:type="page"/>
      </w:r>
    </w:p>
    <w:p>
      <w:pPr>
        <w:pStyle w:val="Heading1"/>
        <w:keepNext/>
      </w:pPr>
      <w:r>
        <w:t>Pitanja za provjeru znanja i usmenu izvedbu</w:t>
      </w:r>
    </w:p>
    <w:p>
      <w:pPr>
        <w:spacing w:before="120" w:after="160" w:line="283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NAČIN ODGOVORA  </w:t>
      </w:r>
      <w:r>
        <w:rPr>
          <w:rFonts w:ascii="Calibri" w:hAnsi="Calibri"/>
          <w:b/>
          <w:color w:val="17324D"/>
          <w:sz w:val="21"/>
        </w:rPr>
        <w:t>Odgovor mora povezati konkretan lokalitet ili praksu, provjerljivu činjenicu, glas nositelja, interpretacijsku odluku i etičko-operativnu provjeru. Nabrajanje naziva nije dovoljan dokaz ishoda.</w:t>
      </w:r>
    </w:p>
    <w:p>
      <w:pPr>
        <w:pStyle w:val="Heading2"/>
        <w:keepNext/>
      </w:pPr>
      <w:r>
        <w:t>Pitanja iz početne banke Programa povezana s R3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70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Br. u banci</w:t>
            </w:r>
          </w:p>
        </w:tc>
        <w:tc>
          <w:tcPr>
            <w:tcW w:type="dxa" w:w="7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Pitanje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7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Predstavite bećarac i ophod kraljica iz Gorjana te objasnite kako se elementi nematerijalne baštine uključuju u vođenje.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7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Kako biste oblikovali enogastronomsku postaju u iločkom ili kutjevačkom podrumu za skupinu od 30 osoba?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EDF5F1"/>
        <w:pBdr>
          <w:left w:val="single" w:sz="18" w:space="8" w:color="3E7C68"/>
        </w:pBdr>
      </w:pPr>
      <w:r>
        <w:rPr>
          <w:rFonts w:ascii="Calibri" w:hAnsi="Calibri"/>
          <w:b/>
          <w:color w:val="3E7C68"/>
          <w:sz w:val="19"/>
        </w:rPr>
        <w:t xml:space="preserve">ISPITNI OKVIR  </w:t>
      </w:r>
      <w:r>
        <w:rPr>
          <w:rFonts w:ascii="Calibri" w:hAnsi="Calibri"/>
          <w:b/>
          <w:color w:val="17324D"/>
          <w:sz w:val="21"/>
        </w:rPr>
        <w:t>R3 se provjerava jednim pitanjem vrijednim 6 bodova; prag je 3 boda. Pitanje treba biti vezano uz konkretnu lokaciju, a početna banka obnavlja se najmanje 20 % po ispitnom roku, prema Programu.</w:t>
      </w:r>
    </w:p>
    <w:p>
      <w:pPr>
        <w:pStyle w:val="Heading2"/>
        <w:keepNext/>
      </w:pPr>
      <w:r>
        <w:t>Dodatna formativna pitanja</w:t>
      </w:r>
    </w:p>
    <w:p>
      <w:pPr>
        <w:numPr>
          <w:ilvl w:val="0"/>
          <w:numId w:val="12"/>
        </w:numPr>
      </w:pPr>
      <w:r>
        <w:t>Kako biste na pročelju razlikovali opažaj od tvrdnje o stilu?</w:t>
      </w:r>
    </w:p>
    <w:p>
      <w:pPr>
        <w:numPr>
          <w:ilvl w:val="0"/>
          <w:numId w:val="12"/>
        </w:numPr>
      </w:pPr>
      <w:r>
        <w:t>Zašto obnova i prenamjena pripadaju biografiji građevine?</w:t>
      </w:r>
    </w:p>
    <w:p>
      <w:pPr>
        <w:numPr>
          <w:ilvl w:val="0"/>
          <w:numId w:val="12"/>
        </w:numPr>
      </w:pPr>
      <w:r>
        <w:t>Kako muzejski predmet pretvarate u priču bez izmišljanja provenijencije?</w:t>
      </w:r>
    </w:p>
    <w:p>
      <w:pPr>
        <w:numPr>
          <w:ilvl w:val="0"/>
          <w:numId w:val="12"/>
        </w:numPr>
      </w:pPr>
      <w:r>
        <w:t>Kako zakonito i smisleno uključujete književni ulomak u vođenje?</w:t>
      </w:r>
    </w:p>
    <w:p>
      <w:pPr>
        <w:numPr>
          <w:ilvl w:val="0"/>
          <w:numId w:val="12"/>
        </w:numPr>
      </w:pPr>
      <w:r>
        <w:t>Što u praksi znači prvenstvena uloga zajednice u očuvanju žive baštine?</w:t>
      </w:r>
    </w:p>
    <w:p>
      <w:pPr>
        <w:numPr>
          <w:ilvl w:val="0"/>
          <w:numId w:val="12"/>
        </w:numPr>
      </w:pPr>
      <w:r>
        <w:t>Zašto scenska izvedba na manifestaciji nije cijela tradicija?</w:t>
      </w:r>
    </w:p>
    <w:p>
      <w:pPr>
        <w:numPr>
          <w:ilvl w:val="0"/>
          <w:numId w:val="12"/>
        </w:numPr>
      </w:pPr>
      <w:r>
        <w:t>Kako biste predstavili bećarac bez izmišljanja „autentičnih” stihova?</w:t>
      </w:r>
    </w:p>
    <w:p>
      <w:pPr>
        <w:numPr>
          <w:ilvl w:val="0"/>
          <w:numId w:val="12"/>
        </w:numPr>
      </w:pPr>
      <w:r>
        <w:t>Koja je razlika između Baranjskog kulena i Slavonskog kulena/Slavonskog kulina kao registriranih naziva?</w:t>
      </w:r>
    </w:p>
    <w:p>
      <w:pPr>
        <w:numPr>
          <w:ilvl w:val="0"/>
          <w:numId w:val="12"/>
        </w:numPr>
      </w:pPr>
      <w:r>
        <w:t>Koje provjere prethode degustaciji za skupinu s maloljetnicima i alergijama?</w:t>
      </w:r>
    </w:p>
    <w:p>
      <w:pPr>
        <w:numPr>
          <w:ilvl w:val="0"/>
          <w:numId w:val="12"/>
        </w:numPr>
      </w:pPr>
      <w:r>
        <w:t>Kako tri različita glasa sprječavaju stereotipnu sliku zajednice?</w:t>
      </w:r>
    </w:p>
    <w:p>
      <w:pPr>
        <w:pStyle w:val="Heading2"/>
        <w:keepNext/>
      </w:pPr>
      <w:r>
        <w:t>Kriteriji vrednovanja usmene izvedbe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65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Kriterij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Odlična izvedba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Nedovoljna izvedba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Točnost i izvori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Razlikuje činjenicu, glas i interpretaciju; izvori su primjereni.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Izmišljena atribucija, pogrešan status ili tvrdnja bez izvora.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Mjesto i predmet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Opažaj vodi prema funkciji, značenju i odnosu s ljudima.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Popis stilova, imena ili jela bez veze s lokalitetom.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Zajednica i etika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Pristanak, atribucija, više glasova i jasne granice.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Prisvajanje, stereotip, tajno snimanje ili glumljenje autentičnosti.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Operativna izvedba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Provjerava pristup, domaćina, prava, alergene, sigurnost i alternativu.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Ignorira bogoslužje, kapacitet, alkohol, alergene ili pravo uporabe.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Interpretacija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Jedna nosiva poruka, sudjelovanje publike i prilagodba.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Enciklopedijsko predavanje bez opažanja i pitanja.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Pojmovnik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70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Pojam</w:t>
            </w:r>
          </w:p>
        </w:tc>
        <w:tc>
          <w:tcPr>
            <w:tcW w:type="dxa" w:w="6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Radna definicija za vodiča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Kulturno okruženje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Mreža materijalnih oblika, živih praksi, institucija, sjećanja i suvremenih odnosa u prostoru.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Historicizam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Arhitektonska i umjetnička praksa 19. stoljeća koja svjesno bira i prerađuje povijesne stilove.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Provenijencija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Dokumentirano podrijetlo i povijest vlasništva ili kretanja predmeta/djela.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Ikonografija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Prepoznavanje i tumačenje motiva i tema u vizualnom djelu na temelju izvora i konteksta.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Nematerijalna kulturna baština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Prakse, izrazi, znanja i vještine koje zajednice prepoznaju kao dio svoje baštine i prenose dalje.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Nositelj baštine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Zajednica, skupina ili pojedinac koji praksu smatra svojom, izvodi je, održava ili prenosi.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Očuvanje / safeguarding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Mjere koje podupiru održivost i prijenos žive baštine bez njezina zamrzavanja.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Slobodan, prethodan i informiran pristanak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Dobrovoljan dogovor prije sudjelovanja, uz razumljivu svrhu, način uporabe i mogućnost povlačenja.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Manifestacija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Organizirani javni događaj koji odabire i oblikuje kulturne sadržaje; nije sinonim za cjelinu tradicije.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ZOZP / PGI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EU oznaka za proizvod čija je kvaliteta, ugled ili druga značajka povezana sa zemljopisnim podrijetlom prema specifikaciji.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Senzorna interpretacija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Vođeno opažanje izgleda, mirisa, okusa i teksture povezano s postupkom, mjestom i ljudima.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Stereotip</w:t>
            </w:r>
          </w:p>
        </w:tc>
        <w:tc>
          <w:tcPr>
            <w:tcW w:type="dxa" w:w="6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Pojednostavljena i kruta predodžba koja razlike unutar zajednice svodi na navodno zajedničku osobinu.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Izvori za v0.9 i obvezna provjera prije v1.0</w:t>
      </w:r>
    </w:p>
    <w:p>
      <w:pPr>
        <w:spacing w:before="120" w:after="160" w:line="283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UREDNIČKA NAPOMENA  </w:t>
      </w:r>
      <w:r>
        <w:rPr>
          <w:rFonts w:ascii="Calibri" w:hAnsi="Calibri"/>
          <w:b/>
          <w:color w:val="17324D"/>
          <w:sz w:val="21"/>
        </w:rPr>
        <w:t>Prije izdanja v1.0 potrebno je dopuniti pune bibliografske zapise, datume pristupa, inventarne oznake, registre kulturnih dobara, točne uvjete korištenja, recenzentske potvrde i kontakte nositelja/domaćina.</w:t>
      </w:r>
    </w:p>
    <w:p>
      <w:pPr>
        <w:numPr>
          <w:ilvl w:val="0"/>
          <w:numId w:val="13"/>
        </w:numPr>
      </w:pPr>
      <w:r>
        <w:t>Program seminara za posebni dio stručnog ispita po regijama – Regija I, R3 (dokument naručitelja).</w:t>
      </w:r>
    </w:p>
    <w:p>
      <w:pPr>
        <w:numPr>
          <w:ilvl w:val="0"/>
          <w:numId w:val="13"/>
        </w:numPr>
      </w:pPr>
      <w:r>
        <w:t>UNESCO Intangible Cultural Heritage: Ethics and Intangible Cultural Heritage; Safeguarding without freezing; Involvement of communities, groups and individuals. ich.unesco.org</w:t>
      </w:r>
    </w:p>
    <w:p>
      <w:pPr>
        <w:numPr>
          <w:ilvl w:val="0"/>
          <w:numId w:val="13"/>
        </w:numPr>
      </w:pPr>
      <w:r>
        <w:t>UNESCO: Bećarac singing and playing from Eastern Croatia (Representative List, 2011). ich.unesco.org/en/RL/becarac-singing-and-playing-from-eastern-croatia-00358</w:t>
      </w:r>
    </w:p>
    <w:p>
      <w:pPr>
        <w:numPr>
          <w:ilvl w:val="0"/>
          <w:numId w:val="13"/>
        </w:numPr>
      </w:pPr>
      <w:r>
        <w:t>UNESCO: Spring procession of Ljelje/Kraljice (queens) from Gorjani (Representative List, 2009). ich.unesco.org/en/RL/spring-procession-of-ljelje-kraljice-queens-from-gorjani-00235</w:t>
      </w:r>
    </w:p>
    <w:p>
      <w:pPr>
        <w:numPr>
          <w:ilvl w:val="0"/>
          <w:numId w:val="13"/>
        </w:numPr>
      </w:pPr>
      <w:r>
        <w:t>Ministarstvo kulture i medija: Registar kulturnih dobara Republike Hrvatske i službeni pregled nematerijalnih dobara na UNESCO-ovu Reprezentativnom popisu. min-kulture.gov.hr</w:t>
      </w:r>
    </w:p>
    <w:p>
      <w:pPr>
        <w:numPr>
          <w:ilvl w:val="0"/>
          <w:numId w:val="13"/>
        </w:numPr>
      </w:pPr>
      <w:r>
        <w:t>Nadležni konzervatorski odjeli i službene evidencije za odabrane građevine, inventar i kulturno-povijesne cjeline.</w:t>
      </w:r>
    </w:p>
    <w:p>
      <w:pPr>
        <w:numPr>
          <w:ilvl w:val="0"/>
          <w:numId w:val="13"/>
        </w:numPr>
      </w:pPr>
      <w:r>
        <w:t>Muzejski dokumentacijski centar i službene stranice regionalnih muzeja, galerija, arhiva i knjižnica – inventarni i posjetiteljski podaci. mdc.hr</w:t>
      </w:r>
    </w:p>
    <w:p>
      <w:pPr>
        <w:numPr>
          <w:ilvl w:val="0"/>
          <w:numId w:val="13"/>
        </w:numPr>
      </w:pPr>
      <w:r>
        <w:t>Službene ustanove i organizatori Đakovačkih vezova i Vinkovačkih jeseni – aktualni programi, pravila snimanja i kontakti nositelja.</w:t>
      </w:r>
    </w:p>
    <w:p>
      <w:pPr>
        <w:numPr>
          <w:ilvl w:val="0"/>
          <w:numId w:val="13"/>
        </w:numPr>
      </w:pPr>
      <w:r>
        <w:t>EUR-Lex: Provedbena uredba Komisije (EU) 2015/1579 – Baranjski kulen (ZOZP/PGI). eur-lex.europa.eu/eli/reg_impl/2015/1579/oj</w:t>
      </w:r>
    </w:p>
    <w:p>
      <w:pPr>
        <w:numPr>
          <w:ilvl w:val="0"/>
          <w:numId w:val="13"/>
        </w:numPr>
      </w:pPr>
      <w:r>
        <w:t>EUR-Lex: Provedbena uredba Komisije (EU) 2017/1992 – Slavonski kulen/Slavonski kulin (ZOZP/PGI). eur-lex.europa.eu/eli/reg_impl/2017/1992/oj</w:t>
      </w:r>
    </w:p>
    <w:p>
      <w:pPr>
        <w:numPr>
          <w:ilvl w:val="0"/>
          <w:numId w:val="13"/>
        </w:numPr>
      </w:pPr>
      <w:r>
        <w:t>Europska komisija: eAmbrosia – registar oznaka zemljopisnog podrijetla; provjera aktualnog naziva i specifikacije prije izvedbe.</w:t>
      </w:r>
    </w:p>
    <w:p>
      <w:pPr>
        <w:numPr>
          <w:ilvl w:val="0"/>
          <w:numId w:val="13"/>
        </w:numPr>
      </w:pPr>
      <w:r>
        <w:t>Službene stranice vinogorja, proizvođača i domaćina u Kutjevu, Erdutu, Iloku i Baranji – podaci o proizvodu, posjetu, alergenima i odgovornoj usluzi.</w:t>
      </w:r>
    </w:p>
    <w:p>
      <w:pPr>
        <w:numPr>
          <w:ilvl w:val="0"/>
          <w:numId w:val="13"/>
        </w:numPr>
      </w:pPr>
      <w:r>
        <w:t>Hrvatski zavod za javno zdravstvo i važeći hrvatski propisi – sigurnost hrane, alergeni, alkohol i zaštita maloljetnika.</w:t>
      </w:r>
    </w:p>
    <w:p>
      <w:pPr>
        <w:numPr>
          <w:ilvl w:val="0"/>
          <w:numId w:val="13"/>
        </w:numPr>
      </w:pPr>
      <w:r>
        <w:t>Izvori zajednice: autorizirani razgovori, udruge, kulturno-umjetnička društva, vjerske i manjinske ustanove; za svaki zapis evidentirati pristanak i opseg uporabe.</w:t>
      </w:r>
    </w:p>
    <w:p>
      <w:pPr>
        <w:pStyle w:val="Heading2"/>
        <w:keepNext/>
      </w:pPr>
      <w:r>
        <w:t>Hijerarhija izvora</w:t>
      </w:r>
    </w:p>
    <w:p>
      <w:pPr>
        <w:numPr>
          <w:ilvl w:val="0"/>
          <w:numId w:val="10"/>
        </w:numPr>
      </w:pPr>
      <w:r>
        <w:t>Registar, propis i službeni izvor koriste se za status, naziv, pravila i aktualne uvjete.</w:t>
      </w:r>
    </w:p>
    <w:p>
      <w:pPr>
        <w:numPr>
          <w:ilvl w:val="0"/>
          <w:numId w:val="10"/>
        </w:numPr>
      </w:pPr>
      <w:r>
        <w:t>Konzervatorska, muzejska i recenzirana stručna literatura koristi se za dataciju, atribuciju, stil i kontekst.</w:t>
      </w:r>
    </w:p>
    <w:p>
      <w:pPr>
        <w:numPr>
          <w:ilvl w:val="0"/>
          <w:numId w:val="10"/>
        </w:numPr>
      </w:pPr>
      <w:r>
        <w:t>Nositelji i kazivači koriste se za iskustvo, značenje, izvedbu i samopredstavljanje – uz pristanak i atribuciju.</w:t>
      </w:r>
    </w:p>
    <w:p>
      <w:pPr>
        <w:numPr>
          <w:ilvl w:val="0"/>
          <w:numId w:val="10"/>
        </w:numPr>
      </w:pPr>
      <w:r>
        <w:t>Promotivni tekst može otvoriti pitanje, ali ne zamjenjuje stručnu potvrdu.</w:t>
      </w:r>
    </w:p>
    <w:p>
      <w:r>
        <w:br w:type="page"/>
      </w:r>
    </w:p>
    <w:p>
      <w:pPr>
        <w:pStyle w:val="Heading1"/>
        <w:keepNext/>
      </w:pPr>
      <w:r>
        <w:t>Popis ilustracija i prava uporabe</w:t>
      </w:r>
    </w:p>
    <w:p>
      <w:pPr>
        <w:widowControl/>
      </w:pPr>
      <w:r>
        <w:t>Dokument sadrži dvije vrste ilustracija. Dvanaest shema izrađeno je izvorno za ovaj kanonski tekst; one su didaktičke, a ne rekonstrukcije konkretnih objekata, nošnji, koreografija, receptura ili prostora. Jedanaest fotografija preuzeto je s Wikimedia Commonsa pod licencijama CC BY, CC BY-SA ili CC0; uz svaku su navedeni autor i licencija, a trajne poveznice nalaze se u prilogu. Fotografije žive baštine prikazuju javne izvedbe i ne zamjenjuju glas nositelja: prije uporabe u vlastitim materijalima treba zatražiti suglasnost zajednice. Ilustracije su numerirane redoslijedom pojavljivanja. Prije javne objave preporučuje se stručna provjera oznaka i konačno definiranje licence naručitelja.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00"/>
        <w:gridCol w:w="2350"/>
        <w:gridCol w:w="2350"/>
      </w:tblGrid>
      <w:tr>
        <w:trPr>
          <w:tblHeader w:val="true"/>
          <w:cantSplit/>
        </w:trP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Br.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Naziv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Status prava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Revizija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Kulturni sustav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Dvorac Pejačević, Virovitica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Tournasol7 / Wikimedia Commons / CC BY-SA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3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Panonska kuća u Karancu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Roland Puskaric / Wikimedia Commons / CC0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4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Vizualno čitanje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5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Tipologije gradnje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6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Osječka Tvrđa – vrata i bastioni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Pudelek / Wikimedia Commons / CC BY-SA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7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Katedrala sv. Petra, Đakovo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Christian Thieltges / Wikimedia Commons / CC BY-SA 3.0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8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Slojevi građevine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9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Predmet i priča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10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Književna geografija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11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Živa baština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12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Ophod ljelja kroz Gorjane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Iruka~enwiki / Wikimedia Commons / CC BY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javna izvedba; suglasnost zajednice zatražiti za daljnju uporabu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13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Oglavlja ljelja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Iruka~enwiki / Wikimedia Commons / CC BY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javna izvedba; kao gore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14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Bećarac i ljelje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15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Tamburaška pratnja u ophodu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Iruka~enwiki / Wikimedia Commons / CC BY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javna izvedba; kao gore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16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Pozornica Vinkovačkih jeseni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MirkoS18 / Wikimedia Commons / CC BY-SA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17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Festivalska ulica, Vinkovačke jeseni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IvanOS / Wikimedia Commons / CC BY-SA 3.0 HR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18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Praksa i manifestacija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19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Vinogradi u Baranji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Misalalic / Wikimedia Commons / CC BY-SA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20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Enogastronomski slijed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21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Podrumska postaja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22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Okućnica u Karancu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Euterpa Globtroter / Wikimedia Commons / CC BY-SA 4.0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licencija provjerena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23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Bez stereotipa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Izvorna shema; v0.9.1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provjeriti prije v1.0</w:t>
            </w:r>
          </w:p>
        </w:tc>
      </w:tr>
    </w:tbl>
    <w:p>
      <w:pPr>
        <w:pStyle w:val="Heading2"/>
        <w:keepNext/>
      </w:pPr>
      <w:r>
        <w:t>Trajne poveznice na izvore fotografija</w:t>
      </w:r>
    </w:p>
    <w:p>
      <w:pPr>
        <w:widowControl/>
      </w:pPr>
      <w:r>
        <w:t xml:space="preserve">Svih jedanaest fotografija preuzeto je s Wikimedia Commonsa 30. kolovoza 2026. Poveznica je trajni identifikator datoteke; na njoj se nalaze puni podaci o autoru, licenciji i povijesti datoteke. Kod licencija CC BY i CC BY-SA obvezno je navesti autora, naziv licencije i poveznicu na njezin tekst, a kod CC BY-SA izvedeni se materijal dijeli pod istim uvjetima. Fotografije ljelja i Vinkovačkih jeseni prikazuju javne izvedbe; slobodna licencija pokriva autorska prava fotografa, ali ne zamjenjuje suglasnost zajednice ni prikazanih osoba za nove namjene. Sheme (br. 1, 4, 5, 8, 9, 10, 11, 14, 18, 20, 21 i 23) izrađene su za ovaj dokument i nemaju vanjski izvor.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00"/>
        <w:gridCol w:w="2350"/>
        <w:gridCol w:w="2350"/>
      </w:tblGrid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Br.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Ilustracija i trajna poveznica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2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Dvorac Pejačević, Virovitica — https://commons.wikimedia.org/wiki/File:Pejacevic_Palace_in_Virovitica_%281%29.jpg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3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Panonska kuća u Karancu — https://commons.wikimedia.org/wiki/File:Ehemaliges_Bauernhaus_in_Karanac.jpg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6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Osječka Tvrđa – vrata i bastioni — https://commons.wikimedia.org/wiki/File:Tvr%C4%91a%2C_Osijek_04.jpg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7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Katedrala sv. Petra, Đakovo — https://commons.wikimedia.org/wiki/File:Front_Cathedral_Dakovo.JPG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12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Ophod ljelja kroz Gorjane — https://commons.wikimedia.org/wiki/File:Ljelje_Gorjani_2024-05-19_12_village_procession.jpg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13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Oglavlja ljelja — https://commons.wikimedia.org/wiki/File:Ljelje_Gorjani_2024-05-19_06_crown_detail.jpg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15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Tamburaška pratnja u ophodu — https://commons.wikimedia.org/wiki/File:Ljelje_Gorjani_2024-05-19_07_musicians.jpg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16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Pozornica Vinkovačkih jeseni — https://commons.wikimedia.org/wiki/File:Vinkova%C4%8Dke_jeseni_-_%D0%92%D0%B8%D0%BD%D0%BA%D0%BE%D0%B2%D0%B0%D1%87%D0%BA%D0%B5_%D1%98%D0%B5%D1%81%D0%B5%D0%BD%D0%B8_2023._03.jpg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17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Festivalska ulica, Vinkovačke jeseni — https://commons.wikimedia.org/wiki/File:Vinkova%C4%8Dke_jeseni_2023._%282%29.jpg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19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Vinogradi u Baranji — https://commons.wikimedia.org/wiki/File:Wine_route_in_Baranja.jpg</w:t>
            </w:r>
          </w:p>
        </w:tc>
      </w:tr>
      <w:tr>
        <w:trPr>
          <w:cantSplit/>
        </w:trPr>
        <w:tc>
          <w:tcPr>
            <w:tcW w:type="dxa" w:w="6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22</w:t>
            </w:r>
          </w:p>
        </w:tc>
        <w:tc>
          <w:tcPr>
            <w:tcW w:type="dxa" w:w="8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6"/>
              </w:rPr>
              <w:t xml:space="preserve">Okućnica u Karancu — https://commons.wikimedia.org/wiki/File:Karanac%2C_Baranja.jpg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Revizijska matrica za izdanje v1.0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390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Područje audita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Provjerava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Kriterij prihvaćanja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Graditeljska i likovna baština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povjesničar umjetnosti + konzervator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točne datacije, atribucije, termini, registri i pravila sakralnog prostora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Muzejska i književna baština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kustos + književni povjesničar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provenijencija, kontekst, zakonito citiranje i reprezentativan izbor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Nematerijalna baština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etnolog + nositelji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pristanak, samopredstavljanje, kontekst i očuvanje bez zamrzavanja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Enogastronomija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stručnjak GI + tehnolog/enolog + domaćin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točni nazivi, specifikacije, senzorna terminologija i provediva postaja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Pravo i sigurnost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pravnik + stručnjak hrane/alkohola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autorska i osobna prava, alergeni, maloljetnici, odgovorna usluga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Zajednice i uključivost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predstavnici zajednica + metodičar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nema stereotipa; zastupljeni različiti glasovi i dostupna izvedba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Jezik i vizuali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lektor + dizajner pristupačnosti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22222"/>
                <w:sz w:val="18"/>
              </w:rPr>
              <w:t>standardni hrvatski, čitljivost, alt-opisi, naslovi i prava uporabe; kod fotografija provjeren autor, licencija, trajna poveznica i primjerenost prikaza zajednice</w:t>
            </w:r>
          </w:p>
        </w:tc>
      </w:tr>
    </w:tbl>
    <w:p>
      <w:pPr>
        <w:spacing w:after="20"/>
      </w:pPr>
    </w:p>
    <w:p>
      <w:pPr>
        <w:spacing w:before="120" w:after="160" w:line="283" w:lineRule="auto"/>
        <w:ind w:left="202" w:right="115"/>
        <w:shd w:fill="FBF5E8"/>
        <w:pBdr>
          <w:left w:val="single" w:sz="18" w:space="8" w:color="B78727"/>
        </w:pBdr>
      </w:pPr>
      <w:r>
        <w:rPr>
          <w:rFonts w:ascii="Calibri" w:hAnsi="Calibri"/>
          <w:b/>
          <w:color w:val="B78727"/>
          <w:sz w:val="19"/>
        </w:rPr>
        <w:t xml:space="preserve">ODLUKA ZA OBJAVU  </w:t>
      </w:r>
      <w:r>
        <w:rPr>
          <w:rFonts w:ascii="Calibri" w:hAnsi="Calibri"/>
          <w:b/>
          <w:color w:val="17324D"/>
          <w:sz w:val="21"/>
        </w:rPr>
        <w:t>Oznaka v1.0 dopuštena je tek nakon zatvaranja svih revizijskih stavki i evidentiranja imena recenzenata, datuma, verzije izvora, suglasnosti nositelja i uredničkih odluka.</w:t>
      </w:r>
    </w:p>
    <w:p>
      <w:pPr>
        <w:pStyle w:val="Heading2"/>
        <w:keepNext/>
      </w:pPr>
      <w:r>
        <w:t>Kontrolna lista pristupačnosti</w:t>
      </w:r>
    </w:p>
    <w:p>
      <w:pPr>
        <w:numPr>
          <w:ilvl w:val="0"/>
          <w:numId w:val="10"/>
        </w:numPr>
      </w:pPr>
      <w:r>
        <w:t>Svaka ilustracija ima smislen opis i tekstualne oznake; boja nije jedini nositelj značenja.</w:t>
      </w:r>
    </w:p>
    <w:p>
      <w:pPr>
        <w:numPr>
          <w:ilvl w:val="0"/>
          <w:numId w:val="10"/>
        </w:numPr>
      </w:pPr>
      <w:r>
        <w:t>Naslovi slijede hijerarhiju; tablice imaju ponovljena zaglavlja i jednostavnu strukturu.</w:t>
      </w:r>
    </w:p>
    <w:p>
      <w:pPr>
        <w:numPr>
          <w:ilvl w:val="0"/>
          <w:numId w:val="10"/>
        </w:numPr>
      </w:pPr>
      <w:r>
        <w:t>Audio/video materijal mora imati titlove, transkript i opis relevantnog zvuka ili pokreta.</w:t>
      </w:r>
    </w:p>
    <w:p>
      <w:pPr>
        <w:numPr>
          <w:ilvl w:val="0"/>
          <w:numId w:val="10"/>
        </w:numPr>
      </w:pPr>
      <w:r>
        <w:t>Degustacijska i terenska izvedba predviđa pristupačan ulaz ili jednakovrijednu zamjenu.</w:t>
      </w:r>
    </w:p>
    <w:p>
      <w:pPr>
        <w:numPr>
          <w:ilvl w:val="0"/>
          <w:numId w:val="10"/>
        </w:numPr>
      </w:pPr>
      <w:r>
        <w:t>Konačni PDF/HTML provjerava se tipkovnicom i čitačem zaslona nakon izvoza.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R3 · Kulturno okruženje i nematerijalna baština  |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7085"/>
        <w:sz w:val="16"/>
      </w:rPr>
      <w:t>POSEBNI PROGRAM · REGIJA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 – Kulturno okruženje Regije I i nematerijalna baština</dc:title>
  <dc:subject>Posebni program za turističke vodiče – Regija I</dc:subject>
  <dc:creator>Razvojni urednički tim</dc:creator>
  <cp:keywords>Regija I, R3, kulturna baština, bećarac, ljelje, enogastronomija, interpretacija</cp:keywords>
  <dc:description>Kanonski tekst v0.9 za stručnu reviziju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