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line="480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Default"/>
        <w:suppressAutoHyphens w:val="1"/>
        <w:spacing w:before="0" w:line="480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Default"/>
        <w:suppressAutoHyphens w:val="1"/>
        <w:spacing w:before="0" w:line="480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Default"/>
        <w:suppressAutoHyphens w:val="1"/>
        <w:spacing w:before="0" w:line="480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Default"/>
        <w:suppressAutoHyphens w:val="1"/>
        <w:spacing w:before="0" w:line="480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Default"/>
        <w:suppressAutoHyphens w:val="1"/>
        <w:spacing w:before="0" w:line="480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Default"/>
        <w:suppressAutoHyphens w:val="1"/>
        <w:spacing w:before="0" w:line="480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Default"/>
        <w:suppressAutoHyphens w:val="1"/>
        <w:spacing w:before="0" w:line="480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Default"/>
        <w:suppressAutoHyphens w:val="1"/>
        <w:spacing w:before="0" w:line="480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de-DE"/>
        </w:rPr>
        <w:t>DELIVERABLE #6</w:t>
      </w:r>
    </w:p>
    <w:p>
      <w:pPr>
        <w:pStyle w:val="Default"/>
        <w:suppressAutoHyphens w:val="1"/>
        <w:spacing w:before="0" w:line="480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nl-NL"/>
        </w:rPr>
        <w:t>Saleem Mohammed</w:t>
      </w:r>
    </w:p>
    <w:p>
      <w:pPr>
        <w:pStyle w:val="Default"/>
        <w:suppressAutoHyphens w:val="1"/>
        <w:spacing w:before="0" w:line="480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en-US"/>
        </w:rPr>
        <w:t>Information Technology Field Experience-EX20</w:t>
      </w:r>
    </w:p>
    <w:p>
      <w:pPr>
        <w:pStyle w:val="Default"/>
        <w:suppressAutoHyphens w:val="1"/>
        <w:spacing w:before="0" w:line="480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it-IT"/>
        </w:rPr>
        <w:t>Michael Moifolley</w:t>
      </w:r>
    </w:p>
    <w:p>
      <w:pPr>
        <w:pStyle w:val="Default"/>
        <w:suppressAutoHyphens w:val="1"/>
        <w:spacing w:before="0" w:line="480" w:lineRule="auto"/>
        <w:jc w:val="center"/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20th July, 2025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PTO Request and Approval Tracker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59"/>
        <w:gridCol w:w="1664"/>
        <w:gridCol w:w="1825"/>
        <w:gridCol w:w="2278"/>
        <w:gridCol w:w="2512"/>
      </w:tblGrid>
      <w:tr>
        <w:tblPrEx>
          <w:shd w:val="clear" w:color="auto" w:fill="auto"/>
        </w:tblPrEx>
        <w:trPr>
          <w:trHeight w:val="567" w:hRule="atLeast"/>
        </w:trPr>
        <w:tc>
          <w:tcPr>
            <w:tcW w:type="dxa" w:w="13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Employee Name</w:t>
            </w:r>
          </w:p>
        </w:tc>
        <w:tc>
          <w:tcPr>
            <w:tcW w:type="dxa" w:w="16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Requested Time Off</w:t>
            </w:r>
          </w:p>
        </w:tc>
        <w:tc>
          <w:tcPr>
            <w:tcW w:type="dxa" w:w="18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Date Range</w:t>
            </w:r>
          </w:p>
        </w:tc>
        <w:tc>
          <w:tcPr>
            <w:tcW w:type="dxa" w:w="2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Supervisor Approval Status</w:t>
            </w:r>
          </w:p>
        </w:tc>
        <w:tc>
          <w:tcPr>
            <w:tcW w:type="dxa" w:w="2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Notes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3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John Smith</w:t>
            </w:r>
          </w:p>
        </w:tc>
        <w:tc>
          <w:tcPr>
            <w:tcW w:type="dxa" w:w="16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Vacation</w:t>
            </w:r>
          </w:p>
        </w:tc>
        <w:tc>
          <w:tcPr>
            <w:tcW w:type="dxa" w:w="18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Aug 5 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–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Aug 9, 2025</w:t>
            </w:r>
          </w:p>
        </w:tc>
        <w:tc>
          <w:tcPr>
            <w:tcW w:type="dxa" w:w="2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Approved</w:t>
            </w:r>
          </w:p>
        </w:tc>
        <w:tc>
          <w:tcPr>
            <w:tcW w:type="dxa" w:w="2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Coverage arranged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3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Priya Patel</w:t>
            </w:r>
          </w:p>
        </w:tc>
        <w:tc>
          <w:tcPr>
            <w:tcW w:type="dxa" w:w="16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Sick Leave</w:t>
            </w:r>
          </w:p>
        </w:tc>
        <w:tc>
          <w:tcPr>
            <w:tcW w:type="dxa" w:w="18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July 18 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–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July 20, 2025</w:t>
            </w:r>
          </w:p>
        </w:tc>
        <w:tc>
          <w:tcPr>
            <w:tcW w:type="dxa" w:w="2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Pending</w:t>
            </w:r>
          </w:p>
        </w:tc>
        <w:tc>
          <w:tcPr>
            <w:tcW w:type="dxa" w:w="2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Doctor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’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s note to be submitted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3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David Kim</w:t>
            </w:r>
          </w:p>
        </w:tc>
        <w:tc>
          <w:tcPr>
            <w:tcW w:type="dxa" w:w="16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Personal Day</w:t>
            </w:r>
          </w:p>
        </w:tc>
        <w:tc>
          <w:tcPr>
            <w:tcW w:type="dxa" w:w="18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Aug 1, 2025</w:t>
            </w:r>
          </w:p>
        </w:tc>
        <w:tc>
          <w:tcPr>
            <w:tcW w:type="dxa" w:w="2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Approved</w:t>
            </w:r>
          </w:p>
        </w:tc>
        <w:tc>
          <w:tcPr>
            <w:tcW w:type="dxa" w:w="2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Will check in remotely if needed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3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Maria Gonzalez</w:t>
            </w:r>
          </w:p>
        </w:tc>
        <w:tc>
          <w:tcPr>
            <w:tcW w:type="dxa" w:w="16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Family Emergency</w:t>
            </w:r>
          </w:p>
        </w:tc>
        <w:tc>
          <w:tcPr>
            <w:tcW w:type="dxa" w:w="18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July 22 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–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July 24, 2025</w:t>
            </w:r>
          </w:p>
        </w:tc>
        <w:tc>
          <w:tcPr>
            <w:tcW w:type="dxa" w:w="2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Approved</w:t>
            </w:r>
          </w:p>
        </w:tc>
        <w:tc>
          <w:tcPr>
            <w:tcW w:type="dxa" w:w="2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HR notified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3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Ethan Brown</w:t>
            </w:r>
          </w:p>
        </w:tc>
        <w:tc>
          <w:tcPr>
            <w:tcW w:type="dxa" w:w="16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Jury Duty</w:t>
            </w:r>
          </w:p>
        </w:tc>
        <w:tc>
          <w:tcPr>
            <w:tcW w:type="dxa" w:w="18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Aug 12 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–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Aug 14, 2025</w:t>
            </w:r>
          </w:p>
        </w:tc>
        <w:tc>
          <w:tcPr>
            <w:tcW w:type="dxa" w:w="2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Pending</w:t>
            </w:r>
          </w:p>
        </w:tc>
        <w:tc>
          <w:tcPr>
            <w:tcW w:type="dxa" w:w="2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Awaiting court confirmation</w:t>
            </w:r>
          </w:p>
        </w:tc>
      </w:tr>
    </w:tbl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Reference</w:t>
      </w:r>
    </w:p>
    <w:p>
      <w:pPr>
        <w:pStyle w:val="Default"/>
        <w:suppressAutoHyphens w:val="1"/>
        <w:spacing w:before="0" w:line="480" w:lineRule="auto"/>
        <w:jc w:val="left"/>
      </w:pPr>
      <w:r>
        <w:rPr>
          <w:rFonts w:ascii="Times New Roman" w:hAnsi="Times New Roman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Parmar, H., Quadros, R., Gaonkar, P., Menezes, B., &amp; Jaswal, S. (2024, May). Integrated Workspace </w:t>
      </w:r>
      <w:r>
        <w:rPr>
          <w:rFonts w:ascii="Times New Roman" w:cs="Times New Roman" w:hAnsi="Times New Roman" w:eastAsia="Times New Roman"/>
          <w:outline w:val="0"/>
          <w:color w:val="212121"/>
          <w:shd w:val="clear" w:color="auto" w:fill="ffffff"/>
          <w14:textFill>
            <w14:solidFill>
              <w14:srgbClr w14:val="222222"/>
            </w14:solidFill>
          </w14:textFill>
        </w:rPr>
        <w:tab/>
      </w:r>
      <w:r>
        <w:rPr>
          <w:rFonts w:ascii="Times New Roman" w:hAnsi="Times New Roman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Management System. In </w:t>
      </w:r>
      <w:r>
        <w:rPr>
          <w:rFonts w:ascii="Times New Roman" w:hAnsi="Times New Roman"/>
          <w:i w:val="1"/>
          <w:iCs w:val="1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2024</w:t>
      </w:r>
      <w:r>
        <w:rPr>
          <w:rFonts w:ascii="Times New Roman" w:hAnsi="Times New Roman"/>
          <w:i w:val="1"/>
          <w:iCs w:val="1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,</w:t>
      </w:r>
      <w:r>
        <w:rPr>
          <w:rFonts w:ascii="Times New Roman" w:hAnsi="Times New Roman"/>
          <w:i w:val="1"/>
          <w:iCs w:val="1"/>
          <w:outline w:val="0"/>
          <w:color w:val="212121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 Parul International Conference on Engineering and </w:t>
      </w:r>
      <w:r>
        <w:rPr>
          <w:rFonts w:ascii="Times New Roman" w:cs="Times New Roman" w:hAnsi="Times New Roman" w:eastAsia="Times New Roman"/>
          <w:i w:val="1"/>
          <w:iCs w:val="1"/>
          <w:outline w:val="0"/>
          <w:color w:val="212121"/>
          <w:shd w:val="clear" w:color="auto" w:fill="ffffff"/>
          <w14:textFill>
            <w14:solidFill>
              <w14:srgbClr w14:val="222222"/>
            </w14:solidFill>
          </w14:textFill>
        </w:rPr>
        <w:tab/>
        <w:tab/>
        <w:tab/>
      </w:r>
      <w:r>
        <w:rPr>
          <w:rFonts w:ascii="Times New Roman" w:hAnsi="Times New Roman"/>
          <w:i w:val="1"/>
          <w:iCs w:val="1"/>
          <w:outline w:val="0"/>
          <w:color w:val="212121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Technology (PICET)</w:t>
      </w:r>
      <w:r>
        <w:rPr>
          <w:rFonts w:ascii="Times New Roman" w:hAnsi="Times New Roman"/>
          <w:outline w:val="0"/>
          <w:color w:val="212121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 (pp. 1-6). IEEE.</w:t>
      </w:r>
      <w:r>
        <w:rPr>
          <w:rFonts w:ascii="Times New Roman" w:cs="Times New Roman" w:hAnsi="Times New Roman" w:eastAsia="Times New Roman"/>
          <w:outline w:val="0"/>
          <w:color w:val="212121"/>
          <w:shd w:val="clear" w:color="auto" w:fill="ffffff"/>
          <w14:textFill>
            <w14:solidFill>
              <w14:srgbClr w14:val="222222"/>
            </w14:solidFill>
          </w14:textFill>
        </w:rPr>
        <w:tab/>
        <w:tab/>
        <w:tab/>
        <w:tab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