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bidi/>
        <w:jc w:val="center"/>
      </w:pPr>
      <w:r>
        <w:rPr>
          <w:rFonts w:ascii="IBM Plex Sans Arabic" w:cs="IBM Plex Sans Arabic" w:hAnsi="IBM Plex Sans Arabic"/>
          <w:b/>
          <w:bCs/>
          <w:color w:val="101828"/>
          <w:sz w:val="56"/>
          <w:szCs w:val="56"/>
          <w:rtl/>
        </w:rPr>
        <w:t xml:space="preserve">دليل مستخدم النظام الداخلي</w:t>
      </w:r>
    </w:p>
    <w:p>
      <w:pPr>
        <w:bidi/>
        <w:spacing w:before="200"/>
        <w:jc w:val="center"/>
      </w:pPr>
      <w:r>
        <w:rPr>
          <w:rFonts w:ascii="IBM Plex Sans Arabic" w:cs="IBM Plex Sans Arabic" w:hAnsi="IBM Plex Sans Arabic"/>
          <w:color w:val="9D7A3D"/>
          <w:sz w:val="32"/>
          <w:szCs w:val="32"/>
          <w:rtl/>
        </w:rPr>
        <w:t xml:space="preserve">ديناميك كيوب — منصة الخدمات الحكومية</w:t>
      </w:r>
    </w:p>
    <w:p>
      <w:pPr>
        <w:bidi/>
        <w:spacing w:before="600"/>
        <w:jc w:val="center"/>
      </w:pPr>
      <w:r>
        <w:rPr>
          <w:rFonts w:ascii="IBM Plex Sans Arabic" w:cs="IBM Plex Sans Arabic" w:hAnsi="IBM Plex Sans Arabic"/>
          <w:color w:val="667085"/>
          <w:sz w:val="22"/>
          <w:szCs w:val="22"/>
          <w:rtl/>
        </w:rPr>
        <w:t xml:space="preserve">الإصدار 1.0 — أكتوبر 2026</w:t>
      </w:r>
    </w:p>
    <w:p>
      <w:pPr>
        <w:pageBreakBefore/>
        <w:bidi/>
      </w:pPr>
      <w:r>
        <w:rPr>
          <w:rFonts w:ascii="IBM Plex Sans Arabic" w:cs="IBM Plex Sans Arabic" w:hAnsi="IBM Plex Sans Arabic"/>
          <w:b/>
          <w:bCs/>
          <w:color w:val="9D7A3D"/>
          <w:sz w:val="32"/>
          <w:szCs w:val="32"/>
          <w:rtl/>
        </w:rPr>
        <w:t xml:space="preserve">المحتويات</w:t>
      </w:r>
    </w:p>
    <w:p>
      <w:pPr>
        <w:pBdr>
          <w:bottom w:val="dotted" w:color="D0D5DD" w:sz="4" w:space="4"/>
        </w:pBdr>
        <w:bidi/>
        <w:spacing w:after="80"/>
        <w:jc w:val="start"/>
      </w:pPr>
      <w:r>
        <w:rPr>
          <w:rFonts w:ascii="IBM Plex Sans Arabic" w:cs="IBM Plex Sans Arabic" w:hAnsi="IBM Plex Sans Arabic"/>
          <w:sz w:val="24"/>
          <w:szCs w:val="24"/>
          <w:rtl/>
        </w:rPr>
        <w:t xml:space="preserve">مقدمة</w:t>
      </w:r>
    </w:p>
    <w:p>
      <w:pPr>
        <w:pBdr>
          <w:bottom w:val="dotted" w:color="D0D5DD" w:sz="4" w:space="4"/>
        </w:pBdr>
        <w:bidi/>
        <w:spacing w:after="80"/>
        <w:jc w:val="start"/>
      </w:pPr>
      <w:r>
        <w:rPr>
          <w:rFonts w:ascii="IBM Plex Sans Arabic" w:cs="IBM Plex Sans Arabic" w:hAnsi="IBM Plex Sans Arabic"/>
          <w:sz w:val="24"/>
          <w:szCs w:val="24"/>
          <w:rtl/>
        </w:rPr>
        <w:t xml:space="preserve">1. الدخول والواجهة</w:t>
      </w:r>
    </w:p>
    <w:p>
      <w:pPr>
        <w:pBdr>
          <w:bottom w:val="dotted" w:color="D0D5DD" w:sz="4" w:space="4"/>
        </w:pBdr>
        <w:bidi/>
        <w:spacing w:after="80"/>
        <w:jc w:val="start"/>
      </w:pPr>
      <w:r>
        <w:rPr>
          <w:rFonts w:ascii="IBM Plex Sans Arabic" w:cs="IBM Plex Sans Arabic" w:hAnsi="IBM Plex Sans Arabic"/>
          <w:sz w:val="24"/>
          <w:szCs w:val="24"/>
          <w:rtl/>
        </w:rPr>
        <w:t xml:space="preserve">2. مركز الإجراءات</w:t>
      </w:r>
    </w:p>
    <w:p>
      <w:pPr>
        <w:pBdr>
          <w:bottom w:val="dotted" w:color="D0D5DD" w:sz="4" w:space="4"/>
        </w:pBdr>
        <w:bidi/>
        <w:spacing w:after="80"/>
        <w:jc w:val="start"/>
      </w:pPr>
      <w:r>
        <w:rPr>
          <w:rFonts w:ascii="IBM Plex Sans Arabic" w:cs="IBM Plex Sans Arabic" w:hAnsi="IBM Plex Sans Arabic"/>
          <w:sz w:val="24"/>
          <w:szCs w:val="24"/>
          <w:rtl/>
        </w:rPr>
        <w:t xml:space="preserve">3. الطلبات</w:t>
      </w:r>
    </w:p>
    <w:p>
      <w:pPr>
        <w:pBdr>
          <w:bottom w:val="dotted" w:color="D0D5DD" w:sz="4" w:space="4"/>
        </w:pBdr>
        <w:bidi/>
        <w:spacing w:after="80"/>
        <w:jc w:val="start"/>
      </w:pPr>
      <w:r>
        <w:rPr>
          <w:rFonts w:ascii="IBM Plex Sans Arabic" w:cs="IBM Plex Sans Arabic" w:hAnsi="IBM Plex Sans Arabic"/>
          <w:sz w:val="24"/>
          <w:szCs w:val="24"/>
          <w:rtl/>
        </w:rPr>
        <w:t xml:space="preserve">4. سجل المتعاملين</w:t>
      </w:r>
    </w:p>
    <w:p>
      <w:pPr>
        <w:pBdr>
          <w:bottom w:val="dotted" w:color="D0D5DD" w:sz="4" w:space="4"/>
        </w:pBdr>
        <w:bidi/>
        <w:spacing w:after="80"/>
        <w:jc w:val="start"/>
      </w:pPr>
      <w:r>
        <w:rPr>
          <w:rFonts w:ascii="IBM Plex Sans Arabic" w:cs="IBM Plex Sans Arabic" w:hAnsi="IBM Plex Sans Arabic"/>
          <w:sz w:val="24"/>
          <w:szCs w:val="24"/>
          <w:rtl/>
        </w:rPr>
        <w:t xml:space="preserve">5. المستندات والمدفوعات والزيارات والرسائل</w:t>
      </w:r>
    </w:p>
    <w:p>
      <w:pPr>
        <w:pBdr>
          <w:bottom w:val="dotted" w:color="D0D5DD" w:sz="4" w:space="4"/>
        </w:pBdr>
        <w:bidi/>
        <w:spacing w:after="80"/>
        <w:jc w:val="start"/>
      </w:pPr>
      <w:r>
        <w:rPr>
          <w:rFonts w:ascii="IBM Plex Sans Arabic" w:cs="IBM Plex Sans Arabic" w:hAnsi="IBM Plex Sans Arabic"/>
          <w:sz w:val="24"/>
          <w:szCs w:val="24"/>
          <w:rtl/>
        </w:rPr>
        <w:t xml:space="preserve">6. مفاهيم الإعداد</w:t>
      </w:r>
    </w:p>
    <w:p>
      <w:pPr>
        <w:pBdr>
          <w:bottom w:val="dotted" w:color="D0D5DD" w:sz="4" w:space="4"/>
        </w:pBdr>
        <w:bidi/>
        <w:spacing w:after="80"/>
        <w:jc w:val="start"/>
      </w:pPr>
      <w:r>
        <w:rPr>
          <w:rFonts w:ascii="IBM Plex Sans Arabic" w:cs="IBM Plex Sans Arabic" w:hAnsi="IBM Plex Sans Arabic"/>
          <w:sz w:val="24"/>
          <w:szCs w:val="24"/>
          <w:rtl/>
        </w:rPr>
        <w:t xml:space="preserve">7. إعداد الخدمات</w:t>
      </w:r>
    </w:p>
    <w:p>
      <w:pPr>
        <w:pBdr>
          <w:bottom w:val="dotted" w:color="D0D5DD" w:sz="4" w:space="4"/>
        </w:pBdr>
        <w:bidi/>
        <w:spacing w:after="80"/>
        <w:jc w:val="start"/>
      </w:pPr>
      <w:r>
        <w:rPr>
          <w:rFonts w:ascii="IBM Plex Sans Arabic" w:cs="IBM Plex Sans Arabic" w:hAnsi="IBM Plex Sans Arabic"/>
          <w:sz w:val="24"/>
          <w:szCs w:val="24"/>
          <w:rtl/>
        </w:rPr>
        <w:t xml:space="preserve">8. مسارات العمل</w:t>
      </w:r>
    </w:p>
    <w:p>
      <w:pPr>
        <w:pBdr>
          <w:bottom w:val="dotted" w:color="D0D5DD" w:sz="4" w:space="4"/>
        </w:pBdr>
        <w:bidi/>
        <w:spacing w:after="80"/>
        <w:jc w:val="start"/>
      </w:pPr>
      <w:r>
        <w:rPr>
          <w:rFonts w:ascii="IBM Plex Sans Arabic" w:cs="IBM Plex Sans Arabic" w:hAnsi="IBM Plex Sans Arabic"/>
          <w:sz w:val="24"/>
          <w:szCs w:val="24"/>
          <w:rtl/>
        </w:rPr>
        <w:t xml:space="preserve">9. قواعد القرار</w:t>
      </w:r>
    </w:p>
    <w:p>
      <w:pPr>
        <w:pBdr>
          <w:bottom w:val="dotted" w:color="D0D5DD" w:sz="4" w:space="4"/>
        </w:pBdr>
        <w:bidi/>
        <w:spacing w:after="80"/>
        <w:jc w:val="start"/>
      </w:pPr>
      <w:r>
        <w:rPr>
          <w:rFonts w:ascii="IBM Plex Sans Arabic" w:cs="IBM Plex Sans Arabic" w:hAnsi="IBM Plex Sans Arabic"/>
          <w:sz w:val="24"/>
          <w:szCs w:val="24"/>
          <w:rtl/>
        </w:rPr>
        <w:t xml:space="preserve">10. المستندات</w:t>
      </w:r>
    </w:p>
    <w:p>
      <w:pPr>
        <w:pBdr>
          <w:bottom w:val="dotted" w:color="D0D5DD" w:sz="4" w:space="4"/>
        </w:pBdr>
        <w:bidi/>
        <w:spacing w:after="80"/>
        <w:jc w:val="start"/>
      </w:pPr>
      <w:r>
        <w:rPr>
          <w:rFonts w:ascii="IBM Plex Sans Arabic" w:cs="IBM Plex Sans Arabic" w:hAnsi="IBM Plex Sans Arabic"/>
          <w:sz w:val="24"/>
          <w:szCs w:val="24"/>
          <w:rtl/>
        </w:rPr>
        <w:t xml:space="preserve">11. التنبيهات والرسائل</w:t>
      </w:r>
    </w:p>
    <w:p>
      <w:pPr>
        <w:pBdr>
          <w:bottom w:val="dotted" w:color="D0D5DD" w:sz="4" w:space="4"/>
        </w:pBdr>
        <w:bidi/>
        <w:spacing w:after="80"/>
        <w:jc w:val="start"/>
      </w:pPr>
      <w:r>
        <w:rPr>
          <w:rFonts w:ascii="IBM Plex Sans Arabic" w:cs="IBM Plex Sans Arabic" w:hAnsi="IBM Plex Sans Arabic"/>
          <w:sz w:val="24"/>
          <w:szCs w:val="24"/>
          <w:rtl/>
        </w:rPr>
        <w:t xml:space="preserve">12. المدفوعات</w:t>
      </w:r>
    </w:p>
    <w:p>
      <w:pPr>
        <w:pBdr>
          <w:bottom w:val="dotted" w:color="D0D5DD" w:sz="4" w:space="4"/>
        </w:pBdr>
        <w:bidi/>
        <w:spacing w:after="80"/>
        <w:jc w:val="start"/>
      </w:pPr>
      <w:r>
        <w:rPr>
          <w:rFonts w:ascii="IBM Plex Sans Arabic" w:cs="IBM Plex Sans Arabic" w:hAnsi="IBM Plex Sans Arabic"/>
          <w:sz w:val="24"/>
          <w:szCs w:val="24"/>
          <w:rtl/>
        </w:rPr>
        <w:t xml:space="preserve">13. الزيارات الميدانية</w:t>
      </w:r>
    </w:p>
    <w:p>
      <w:pPr>
        <w:pBdr>
          <w:bottom w:val="dotted" w:color="D0D5DD" w:sz="4" w:space="4"/>
        </w:pBdr>
        <w:bidi/>
        <w:spacing w:after="80"/>
        <w:jc w:val="start"/>
      </w:pPr>
      <w:r>
        <w:rPr>
          <w:rFonts w:ascii="IBM Plex Sans Arabic" w:cs="IBM Plex Sans Arabic" w:hAnsi="IBM Plex Sans Arabic"/>
          <w:sz w:val="24"/>
          <w:szCs w:val="24"/>
          <w:rtl/>
        </w:rPr>
        <w:t xml:space="preserve">14. محتوى البوابة</w:t>
      </w:r>
    </w:p>
    <w:p>
      <w:pPr>
        <w:pBdr>
          <w:bottom w:val="dotted" w:color="D0D5DD" w:sz="4" w:space="4"/>
        </w:pBdr>
        <w:bidi/>
        <w:spacing w:after="80"/>
        <w:jc w:val="start"/>
      </w:pPr>
      <w:r>
        <w:rPr>
          <w:rFonts w:ascii="IBM Plex Sans Arabic" w:cs="IBM Plex Sans Arabic" w:hAnsi="IBM Plex Sans Arabic"/>
          <w:sz w:val="24"/>
          <w:szCs w:val="24"/>
          <w:rtl/>
        </w:rPr>
        <w:t xml:space="preserve">15. التكاملات</w:t>
      </w:r>
    </w:p>
    <w:p>
      <w:pPr>
        <w:pBdr>
          <w:bottom w:val="dotted" w:color="D0D5DD" w:sz="4" w:space="4"/>
        </w:pBdr>
        <w:bidi/>
        <w:spacing w:after="80"/>
        <w:jc w:val="start"/>
      </w:pPr>
      <w:r>
        <w:rPr>
          <w:rFonts w:ascii="IBM Plex Sans Arabic" w:cs="IBM Plex Sans Arabic" w:hAnsi="IBM Plex Sans Arabic"/>
          <w:sz w:val="24"/>
          <w:szCs w:val="24"/>
          <w:rtl/>
        </w:rPr>
        <w:t xml:space="preserve">16. التحكم بالتطبيقات</w:t>
      </w:r>
    </w:p>
    <w:p>
      <w:pPr>
        <w:pBdr>
          <w:bottom w:val="dotted" w:color="D0D5DD" w:sz="4" w:space="4"/>
        </w:pBdr>
        <w:bidi/>
        <w:spacing w:after="80"/>
        <w:jc w:val="start"/>
      </w:pPr>
      <w:r>
        <w:rPr>
          <w:rFonts w:ascii="IBM Plex Sans Arabic" w:cs="IBM Plex Sans Arabic" w:hAnsi="IBM Plex Sans Arabic"/>
          <w:sz w:val="24"/>
          <w:szCs w:val="24"/>
          <w:rtl/>
        </w:rPr>
        <w:t xml:space="preserve">17. أسئلة شائعة</w:t>
      </w:r>
    </w:p>
    <w:p>
      <w:pPr>
        <w:pBdr>
          <w:bottom w:val="dotted" w:color="D0D5DD" w:sz="4" w:space="4"/>
        </w:pBdr>
        <w:bidi/>
        <w:spacing w:after="80"/>
        <w:jc w:val="start"/>
      </w:pPr>
      <w:r>
        <w:rPr>
          <w:rFonts w:ascii="IBM Plex Sans Arabic" w:cs="IBM Plex Sans Arabic" w:hAnsi="IBM Plex Sans Arabic"/>
          <w:sz w:val="24"/>
          <w:szCs w:val="24"/>
          <w:rtl/>
        </w:rPr>
        <w:t xml:space="preserve">مسرد المصطلحات</w:t>
      </w:r>
    </w:p>
    <w:p>
      <w:pPr>
        <w:pageBreakBefore/>
      </w:pPr>
    </w:p>
    <w:p>
      <w:pPr>
        <w:pStyle w:val="Heading1"/>
        <w:bidi/>
      </w:pPr>
      <w:r>
        <w:rPr>
          <w:rFonts w:ascii="IBM Plex Sans Arabic" w:cs="IBM Plex Sans Arabic" w:hAnsi="IBM Plex Sans Arabic"/>
          <w:rtl/>
        </w:rPr>
        <w:t xml:space="preserve">مقدمة</w:t>
      </w:r>
    </w:p>
    <w:p>
      <w:pPr>
        <w:bidi/>
        <w:spacing w:after="120" w:line="320"/>
        <w:jc w:val="start"/>
      </w:pPr>
      <w:r>
        <w:rPr>
          <w:rFonts w:ascii="IBM Plex Sans Arabic" w:cs="IBM Plex Sans Arabic" w:hAnsi="IBM Plex Sans Arabic"/>
          <w:rtl/>
        </w:rPr>
        <w:t xml:space="preserve">يشرح هذا الدليل استخدام النظام الداخلي لمنصة ديناميك كيوب للموظفين: معالجة الطلبات من مركز الإجراءات، ومتابعة الطلبات والمتعاملين والمستندات، وإعداد الخدمات ومسارات العمل والتنبيهات والصلاحيات دون برمجة.</w:t>
      </w:r>
    </w:p>
    <w:p>
      <w:pPr>
        <w:bidi/>
        <w:spacing w:after="120" w:line="320"/>
        <w:jc w:val="start"/>
      </w:pPr>
      <w:r>
        <w:rPr>
          <w:rFonts w:ascii="IBM Plex Sans Arabic" w:cs="IBM Plex Sans Arabic" w:hAnsi="IBM Plex Sans Arabic"/>
          <w:rtl/>
        </w:rPr>
        <w:t xml:space="preserve">الدليل موجه إلى ثلاث فئات:</w:t>
      </w:r>
    </w:p>
    <w:p>
      <w:pPr>
        <w:pStyle w:val="ListParagraph"/>
        <w:numPr>
          <w:ilvl w:val="0"/>
          <w:numId w:val="2"/>
        </w:numPr>
        <w:bidi/>
        <w:spacing w:after="80" w:line="300"/>
        <w:jc w:val="start"/>
      </w:pPr>
      <w:r>
        <w:rPr>
          <w:rFonts w:ascii="IBM Plex Sans Arabic" w:cs="IBM Plex Sans Arabic" w:hAnsi="IBM Plex Sans Arabic"/>
          <w:rtl/>
        </w:rPr>
        <w:t xml:space="preserve">موظفو المعالجة: يستلمون المهام ويتخذون الإجراءات على الطلبات (الفصول 2 إلى 5).</w:t>
      </w:r>
    </w:p>
    <w:p>
      <w:pPr>
        <w:pStyle w:val="ListParagraph"/>
        <w:numPr>
          <w:ilvl w:val="0"/>
          <w:numId w:val="2"/>
        </w:numPr>
        <w:bidi/>
        <w:spacing w:after="80" w:line="300"/>
        <w:jc w:val="start"/>
      </w:pPr>
      <w:r>
        <w:rPr>
          <w:rFonts w:ascii="IBM Plex Sans Arabic" w:cs="IBM Plex Sans Arabic" w:hAnsi="IBM Plex Sans Arabic"/>
          <w:rtl/>
        </w:rPr>
        <w:t xml:space="preserve">المشرفون: يوزعون المهام ويتابعون التأخير والتفويض (الفصل 2).</w:t>
      </w:r>
    </w:p>
    <w:p>
      <w:pPr>
        <w:pStyle w:val="ListParagraph"/>
        <w:numPr>
          <w:ilvl w:val="0"/>
          <w:numId w:val="2"/>
        </w:numPr>
        <w:bidi/>
        <w:spacing w:after="80" w:line="300"/>
        <w:jc w:val="start"/>
      </w:pPr>
      <w:r>
        <w:rPr>
          <w:rFonts w:ascii="IBM Plex Sans Arabic" w:cs="IBM Plex Sans Arabic" w:hAnsi="IBM Plex Sans Arabic"/>
          <w:rtl/>
        </w:rPr>
        <w:t xml:space="preserve">مسؤولو الإعداد: يضيفون الخدمات ومسارات العمل والقواعد والقوائم والصلاحيات (الفصول 6 إلى 16).</w:t>
      </w:r>
    </w:p>
    <w:p>
      <w:pPr>
        <w:pBdr>
          <w:right w:val="single" w:color="9D7A3D" w:sz="18" w:space="8"/>
        </w:pBdr>
        <w:shd w:fill="FBF8F2" w:color="auto" w:val="clear"/>
        <w:bidi/>
        <w:spacing w:after="120" w:line="320"/>
        <w:ind w:start="200" w:end="200"/>
        <w:jc w:val="start"/>
      </w:pPr>
      <w:r>
        <w:rPr>
          <w:rFonts w:ascii="IBM Plex Sans Arabic" w:cs="IBM Plex Sans Arabic" w:hAnsi="IBM Plex Sans Arabic"/>
          <w:b/>
          <w:bCs/>
          <w:color w:val="9D7A3D"/>
          <w:rtl/>
        </w:rPr>
        <w:t xml:space="preserve">ملاحظة: </w:t>
      </w:r>
      <w:r>
        <w:rPr>
          <w:rFonts w:ascii="IBM Plex Sans Arabic" w:cs="IBM Plex Sans Arabic" w:hAnsi="IBM Plex Sans Arabic"/>
          <w:rtl/>
        </w:rPr>
        <w:t xml:space="preserve">لا تظهر لكل موظف إلا الشاشات والإجراءات التي تمنحها له أدواره؛ لذلك قد تختلف قائمتك عما في الصور.</w:t>
      </w:r>
    </w:p>
    <w:p>
      <w:pPr>
        <w:pStyle w:val="Heading1"/>
        <w:pageBreakBefore/>
        <w:bidi/>
      </w:pPr>
      <w:r>
        <w:rPr>
          <w:rFonts w:ascii="IBM Plex Sans Arabic" w:cs="IBM Plex Sans Arabic" w:hAnsi="IBM Plex Sans Arabic"/>
          <w:rtl/>
        </w:rPr>
        <w:t xml:space="preserve">1. الدخول والواجهة</w:t>
      </w:r>
    </w:p>
    <w:p>
      <w:pPr>
        <w:pStyle w:val="Heading2"/>
        <w:bidi/>
      </w:pPr>
      <w:r>
        <w:rPr>
          <w:rFonts w:ascii="IBM Plex Sans Arabic" w:cs="IBM Plex Sans Arabic" w:hAnsi="IBM Plex Sans Arabic"/>
          <w:rtl/>
        </w:rPr>
        <w:t xml:space="preserve">1.1 تسجيل الدخول</w:t>
      </w:r>
    </w:p>
    <w:p>
      <w:pPr>
        <w:bidi/>
        <w:spacing w:after="120" w:line="320"/>
        <w:jc w:val="start"/>
      </w:pPr>
      <w:r>
        <w:rPr>
          <w:rFonts w:ascii="IBM Plex Sans Arabic" w:cs="IBM Plex Sans Arabic" w:hAnsi="IBM Plex Sans Arabic"/>
          <w:rtl/>
        </w:rPr>
        <w:t xml:space="preserve">افتح رابط النظام الداخلي، وأدخل اسم المستخدم وكلمة المرور، ثم اضغط «تسجيل الدخول». إذا كانت جهتك تستخدم الدخول الموحد فستنتقل إلى صفحة الجهة مباشرة.</w:t>
      </w:r>
    </w:p>
    <w:p>
      <w:pPr>
        <w:spacing w:after="60" w:before="120"/>
        <w:jc w:val="center"/>
      </w:pPr>
      <w:r>
        <w:drawing>
          <wp:inline distT="0" distB="0" distL="0" distR="0">
            <wp:extent cx="5715000" cy="3571875"/>
            <wp:effectExtent t="0" r="0" b="0" l="0"/>
            <wp:docPr id="1" name="00-login.jpg" descr="صفحة تسجيل الدخول" title="صفحة تسجيل الدخ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صفحة تسجيل الدخول</w:t>
      </w:r>
    </w:p>
    <w:p>
      <w:pPr>
        <w:pStyle w:val="Heading2"/>
        <w:bidi/>
      </w:pPr>
      <w:r>
        <w:rPr>
          <w:rFonts w:ascii="IBM Plex Sans Arabic" w:cs="IBM Plex Sans Arabic" w:hAnsi="IBM Plex Sans Arabic"/>
          <w:rtl/>
        </w:rPr>
        <w:t xml:space="preserve">1.2 مكونات الواجهة</w:t>
      </w:r>
    </w:p>
    <w:p>
      <w:pPr>
        <w:spacing w:after="60" w:before="120"/>
        <w:jc w:val="center"/>
      </w:pPr>
      <w:r>
        <w:drawing>
          <wp:inline distT="0" distB="0" distL="0" distR="0">
            <wp:extent cx="5715000" cy="3571875"/>
            <wp:effectExtent t="0" r="0" b="0" l="0"/>
            <wp:docPr id="1" name="01-home.jpg" descr="لوحة المعلومات والقائمة الجانبية" title="لوحة المعلومات والقائمة الجانب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لوحة المعلومات والقائمة الجانبية</w:t>
      </w:r>
    </w:p>
    <w:p>
      <w:pPr>
        <w:pStyle w:val="ListParagraph"/>
        <w:numPr>
          <w:ilvl w:val="0"/>
          <w:numId w:val="2"/>
        </w:numPr>
        <w:bidi/>
        <w:spacing w:after="80" w:line="300"/>
        <w:jc w:val="start"/>
      </w:pPr>
      <w:r>
        <w:rPr>
          <w:rFonts w:ascii="IBM Plex Sans Arabic" w:cs="IBM Plex Sans Arabic" w:hAnsi="IBM Plex Sans Arabic"/>
          <w:rtl/>
        </w:rPr>
        <w:t xml:space="preserve">القائمة الجانبية: مجموعات (مثل «مركز الإجراءات» و«الخدمات») تحت كل منها شاشاتها. اضغط سهم المجموعة لطيها أو فتحها، وزر القائمة أعلى الصفحة لإخفائها.</w:t>
      </w:r>
    </w:p>
    <w:p>
      <w:pPr>
        <w:pStyle w:val="ListParagraph"/>
        <w:numPr>
          <w:ilvl w:val="0"/>
          <w:numId w:val="2"/>
        </w:numPr>
        <w:bidi/>
        <w:spacing w:after="80" w:line="300"/>
        <w:jc w:val="start"/>
      </w:pPr>
      <w:r>
        <w:rPr>
          <w:rFonts w:ascii="IBM Plex Sans Arabic" w:cs="IBM Plex Sans Arabic" w:hAnsi="IBM Plex Sans Arabic"/>
          <w:rtl/>
        </w:rPr>
        <w:t xml:space="preserve">مسار التنقل أعلى كل شاشة يبين مكانك ويعيدك إلى ما قبلها.</w:t>
      </w:r>
    </w:p>
    <w:p>
      <w:pPr>
        <w:pStyle w:val="ListParagraph"/>
        <w:numPr>
          <w:ilvl w:val="0"/>
          <w:numId w:val="2"/>
        </w:numPr>
        <w:bidi/>
        <w:spacing w:after="80" w:line="300"/>
        <w:jc w:val="start"/>
      </w:pPr>
      <w:r>
        <w:rPr>
          <w:rFonts w:ascii="IBM Plex Sans Arabic" w:cs="IBM Plex Sans Arabic" w:hAnsi="IBM Plex Sans Arabic"/>
          <w:rtl/>
        </w:rPr>
        <w:t xml:space="preserve">الشريط العلوي: اختيار تطبيق الأعمال، والإشعارات (الجرس)، وتبديل اللغة بين العربية والإنجليزية، وقائمة المستخدم للخروج.</w:t>
      </w:r>
    </w:p>
    <w:p>
      <w:pPr>
        <w:pStyle w:val="Heading2"/>
        <w:bidi/>
      </w:pPr>
      <w:r>
        <w:rPr>
          <w:rFonts w:ascii="IBM Plex Sans Arabic" w:cs="IBM Plex Sans Arabic" w:hAnsi="IBM Plex Sans Arabic"/>
          <w:rtl/>
        </w:rPr>
        <w:t xml:space="preserve">1.3 تطبيقات الأعمال</w:t>
      </w:r>
    </w:p>
    <w:p>
      <w:pPr>
        <w:bidi/>
        <w:spacing w:after="120" w:line="320"/>
        <w:jc w:val="start"/>
      </w:pPr>
      <w:r>
        <w:rPr>
          <w:rFonts w:ascii="IBM Plex Sans Arabic" w:cs="IBM Plex Sans Arabic" w:hAnsi="IBM Plex Sans Arabic"/>
          <w:rtl/>
        </w:rPr>
        <w:t xml:space="preserve">قد تدير الجهة عدة خطوط أعمال (مثل التصنيف أو التصاريح أو الخدمات الميدانية)، ولكل منها خدماته وموظفوه. اختر التطبيق من الشريط العلوي فتقتصر القوائم والطلبات والمهام عليه، أو اختر «كل التطبيقات» لعرض كل ما يسمح به دورك.</w:t>
      </w:r>
    </w:p>
    <w:p>
      <w:pPr>
        <w:spacing w:after="60" w:before="120"/>
        <w:jc w:val="center"/>
      </w:pPr>
      <w:r>
        <w:drawing>
          <wp:inline distT="0" distB="0" distL="0" distR="0">
            <wp:extent cx="5715000" cy="3571875"/>
            <wp:effectExtent t="0" r="0" b="0" l="0"/>
            <wp:docPr id="1" name="57-app-selector.jpg" descr="اختيار تطبيق الأعمال" title="اختيار تطبيق الأعم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اختيار تطبيق الأعمال</w:t>
      </w:r>
    </w:p>
    <w:p>
      <w:pPr>
        <w:pStyle w:val="Heading1"/>
        <w:pageBreakBefore/>
        <w:bidi/>
      </w:pPr>
      <w:r>
        <w:rPr>
          <w:rFonts w:ascii="IBM Plex Sans Arabic" w:cs="IBM Plex Sans Arabic" w:hAnsi="IBM Plex Sans Arabic"/>
          <w:rtl/>
        </w:rPr>
        <w:t xml:space="preserve">2. مركز الإجراءات</w:t>
      </w:r>
    </w:p>
    <w:p>
      <w:pPr>
        <w:bidi/>
        <w:spacing w:after="120" w:line="320"/>
        <w:jc w:val="start"/>
      </w:pPr>
      <w:r>
        <w:rPr>
          <w:rFonts w:ascii="IBM Plex Sans Arabic" w:cs="IBM Plex Sans Arabic" w:hAnsi="IBM Plex Sans Arabic"/>
          <w:rtl/>
        </w:rPr>
        <w:t xml:space="preserve">مركز الإجراءات هو مكان العمل اليومي: كل خطوة في مسار طلب تحتاج إلى موظف تظهر هنا مهمةً.</w:t>
      </w:r>
    </w:p>
    <w:p>
      <w:pPr>
        <w:spacing w:after="60" w:before="120"/>
        <w:jc w:val="center"/>
      </w:pPr>
      <w:r>
        <w:drawing>
          <wp:inline distT="0" distB="0" distL="0" distR="0">
            <wp:extent cx="5715000" cy="3571875"/>
            <wp:effectExtent t="0" r="0" b="0" l="0"/>
            <wp:docPr id="1" name="02-inbox.jpg" descr="مركز الإجراءات" title="مركز الإجراء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مركز الإجراءات</w:t>
      </w:r>
    </w:p>
    <w:p>
      <w:pPr>
        <w:pStyle w:val="Heading2"/>
        <w:bidi/>
      </w:pPr>
      <w:r>
        <w:rPr>
          <w:rFonts w:ascii="IBM Plex Sans Arabic" w:cs="IBM Plex Sans Arabic" w:hAnsi="IBM Plex Sans Arabic"/>
          <w:rtl/>
        </w:rPr>
        <w:t xml:space="preserve">2.1 صناديق المهام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الصندوق</w:t>
            </w:r>
          </w:p>
        </w:tc>
        <w:tc>
          <w:tcPr>
            <w:tcW w:type="dxa" w:w="6638"/>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ما يحويه</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مهامي</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المهام المسندة إليك أو إلى من تنوب عنه.</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المهام المتاحة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مهام متاحة لدورك أو وحدتك؛ يستلمها أول من يضغط «استلام».</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للتوزيع</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مهام ينتظر فريقك أن توزعها عليهم (للموزعين والمشرفين).</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المتأخرة المصعّدة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مهام تجاوزت موعدها وصُعّدت إلى دورك.</w:t>
            </w:r>
          </w:p>
        </w:tc>
      </w:tr>
    </w:tbl>
    <w:p/>
    <w:p>
      <w:pPr>
        <w:bidi/>
        <w:spacing w:after="120" w:line="320"/>
        <w:jc w:val="start"/>
      </w:pPr>
      <w:r>
        <w:rPr>
          <w:rFonts w:ascii="IBM Plex Sans Arabic" w:cs="IBM Plex Sans Arabic" w:hAnsi="IBM Plex Sans Arabic"/>
          <w:rtl/>
        </w:rPr>
        <w:t xml:space="preserve">ابحث برقم الطلب أو اسم المستفيد، وراقب عمود «الموعد»: الأحمر متأخر، والبرتقالي يقترب من موعده.</w:t>
      </w:r>
    </w:p>
    <w:p>
      <w:pPr>
        <w:pStyle w:val="Heading2"/>
        <w:bidi/>
      </w:pPr>
      <w:r>
        <w:rPr>
          <w:rFonts w:ascii="IBM Plex Sans Arabic" w:cs="IBM Plex Sans Arabic" w:hAnsi="IBM Plex Sans Arabic"/>
          <w:rtl/>
        </w:rPr>
        <w:t xml:space="preserve">2.2 العمل على مهمة</w:t>
      </w:r>
    </w:p>
    <w:p>
      <w:pPr>
        <w:spacing w:after="60" w:before="120"/>
        <w:jc w:val="center"/>
      </w:pPr>
      <w:r>
        <w:drawing>
          <wp:inline distT="0" distB="0" distL="0" distR="0">
            <wp:extent cx="5715000" cy="3571875"/>
            <wp:effectExtent t="0" r="0" b="0" l="0"/>
            <wp:docPr id="1" name="58-task.jpg" descr="صفحة المهمة" title="صفحة المهم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صفحة المهمة</w:t>
      </w:r>
    </w:p>
    <w:p>
      <w:pPr>
        <w:pStyle w:val="ListParagraph"/>
        <w:numPr>
          <w:ilvl w:val="0"/>
          <w:numId w:val="3"/>
        </w:numPr>
        <w:bidi/>
        <w:spacing w:after="80" w:line="300"/>
        <w:jc w:val="start"/>
      </w:pPr>
      <w:r>
        <w:rPr>
          <w:rFonts w:ascii="IBM Plex Sans Arabic" w:cs="IBM Plex Sans Arabic" w:hAnsi="IBM Plex Sans Arabic"/>
          <w:rtl/>
        </w:rPr>
        <w:t xml:space="preserve">افتح المهمة من القائمة. تعرض الصفحة بيانات الطلب كما قدمها المستفيد، ومسار العمل ومراحله، وسجل الطلب.</w:t>
      </w:r>
    </w:p>
    <w:p>
      <w:pPr>
        <w:pStyle w:val="ListParagraph"/>
        <w:numPr>
          <w:ilvl w:val="0"/>
          <w:numId w:val="3"/>
        </w:numPr>
        <w:bidi/>
        <w:spacing w:after="80" w:line="300"/>
        <w:jc w:val="start"/>
      </w:pPr>
      <w:r>
        <w:rPr>
          <w:rFonts w:ascii="IBM Plex Sans Arabic" w:cs="IBM Plex Sans Arabic" w:hAnsi="IBM Plex Sans Arabic"/>
          <w:rtl/>
        </w:rPr>
        <w:t xml:space="preserve">اضغط «استلام» لتصبح المهمة لك (أو «إسناد» إن كنت موزعًا لاختيار الموظف).</w:t>
      </w:r>
    </w:p>
    <w:p>
      <w:pPr>
        <w:pStyle w:val="ListParagraph"/>
        <w:numPr>
          <w:ilvl w:val="0"/>
          <w:numId w:val="3"/>
        </w:numPr>
        <w:bidi/>
        <w:spacing w:after="80" w:line="300"/>
        <w:jc w:val="start"/>
      </w:pPr>
      <w:r>
        <w:rPr>
          <w:rFonts w:ascii="IBM Plex Sans Arabic" w:cs="IBM Plex Sans Arabic" w:hAnsi="IBM Plex Sans Arabic"/>
          <w:rtl/>
        </w:rPr>
        <w:t xml:space="preserve">راجع البيانات والمرفقات، وأضف «ملاحظة داخلية» عند الحاجة؛ لا تظهر الملاحظات لمقدم الطلب.</w:t>
      </w:r>
    </w:p>
    <w:p>
      <w:pPr>
        <w:pStyle w:val="ListParagraph"/>
        <w:numPr>
          <w:ilvl w:val="0"/>
          <w:numId w:val="3"/>
        </w:numPr>
        <w:bidi/>
        <w:spacing w:after="80" w:line="300"/>
        <w:jc w:val="start"/>
      </w:pPr>
      <w:r>
        <w:rPr>
          <w:rFonts w:ascii="IBM Plex Sans Arabic" w:cs="IBM Plex Sans Arabic" w:hAnsi="IBM Plex Sans Arabic"/>
          <w:rtl/>
        </w:rPr>
        <w:t xml:space="preserve">اختر الإجراء المناسب (مثل «إحالة» أو «اعتماد» أو «رفض» أو «إعادة للمستفيد»). يطلب بعض الإجراءات تعليقًا أو بيانات إضافية.</w:t>
      </w:r>
    </w:p>
    <w:p>
      <w:pPr>
        <w:pStyle w:val="ListParagraph"/>
        <w:numPr>
          <w:ilvl w:val="0"/>
          <w:numId w:val="3"/>
        </w:numPr>
        <w:bidi/>
        <w:spacing w:after="80" w:line="300"/>
        <w:jc w:val="start"/>
      </w:pPr>
      <w:r>
        <w:rPr>
          <w:rFonts w:ascii="IBM Plex Sans Arabic" w:cs="IBM Plex Sans Arabic" w:hAnsi="IBM Plex Sans Arabic"/>
          <w:rtl/>
        </w:rPr>
        <w:t xml:space="preserve">ينتقل الطلب إلى الخطوة التالية في مساره، ويُشعَر المستفيد إن كان ذلك مُعدًّا.</w:t>
      </w:r>
    </w:p>
    <w:p>
      <w:pPr>
        <w:pBdr>
          <w:right w:val="single" w:color="9D7A3D" w:sz="18" w:space="8"/>
        </w:pBdr>
        <w:shd w:fill="FBF8F2" w:color="auto" w:val="clear"/>
        <w:bidi/>
        <w:spacing w:after="120" w:line="320"/>
        <w:ind w:start="200" w:end="200"/>
        <w:jc w:val="start"/>
      </w:pPr>
      <w:r>
        <w:rPr>
          <w:rFonts w:ascii="IBM Plex Sans Arabic" w:cs="IBM Plex Sans Arabic" w:hAnsi="IBM Plex Sans Arabic"/>
          <w:b/>
          <w:bCs/>
          <w:color w:val="9D7A3D"/>
          <w:rtl/>
        </w:rPr>
        <w:t xml:space="preserve">ملاحظة: </w:t>
      </w:r>
      <w:r>
        <w:rPr>
          <w:rFonts w:ascii="IBM Plex Sans Arabic" w:cs="IBM Plex Sans Arabic" w:hAnsi="IBM Plex Sans Arabic"/>
          <w:rtl/>
        </w:rPr>
        <w:t xml:space="preserve">«إعادة للمستفيد» تعيد الطلب إلى البوابة ليعدله مقدم الطلب ثم يعيد إرساله، فيرجع إلى الخطوة نفسها.</w:t>
      </w:r>
    </w:p>
    <w:p>
      <w:pPr>
        <w:pStyle w:val="Heading2"/>
        <w:bidi/>
      </w:pPr>
      <w:r>
        <w:rPr>
          <w:rFonts w:ascii="IBM Plex Sans Arabic" w:cs="IBM Plex Sans Arabic" w:hAnsi="IBM Plex Sans Arabic"/>
          <w:rtl/>
        </w:rPr>
        <w:t xml:space="preserve">2.3 التفويض</w:t>
      </w:r>
    </w:p>
    <w:p>
      <w:pPr>
        <w:bidi/>
        <w:spacing w:after="120" w:line="320"/>
        <w:jc w:val="start"/>
      </w:pPr>
      <w:r>
        <w:rPr>
          <w:rFonts w:ascii="IBM Plex Sans Arabic" w:cs="IBM Plex Sans Arabic" w:hAnsi="IBM Plex Sans Arabic"/>
          <w:rtl/>
        </w:rPr>
        <w:t xml:space="preserve">اضغط «التفويض» في مركز الإجراءات لتحديد موظف ينوب عنك في فترة غيابك؛ تظهر مهامك في صندوقه خلال تلك الفترة.</w:t>
      </w:r>
    </w:p>
    <w:p>
      <w:pPr>
        <w:pStyle w:val="Heading2"/>
        <w:bidi/>
      </w:pPr>
      <w:r>
        <w:rPr>
          <w:rFonts w:ascii="IBM Plex Sans Arabic" w:cs="IBM Plex Sans Arabic" w:hAnsi="IBM Plex Sans Arabic"/>
          <w:rtl/>
        </w:rPr>
        <w:t xml:space="preserve">2.4 متابعة المهام (للمشرفين)</w:t>
      </w:r>
    </w:p>
    <w:p>
      <w:pPr>
        <w:bidi/>
        <w:spacing w:after="120" w:line="320"/>
        <w:jc w:val="start"/>
      </w:pPr>
      <w:r>
        <w:rPr>
          <w:rFonts w:ascii="IBM Plex Sans Arabic" w:cs="IBM Plex Sans Arabic" w:hAnsi="IBM Plex Sans Arabic"/>
          <w:rtl/>
        </w:rPr>
        <w:t xml:space="preserve">تعرض شاشة «متابعة المهام» المهام المفتوحة لكل الفريق مع أعمارها ومواعيدها، لإعادة الإسناد ومتابعة المتأخر.</w:t>
      </w:r>
    </w:p>
    <w:p>
      <w:pPr>
        <w:spacing w:after="60" w:before="120"/>
        <w:jc w:val="center"/>
      </w:pPr>
      <w:r>
        <w:drawing>
          <wp:inline distT="0" distB="0" distL="0" distR="0">
            <wp:extent cx="5715000" cy="3571875"/>
            <wp:effectExtent t="0" r="0" b="0" l="0"/>
            <wp:docPr id="1" name="03-supervision.jpg" descr="متابعة المهام" title="متابعة المه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متابعة المهام</w:t>
      </w:r>
    </w:p>
    <w:p>
      <w:pPr>
        <w:pStyle w:val="Heading1"/>
        <w:pageBreakBefore/>
        <w:bidi/>
      </w:pPr>
      <w:r>
        <w:rPr>
          <w:rFonts w:ascii="IBM Plex Sans Arabic" w:cs="IBM Plex Sans Arabic" w:hAnsi="IBM Plex Sans Arabic"/>
          <w:rtl/>
        </w:rPr>
        <w:t xml:space="preserve">3. الطلبات</w:t>
      </w:r>
    </w:p>
    <w:p>
      <w:pPr>
        <w:bidi/>
        <w:spacing w:after="120" w:line="320"/>
        <w:jc w:val="start"/>
      </w:pPr>
      <w:r>
        <w:rPr>
          <w:rFonts w:ascii="IBM Plex Sans Arabic" w:cs="IBM Plex Sans Arabic" w:hAnsi="IBM Plex Sans Arabic"/>
          <w:rtl/>
        </w:rPr>
        <w:t xml:space="preserve">من «الخدمات ← الطلبات» ابحث عن أي طلب بالرقم أو اسم المستفيد، وصفِّ حسب الحالة.</w:t>
      </w:r>
    </w:p>
    <w:p>
      <w:pPr>
        <w:spacing w:after="60" w:before="120"/>
        <w:jc w:val="center"/>
      </w:pPr>
      <w:r>
        <w:drawing>
          <wp:inline distT="0" distB="0" distL="0" distR="0">
            <wp:extent cx="5715000" cy="3571875"/>
            <wp:effectExtent t="0" r="0" b="0" l="0"/>
            <wp:docPr id="1" name="04-requests.jpg" descr="قائمة الطلبات" title="قائمة الطلب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قائمة الطلبات</w:t>
      </w:r>
    </w:p>
    <w:p>
      <w:pPr>
        <w:bidi/>
        <w:spacing w:after="120" w:line="320"/>
        <w:jc w:val="start"/>
      </w:pPr>
      <w:r>
        <w:rPr>
          <w:rFonts w:ascii="IBM Plex Sans Arabic" w:cs="IBM Plex Sans Arabic" w:hAnsi="IBM Plex Sans Arabic"/>
          <w:rtl/>
        </w:rPr>
        <w:t xml:space="preserve">اضغط رقم الطلب لعرض تفاصيله:</w:t>
      </w:r>
    </w:p>
    <w:p>
      <w:pPr>
        <w:spacing w:after="60" w:before="120"/>
        <w:jc w:val="center"/>
      </w:pPr>
      <w:r>
        <w:drawing>
          <wp:inline distT="0" distB="0" distL="0" distR="0">
            <wp:extent cx="5715000" cy="3571875"/>
            <wp:effectExtent t="0" r="0" b="0" l="0"/>
            <wp:docPr id="1" name="50-request-detail.jpg" descr="تفاصيل الطلب" title="تفاصيل الطل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تفاصيل الطلب</w:t>
      </w:r>
    </w:p>
    <w:p>
      <w:pPr>
        <w:pStyle w:val="ListParagraph"/>
        <w:numPr>
          <w:ilvl w:val="0"/>
          <w:numId w:val="2"/>
        </w:numPr>
        <w:bidi/>
        <w:spacing w:after="80" w:line="300"/>
        <w:jc w:val="start"/>
      </w:pPr>
      <w:r>
        <w:rPr>
          <w:rFonts w:ascii="IBM Plex Sans Arabic" w:cs="IBM Plex Sans Arabic" w:hAnsi="IBM Plex Sans Arabic"/>
          <w:rtl/>
        </w:rPr>
        <w:t xml:space="preserve">بيانات الطلب كما أدخلها المستفيد، مقسمة بأقسام النموذج.</w:t>
      </w:r>
    </w:p>
    <w:p>
      <w:pPr>
        <w:pStyle w:val="ListParagraph"/>
        <w:numPr>
          <w:ilvl w:val="0"/>
          <w:numId w:val="2"/>
        </w:numPr>
        <w:bidi/>
        <w:spacing w:after="80" w:line="300"/>
        <w:jc w:val="start"/>
      </w:pPr>
      <w:r>
        <w:rPr>
          <w:rFonts w:ascii="IBM Plex Sans Arabic" w:cs="IBM Plex Sans Arabic" w:hAnsi="IBM Plex Sans Arabic"/>
          <w:rtl/>
        </w:rPr>
        <w:t xml:space="preserve">مسار العمل: الإصدار المستخدم، والمراحل المفتوحة، وسجل الأحداث (وصول المهام، الإجراءات، الفواتير، الزيارات…).</w:t>
      </w:r>
    </w:p>
    <w:p>
      <w:pPr>
        <w:pStyle w:val="ListParagraph"/>
        <w:numPr>
          <w:ilvl w:val="0"/>
          <w:numId w:val="2"/>
        </w:numPr>
        <w:bidi/>
        <w:spacing w:after="80" w:line="300"/>
        <w:jc w:val="start"/>
      </w:pPr>
      <w:r>
        <w:rPr>
          <w:rFonts w:ascii="IBM Plex Sans Arabic" w:cs="IBM Plex Sans Arabic" w:hAnsi="IBM Plex Sans Arabic"/>
          <w:rtl/>
        </w:rPr>
        <w:t xml:space="preserve">إجمالي الرسوم: البنود والضريبة والإجمالي، وحالة الفاتورة.</w:t>
      </w:r>
    </w:p>
    <w:p>
      <w:pPr>
        <w:pStyle w:val="ListParagraph"/>
        <w:numPr>
          <w:ilvl w:val="0"/>
          <w:numId w:val="2"/>
        </w:numPr>
        <w:bidi/>
        <w:spacing w:after="80" w:line="300"/>
        <w:jc w:val="start"/>
      </w:pPr>
      <w:r>
        <w:rPr>
          <w:rFonts w:ascii="IBM Plex Sans Arabic" w:cs="IBM Plex Sans Arabic" w:hAnsi="IBM Plex Sans Arabic"/>
          <w:rtl/>
        </w:rPr>
        <w:t xml:space="preserve">المستندات الصادرة على الطلب.</w:t>
      </w:r>
    </w:p>
    <w:p>
      <w:pPr>
        <w:pStyle w:val="Heading1"/>
        <w:pageBreakBefore/>
        <w:bidi/>
      </w:pPr>
      <w:r>
        <w:rPr>
          <w:rFonts w:ascii="IBM Plex Sans Arabic" w:cs="IBM Plex Sans Arabic" w:hAnsi="IBM Plex Sans Arabic"/>
          <w:rtl/>
        </w:rPr>
        <w:t xml:space="preserve">4. سجل المتعاملين</w:t>
      </w:r>
    </w:p>
    <w:p>
      <w:pPr>
        <w:bidi/>
        <w:spacing w:after="120" w:line="320"/>
        <w:jc w:val="start"/>
      </w:pPr>
      <w:r>
        <w:rPr>
          <w:rFonts w:ascii="IBM Plex Sans Arabic" w:cs="IBM Plex Sans Arabic" w:hAnsi="IBM Plex Sans Arabic"/>
          <w:rtl/>
        </w:rPr>
        <w:t xml:space="preserve">يجمع السجل الأفراد والمنشآت التي تتعامل مع الجهة، ويُحدَّث تلقائيًا من التكاملات (مثل السجل التجاري) عند دخولهم البوابة.</w:t>
      </w:r>
    </w:p>
    <w:p>
      <w:pPr>
        <w:spacing w:after="60" w:before="120"/>
        <w:jc w:val="center"/>
      </w:pPr>
      <w:r>
        <w:drawing>
          <wp:inline distT="0" distB="0" distL="0" distR="0">
            <wp:extent cx="5715000" cy="3571875"/>
            <wp:effectExtent t="0" r="0" b="0" l="0"/>
            <wp:docPr id="1" name="26-parties.jpg" descr="قائمة المتعاملين" title="قائمة المتعاملي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قائمة المتعاملين</w:t>
      </w:r>
    </w:p>
    <w:p>
      <w:pPr>
        <w:pStyle w:val="Heading2"/>
        <w:bidi/>
      </w:pPr>
      <w:r>
        <w:rPr>
          <w:rFonts w:ascii="IBM Plex Sans Arabic" w:cs="IBM Plex Sans Arabic" w:hAnsi="IBM Plex Sans Arabic"/>
          <w:rtl/>
        </w:rPr>
        <w:t xml:space="preserve">4.1 ملف المتعامل</w:t>
      </w:r>
    </w:p>
    <w:p>
      <w:pPr>
        <w:spacing w:after="60" w:before="120"/>
        <w:jc w:val="center"/>
      </w:pPr>
      <w:r>
        <w:drawing>
          <wp:inline distT="0" distB="0" distL="0" distR="0">
            <wp:extent cx="5715000" cy="3571875"/>
            <wp:effectExtent t="0" r="0" b="0" l="0"/>
            <wp:docPr id="1" name="51-party-detail.jpg" descr="ملف المتعامل" title="ملف المتعام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ملف المتعامل</w:t>
      </w:r>
    </w:p>
    <w:p>
      <w:pPr>
        <w:pStyle w:val="ListParagraph"/>
        <w:numPr>
          <w:ilvl w:val="0"/>
          <w:numId w:val="2"/>
        </w:numPr>
        <w:bidi/>
        <w:spacing w:after="80" w:line="300"/>
        <w:jc w:val="start"/>
      </w:pPr>
      <w:r>
        <w:rPr>
          <w:rFonts w:ascii="IBM Plex Sans Arabic" w:cs="IBM Plex Sans Arabic" w:hAnsi="IBM Plex Sans Arabic"/>
          <w:rtl/>
        </w:rPr>
        <w:t xml:space="preserve">المعرفات: الهوية أو الإقامة أو السجل التجاري أو الرقم الموحد.</w:t>
      </w:r>
    </w:p>
    <w:p>
      <w:pPr>
        <w:pStyle w:val="ListParagraph"/>
        <w:numPr>
          <w:ilvl w:val="0"/>
          <w:numId w:val="2"/>
        </w:numPr>
        <w:bidi/>
        <w:spacing w:after="80" w:line="300"/>
        <w:jc w:val="start"/>
      </w:pPr>
      <w:r>
        <w:rPr>
          <w:rFonts w:ascii="IBM Plex Sans Arabic" w:cs="IBM Plex Sans Arabic" w:hAnsi="IBM Plex Sans Arabic"/>
          <w:rtl/>
        </w:rPr>
        <w:t xml:space="preserve">العلاقات: من يمثل المنشأة (مالك، شريك، مدير، مفوض) وصلاحية التمثيل في البوابة. أضف مفوضًا يدويًا محددًا بخدمات وفترة.</w:t>
      </w:r>
    </w:p>
    <w:p>
      <w:pPr>
        <w:pStyle w:val="ListParagraph"/>
        <w:numPr>
          <w:ilvl w:val="0"/>
          <w:numId w:val="2"/>
        </w:numPr>
        <w:bidi/>
        <w:spacing w:after="80" w:line="300"/>
        <w:jc w:val="start"/>
      </w:pPr>
      <w:r>
        <w:rPr>
          <w:rFonts w:ascii="IBM Plex Sans Arabic" w:cs="IBM Plex Sans Arabic" w:hAnsi="IBM Plex Sans Arabic"/>
          <w:rtl/>
        </w:rPr>
        <w:t xml:space="preserve">الشهادات والمشاريع: سجلات صادرة من جهات أخرى، مع تاريخ الانتهاء.</w:t>
      </w:r>
    </w:p>
    <w:p>
      <w:pPr>
        <w:pStyle w:val="ListParagraph"/>
        <w:numPr>
          <w:ilvl w:val="0"/>
          <w:numId w:val="2"/>
        </w:numPr>
        <w:bidi/>
        <w:spacing w:after="80" w:line="300"/>
        <w:jc w:val="start"/>
      </w:pPr>
      <w:r>
        <w:rPr>
          <w:rFonts w:ascii="IBM Plex Sans Arabic" w:cs="IBM Plex Sans Arabic" w:hAnsi="IBM Plex Sans Arabic"/>
          <w:rtl/>
        </w:rPr>
        <w:t xml:space="preserve">الجزاءات: منع من التقديم لمدة؛ يرفعها موظف غير من سجلها.</w:t>
      </w:r>
    </w:p>
    <w:p>
      <w:pPr>
        <w:pStyle w:val="ListParagraph"/>
        <w:numPr>
          <w:ilvl w:val="0"/>
          <w:numId w:val="2"/>
        </w:numPr>
        <w:bidi/>
        <w:spacing w:after="80" w:line="300"/>
        <w:jc w:val="start"/>
      </w:pPr>
      <w:r>
        <w:rPr>
          <w:rFonts w:ascii="IBM Plex Sans Arabic" w:cs="IBM Plex Sans Arabic" w:hAnsi="IBM Plex Sans Arabic"/>
          <w:rtl/>
        </w:rPr>
        <w:t xml:space="preserve">حساب البوابة: إنشاء حساب دخول للمستفيد برقم هويته وإرسال رابط تعيين كلمة المرور.</w:t>
      </w:r>
    </w:p>
    <w:p>
      <w:pPr>
        <w:pStyle w:val="Heading2"/>
        <w:bidi/>
      </w:pPr>
      <w:r>
        <w:rPr>
          <w:rFonts w:ascii="IBM Plex Sans Arabic" w:cs="IBM Plex Sans Arabic" w:hAnsi="IBM Plex Sans Arabic"/>
          <w:rtl/>
        </w:rPr>
        <w:t xml:space="preserve">4.2 حسابات البوابة</w:t>
      </w:r>
    </w:p>
    <w:p>
      <w:pPr>
        <w:bidi/>
        <w:spacing w:after="120" w:line="320"/>
        <w:jc w:val="start"/>
      </w:pPr>
      <w:r>
        <w:rPr>
          <w:rFonts w:ascii="IBM Plex Sans Arabic" w:cs="IBM Plex Sans Arabic" w:hAnsi="IBM Plex Sans Arabic"/>
          <w:rtl/>
        </w:rPr>
        <w:t xml:space="preserve">من «التحكم بالتطبيقات ← حسابات البوابة» ابحث عن حسابات المستفيدين، وفعّلها أو أوقفها، وأعد تعيين كلمات مرورها. اسم الدخول هو رقم الهوية أو الإقامة. تبيّن الملاحظة أعلى الشاشة هل تُنشأ الحسابات هنا أم يدخل المستفيدون عبر النفاذ الوطني الموحد.</w:t>
      </w:r>
    </w:p>
    <w:p>
      <w:pPr>
        <w:bidi/>
        <w:spacing w:after="120" w:line="320"/>
        <w:jc w:val="start"/>
      </w:pPr>
      <w:r>
        <w:rPr>
          <w:rFonts w:ascii="IBM Plex Sans Arabic" w:cs="IBM Plex Sans Arabic" w:hAnsi="IBM Plex Sans Arabic"/>
          <w:rtl/>
        </w:rPr>
        <w:t xml:space="preserve">في الحساب قسم «المنشآت التي يمثلها»: تظهر فيه المنشآت الواردة من السجل التجاري عند الدخول، وتضيف منه ربطًا بمنشأة (رقم السجل التجاري أو الرقم الموحد 700، وصفته فيها، وتاريخ الانتهاء والخدمات المسموحة)، ولو قبل أول دخول للشخص. المنشأة غير المسجلة تُسجَّل باسمها مع الربط. إذا كان الدخول عبر النفاذ فلا حساب محلي: ابحث برقم الهوية ثم «فتح صاحب الهوية».</w:t>
      </w:r>
    </w:p>
    <w:p>
      <w:pPr>
        <w:spacing w:after="60" w:before="120"/>
        <w:jc w:val="center"/>
      </w:pPr>
      <w:r>
        <w:drawing>
          <wp:inline distT="0" distB="0" distL="0" distR="0">
            <wp:extent cx="5715000" cy="3571875"/>
            <wp:effectExtent t="0" r="0" b="0" l="0"/>
            <wp:docPr id="1" name="36-portal-accounts.jpg" descr="حسابات البوابة" title="حسابات البواب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حسابات البوابة</w:t>
      </w:r>
    </w:p>
    <w:p>
      <w:pPr>
        <w:spacing w:after="60" w:before="120"/>
        <w:jc w:val="center"/>
      </w:pPr>
      <w:r>
        <w:drawing>
          <wp:inline distT="0" distB="0" distL="0" distR="0">
            <wp:extent cx="5715000" cy="3571875"/>
            <wp:effectExtent t="0" r="0" b="0" l="0"/>
            <wp:docPr id="1" name="36b-person-links.jpg" descr="حساب البوابة والمنشآت التي يمثلها" title="حساب البوابة والمنشآت التي يمثل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حساب البوابة والمنشآت التي يمثلها</w:t>
      </w:r>
    </w:p>
    <w:p>
      <w:pPr>
        <w:pStyle w:val="Heading1"/>
        <w:pageBreakBefore/>
        <w:bidi/>
      </w:pPr>
      <w:r>
        <w:rPr>
          <w:rFonts w:ascii="IBM Plex Sans Arabic" w:cs="IBM Plex Sans Arabic" w:hAnsi="IBM Plex Sans Arabic"/>
          <w:rtl/>
        </w:rPr>
        <w:t xml:space="preserve">5. المستندات والمدفوعات والزيارات والرسائل</w:t>
      </w:r>
    </w:p>
    <w:p>
      <w:pPr>
        <w:pStyle w:val="Heading2"/>
        <w:bidi/>
      </w:pPr>
      <w:r>
        <w:rPr>
          <w:rFonts w:ascii="IBM Plex Sans Arabic" w:cs="IBM Plex Sans Arabic" w:hAnsi="IBM Plex Sans Arabic"/>
          <w:rtl/>
        </w:rPr>
        <w:t xml:space="preserve">5.1 المستندات الصادرة</w:t>
      </w:r>
    </w:p>
    <w:p>
      <w:pPr>
        <w:bidi/>
        <w:spacing w:after="120" w:line="320"/>
        <w:jc w:val="start"/>
      </w:pPr>
      <w:r>
        <w:rPr>
          <w:rFonts w:ascii="IBM Plex Sans Arabic" w:cs="IBM Plex Sans Arabic" w:hAnsi="IBM Plex Sans Arabic"/>
          <w:rtl/>
        </w:rPr>
        <w:t xml:space="preserve">تعرض شاشة «المستندات الصادرة» الشهادات والتراخيص التي أصدرتها مسارات العمل، مع حالتها وتاريخ انتهائها. يمكنك عرض المستند وطباعته، وتغيير حالته (إيقاف أو إلغاء) بحسب صلاحيتك. يتحقق أي شخص من المستند برمز QR.</w:t>
      </w:r>
    </w:p>
    <w:p>
      <w:pPr>
        <w:spacing w:after="60" w:before="120"/>
        <w:jc w:val="center"/>
      </w:pPr>
      <w:r>
        <w:drawing>
          <wp:inline distT="0" distB="0" distL="0" distR="0">
            <wp:extent cx="5715000" cy="3571875"/>
            <wp:effectExtent t="0" r="0" b="0" l="0"/>
            <wp:docPr id="1" name="14-documents.jpg" descr="المستندات الصادرة" title="المستندات الصاد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المستندات الصادرة</w:t>
      </w:r>
    </w:p>
    <w:p>
      <w:pPr>
        <w:pStyle w:val="Heading2"/>
        <w:bidi/>
      </w:pPr>
      <w:r>
        <w:rPr>
          <w:rFonts w:ascii="IBM Plex Sans Arabic" w:cs="IBM Plex Sans Arabic" w:hAnsi="IBM Plex Sans Arabic"/>
          <w:rtl/>
        </w:rPr>
        <w:t xml:space="preserve">5.2 الفواتير</w:t>
      </w:r>
    </w:p>
    <w:p>
      <w:pPr>
        <w:bidi/>
        <w:spacing w:after="120" w:line="320"/>
        <w:jc w:val="start"/>
      </w:pPr>
      <w:r>
        <w:rPr>
          <w:rFonts w:ascii="IBM Plex Sans Arabic" w:cs="IBM Plex Sans Arabic" w:hAnsi="IBM Plex Sans Arabic"/>
          <w:rtl/>
        </w:rPr>
        <w:t xml:space="preserve">تعرض «المدفوعات ← الفواتير» فواتير سداد الطلبات وحالتها (بانتظار السداد، مسددة، منتهية، ملغاة).</w:t>
      </w:r>
    </w:p>
    <w:p>
      <w:pPr>
        <w:spacing w:after="60" w:before="120"/>
        <w:jc w:val="center"/>
      </w:pPr>
      <w:r>
        <w:drawing>
          <wp:inline distT="0" distB="0" distL="0" distR="0">
            <wp:extent cx="5715000" cy="3571875"/>
            <wp:effectExtent t="0" r="0" b="0" l="0"/>
            <wp:docPr id="1" name="20-bills.jpg" descr="الفواتير" title="الفواتي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الفواتير</w:t>
      </w:r>
    </w:p>
    <w:p>
      <w:pPr>
        <w:pStyle w:val="Heading2"/>
        <w:bidi/>
      </w:pPr>
      <w:r>
        <w:rPr>
          <w:rFonts w:ascii="IBM Plex Sans Arabic" w:cs="IBM Plex Sans Arabic" w:hAnsi="IBM Plex Sans Arabic"/>
          <w:rtl/>
        </w:rPr>
        <w:t xml:space="preserve">5.3 الزيارات الميدانية</w:t>
      </w:r>
    </w:p>
    <w:p>
      <w:pPr>
        <w:bidi/>
        <w:spacing w:after="120" w:line="320"/>
        <w:jc w:val="start"/>
      </w:pPr>
      <w:r>
        <w:rPr>
          <w:rFonts w:ascii="IBM Plex Sans Arabic" w:cs="IBM Plex Sans Arabic" w:hAnsi="IBM Plex Sans Arabic"/>
          <w:rtl/>
        </w:rPr>
        <w:t xml:space="preserve">تعرض «الزيارات» الزيارات المطلوبة من مسارات العمل: إسنادها إلى مفتش، وموعدها، ونتيجتها والصور والملاحظات. ينجز المفتش الزيارة من تطبيق الميدان ولو دون اتصال.</w:t>
      </w:r>
    </w:p>
    <w:p>
      <w:pPr>
        <w:spacing w:after="60" w:before="120"/>
        <w:jc w:val="center"/>
      </w:pPr>
      <w:r>
        <w:drawing>
          <wp:inline distT="0" distB="0" distL="0" distR="0">
            <wp:extent cx="5715000" cy="3571875"/>
            <wp:effectExtent t="0" r="0" b="0" l="0"/>
            <wp:docPr id="1" name="22-visits.jpg" descr="الزيارات" title="الزيار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الزيارات</w:t>
      </w:r>
    </w:p>
    <w:p>
      <w:pPr>
        <w:pStyle w:val="Heading2"/>
        <w:bidi/>
      </w:pPr>
      <w:r>
        <w:rPr>
          <w:rFonts w:ascii="IBM Plex Sans Arabic" w:cs="IBM Plex Sans Arabic" w:hAnsi="IBM Plex Sans Arabic"/>
          <w:rtl/>
        </w:rPr>
        <w:t xml:space="preserve">5.4 سجل الرسائل</w:t>
      </w:r>
    </w:p>
    <w:p>
      <w:pPr>
        <w:bidi/>
        <w:spacing w:after="120" w:line="320"/>
        <w:jc w:val="start"/>
      </w:pPr>
      <w:r>
        <w:rPr>
          <w:rFonts w:ascii="IBM Plex Sans Arabic" w:cs="IBM Plex Sans Arabic" w:hAnsi="IBM Plex Sans Arabic"/>
          <w:rtl/>
        </w:rPr>
        <w:t xml:space="preserve">يعرض «سجل الرسائل» كل بريد ورسالة نصية وإشعار أرسلته المنصة، مع حالة الإرسال وسبب الإخفاق إن وجد.</w:t>
      </w:r>
    </w:p>
    <w:p>
      <w:pPr>
        <w:spacing w:after="60" w:before="120"/>
        <w:jc w:val="center"/>
      </w:pPr>
      <w:r>
        <w:drawing>
          <wp:inline distT="0" distB="0" distL="0" distR="0">
            <wp:extent cx="5715000" cy="3571875"/>
            <wp:effectExtent t="0" r="0" b="0" l="0"/>
            <wp:docPr id="1" name="17-messages.jpg" descr="سجل الرسائل" title="سجل الرسائ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سجل الرسائل</w:t>
      </w:r>
    </w:p>
    <w:p>
      <w:pPr>
        <w:pStyle w:val="Heading1"/>
        <w:pageBreakBefore/>
        <w:bidi/>
      </w:pPr>
      <w:r>
        <w:rPr>
          <w:rFonts w:ascii="IBM Plex Sans Arabic" w:cs="IBM Plex Sans Arabic" w:hAnsi="IBM Plex Sans Arabic"/>
          <w:rtl/>
        </w:rPr>
        <w:t xml:space="preserve">6. مفاهيم الإعداد</w:t>
      </w:r>
    </w:p>
    <w:p>
      <w:pPr>
        <w:bidi/>
        <w:spacing w:after="120" w:line="320"/>
        <w:jc w:val="start"/>
      </w:pPr>
      <w:r>
        <w:rPr>
          <w:rFonts w:ascii="IBM Plex Sans Arabic" w:cs="IBM Plex Sans Arabic" w:hAnsi="IBM Plex Sans Arabic"/>
          <w:rtl/>
        </w:rPr>
        <w:t xml:space="preserve">كل شاشات الإعداد تعمل بالطريقة نفسها. افهم المفاهيم التالية مرة واحدة.</w:t>
      </w:r>
    </w:p>
    <w:p>
      <w:pPr>
        <w:pStyle w:val="Heading2"/>
        <w:bidi/>
      </w:pPr>
      <w:r>
        <w:rPr>
          <w:rFonts w:ascii="IBM Plex Sans Arabic" w:cs="IBM Plex Sans Arabic" w:hAnsi="IBM Plex Sans Arabic"/>
          <w:rtl/>
        </w:rPr>
        <w:t xml:space="preserve">6.1 طلبات التغيير والاعتماد</w:t>
      </w:r>
    </w:p>
    <w:p>
      <w:pPr>
        <w:bidi/>
        <w:spacing w:after="120" w:line="320"/>
        <w:jc w:val="start"/>
      </w:pPr>
      <w:r>
        <w:rPr>
          <w:rFonts w:ascii="IBM Plex Sans Arabic" w:cs="IBM Plex Sans Arabic" w:hAnsi="IBM Plex Sans Arabic"/>
          <w:rtl/>
        </w:rPr>
        <w:t xml:space="preserve">لا يُطبَّق أي تعديل على الإعداد مباشرة في المجالات التي تتطلب اعتمادًا. يُضاف التعديل إلى «مسودتك» ثم يمر بهذه المراحل: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المرحلة</w:t>
            </w:r>
          </w:p>
        </w:tc>
        <w:tc>
          <w:tcPr>
            <w:tcW w:type="dxa" w:w="3212"/>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من يقوم بها</w:t>
            </w:r>
          </w:p>
        </w:tc>
        <w:tc>
          <w:tcPr>
            <w:tcW w:type="dxa" w:w="3214"/>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ما يحدث</w:t>
            </w:r>
          </w:p>
        </w:tc>
      </w:tr>
      <w:tr>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مسودة</w:t>
            </w:r>
          </w:p>
        </w:tc>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المُعِدّ</w:t>
            </w:r>
          </w:p>
        </w:tc>
        <w:tc>
          <w:tcPr>
            <w:tcW w:type="dxa" w:w="32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تجمع التعديلات؛ يمكن تعديلها أو حذف بنودها.</w:t>
            </w:r>
          </w:p>
        </w:tc>
      </w:tr>
      <w:tr>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بانتظار الاعتماد</w:t>
            </w:r>
          </w:p>
        </w:tc>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المُعِدّ بضغط «إرسال للاعتماد»</w:t>
            </w:r>
          </w:p>
        </w:tc>
        <w:tc>
          <w:tcPr>
            <w:tcW w:type="dxa" w:w="32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تُقفل المسودة وتنتظر المعتمد.</w:t>
            </w:r>
          </w:p>
        </w:tc>
      </w:tr>
      <w:tr>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معتمد ثم منشور</w:t>
            </w:r>
          </w:p>
        </w:tc>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المعتمد بضغط «اعتماد ونشر»</w:t>
            </w:r>
          </w:p>
        </w:tc>
        <w:tc>
          <w:tcPr>
            <w:tcW w:type="dxa" w:w="32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تُطبَّق كل البنود معًا، أو لا يُطبَّق شيء إن فشل أحدها.</w:t>
            </w:r>
          </w:p>
        </w:tc>
      </w:tr>
      <w:tr>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مرفوض</w:t>
            </w:r>
          </w:p>
        </w:tc>
        <w:tc>
          <w:tcPr>
            <w:tcW w:type="dxa" w:w="3212"/>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المعتمد</w:t>
            </w:r>
          </w:p>
        </w:tc>
        <w:tc>
          <w:tcPr>
            <w:tcW w:type="dxa" w:w="3214"/>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تعود مع سبب الرفض.</w:t>
            </w:r>
          </w:p>
        </w:tc>
      </w:tr>
    </w:tbl>
    <w:p/>
    <w:p>
      <w:pPr>
        <w:spacing w:after="60" w:before="120"/>
        <w:jc w:val="center"/>
      </w:pPr>
      <w:r>
        <w:drawing>
          <wp:inline distT="0" distB="0" distL="0" distR="0">
            <wp:extent cx="5715000" cy="3571875"/>
            <wp:effectExtent t="0" r="0" b="0" l="0"/>
            <wp:docPr id="1" name="31-change-sets.jpg" descr="طلبات التغيير" title="طلبات التغيي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طلبات التغيير</w:t>
      </w:r>
    </w:p>
    <w:p>
      <w:pPr>
        <w:spacing w:after="60" w:before="120"/>
        <w:jc w:val="center"/>
      </w:pPr>
      <w:r>
        <w:drawing>
          <wp:inline distT="0" distB="0" distL="0" distR="0">
            <wp:extent cx="5715000" cy="3571875"/>
            <wp:effectExtent t="0" r="0" b="0" l="0"/>
            <wp:docPr id="1" name="56-change-set.jpg" descr="تفاصيل طلب تغيير: كل بند مع قيمته قبل التعديل وبعده" title="تفاصيل طلب تغيير: كل بند مع قيمته قبل التعديل وبع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تفاصيل طلب تغيير: كل بند مع قيمته قبل التعديل وبعده</w:t>
      </w:r>
    </w:p>
    <w:p>
      <w:pPr>
        <w:bidi/>
        <w:spacing w:after="120" w:line="320"/>
        <w:jc w:val="start"/>
      </w:pPr>
      <w:r>
        <w:rPr>
          <w:rFonts w:ascii="IBM Plex Sans Arabic" w:cs="IBM Plex Sans Arabic" w:hAnsi="IBM Plex Sans Arabic"/>
          <w:rtl/>
        </w:rPr>
        <w:t xml:space="preserve">تحدد «سياسة الاعتماد» أي مجالات الإعداد تحتاج إلى اعتماد، وأيها يُحفظ مباشرة.</w:t>
      </w:r>
    </w:p>
    <w:p>
      <w:pPr>
        <w:spacing w:after="60" w:before="120"/>
        <w:jc w:val="center"/>
      </w:pPr>
      <w:r>
        <w:drawing>
          <wp:inline distT="0" distB="0" distL="0" distR="0">
            <wp:extent cx="5715000" cy="3571875"/>
            <wp:effectExtent t="0" r="0" b="0" l="0"/>
            <wp:docPr id="1" name="42-approval-policy.jpg" descr="سياسة الاعتماد" title="سياسة الاعتم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سياسة الاعتماد</w:t>
      </w:r>
    </w:p>
    <w:p>
      <w:pPr>
        <w:pBdr>
          <w:right w:val="single" w:color="9D7A3D" w:sz="18" w:space="8"/>
        </w:pBdr>
        <w:shd w:fill="FBF8F2" w:color="auto" w:val="clear"/>
        <w:bidi/>
        <w:spacing w:after="120" w:line="320"/>
        <w:ind w:start="200" w:end="200"/>
        <w:jc w:val="start"/>
      </w:pPr>
      <w:r>
        <w:rPr>
          <w:rFonts w:ascii="IBM Plex Sans Arabic" w:cs="IBM Plex Sans Arabic" w:hAnsi="IBM Plex Sans Arabic"/>
          <w:b/>
          <w:bCs/>
          <w:color w:val="9D7A3D"/>
          <w:rtl/>
        </w:rPr>
        <w:t xml:space="preserve">ملاحظة: </w:t>
      </w:r>
      <w:r>
        <w:rPr>
          <w:rFonts w:ascii="IBM Plex Sans Arabic" w:cs="IBM Plex Sans Arabic" w:hAnsi="IBM Plex Sans Arabic"/>
          <w:rtl/>
        </w:rPr>
        <w:t xml:space="preserve">لا يعتمد الموظف طلب تغيير أعدّه بنفسه.</w:t>
      </w:r>
    </w:p>
    <w:p>
      <w:pPr>
        <w:pStyle w:val="Heading2"/>
        <w:bidi/>
      </w:pPr>
      <w:r>
        <w:rPr>
          <w:rFonts w:ascii="IBM Plex Sans Arabic" w:cs="IBM Plex Sans Arabic" w:hAnsi="IBM Plex Sans Arabic"/>
          <w:rtl/>
        </w:rPr>
        <w:t xml:space="preserve">6.2 نموذج التحرير</w:t>
      </w:r>
    </w:p>
    <w:p>
      <w:pPr>
        <w:bidi/>
        <w:spacing w:after="120" w:line="320"/>
        <w:jc w:val="start"/>
      </w:pPr>
      <w:r>
        <w:rPr>
          <w:rFonts w:ascii="IBM Plex Sans Arabic" w:cs="IBM Plex Sans Arabic" w:hAnsi="IBM Plex Sans Arabic"/>
          <w:rtl/>
        </w:rPr>
        <w:t xml:space="preserve">تُفتح السجلات في نموذج من ثلاثة أقسام: «البيانات الأساسية» (الرمز والاسمين والحالة)، و«التفاصيل» الخاصة بنوع السجل، و«المستوى».</w:t>
      </w:r>
    </w:p>
    <w:p>
      <w:pPr>
        <w:spacing w:after="60" w:before="120"/>
        <w:jc w:val="center"/>
      </w:pPr>
      <w:r>
        <w:drawing>
          <wp:inline distT="0" distB="0" distL="0" distR="0">
            <wp:extent cx="5715000" cy="3571875"/>
            <wp:effectExtent t="0" r="0" b="0" l="0"/>
            <wp:docPr id="1" name="52-config-editor.jpg" descr="نموذج تحرير سجل: الحقول المهيكلة على شكل جداول" title="نموذج تحرير سجل: الحقول المهيكلة على شكل جدا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نموذج تحرير سجل: الحقول المهيكلة على شكل جداول</w:t>
      </w:r>
    </w:p>
    <w:p>
      <w:pPr>
        <w:pStyle w:val="ListParagraph"/>
        <w:numPr>
          <w:ilvl w:val="0"/>
          <w:numId w:val="2"/>
        </w:numPr>
        <w:bidi/>
        <w:spacing w:after="80" w:line="300"/>
        <w:jc w:val="start"/>
      </w:pPr>
      <w:r>
        <w:rPr>
          <w:rFonts w:ascii="IBM Plex Sans Arabic" w:cs="IBM Plex Sans Arabic" w:hAnsi="IBM Plex Sans Arabic"/>
          <w:rtl/>
        </w:rPr>
        <w:t xml:space="preserve">الحقول المركبة (مثل حقول المستند أو مدخلات العملية) تُدخل في جداول: «إضافة صف»، وسهم لإعادة الترتيب، وسلة للحذف.</w:t>
      </w:r>
    </w:p>
    <w:p>
      <w:pPr>
        <w:pStyle w:val="ListParagraph"/>
        <w:numPr>
          <w:ilvl w:val="0"/>
          <w:numId w:val="2"/>
        </w:numPr>
        <w:bidi/>
        <w:spacing w:after="80" w:line="300"/>
        <w:jc w:val="start"/>
      </w:pPr>
      <w:r>
        <w:rPr>
          <w:rFonts w:ascii="IBM Plex Sans Arabic" w:cs="IBM Plex Sans Arabic" w:hAnsi="IBM Plex Sans Arabic"/>
          <w:rtl/>
        </w:rPr>
        <w:t xml:space="preserve">لكل حقل مركب مفتاح «نموذج / JSON»؛ عرض JSON للمطلعين فقط أو للصق إعداد جاهز، ولا يلزم استخدامه.</w:t>
      </w:r>
    </w:p>
    <w:p>
      <w:pPr>
        <w:pStyle w:val="ListParagraph"/>
        <w:numPr>
          <w:ilvl w:val="0"/>
          <w:numId w:val="2"/>
        </w:numPr>
        <w:bidi/>
        <w:spacing w:after="80" w:line="300"/>
        <w:jc w:val="start"/>
      </w:pPr>
      <w:r>
        <w:rPr>
          <w:rFonts w:ascii="IBM Plex Sans Arabic" w:cs="IBM Plex Sans Arabic" w:hAnsi="IBM Plex Sans Arabic"/>
          <w:rtl/>
        </w:rPr>
        <w:t xml:space="preserve">القواعد المكتوبة بصيغة JSONLogic (مثل </w:t>
      </w:r>
      <w:r>
        <w:rPr>
          <w:rFonts w:ascii="Consolas" w:cs="Consolas" w:eastAsia="Consolas" w:hAnsi="Consolas"/>
          <w:sz w:val="18"/>
          <w:szCs w:val="18"/>
        </w:rPr>
        <w:t xml:space="preserve">‪{"var": "task.assignee"}‬</w:t>
      </w:r>
      <w:r>
        <w:rPr>
          <w:rFonts w:ascii="IBM Plex Sans Arabic" w:cs="IBM Plex Sans Arabic" w:hAnsi="IBM Plex Sans Arabic"/>
          <w:rtl/>
        </w:rPr>
        <w:t xml:space="preserve">) تُكتب في خانة «القاعدة» أو تُبنى في محرر القواعد المرئي حيث يتوفر.</w:t>
      </w:r>
    </w:p>
    <w:p>
      <w:pPr>
        <w:pStyle w:val="Heading2"/>
        <w:bidi/>
      </w:pPr>
      <w:r>
        <w:rPr>
          <w:rFonts w:ascii="IBM Plex Sans Arabic" w:cs="IBM Plex Sans Arabic" w:hAnsi="IBM Plex Sans Arabic"/>
          <w:rtl/>
        </w:rPr>
        <w:t xml:space="preserve">6.3 المستويات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المستوى</w:t>
            </w:r>
          </w:p>
        </w:tc>
        <w:tc>
          <w:tcPr>
            <w:tcW w:type="dxa" w:w="6638"/>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متى يُستخدم</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النظام</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إعداد يشترك فيه الجميع (بلا جهة ولا تطبيق).</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الجهة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إعداد خاص بجهة حكومية واحدة.</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التطبيق</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إعداد خاص بتطبيق أعمال أو أكثر من تطبيقات الجهة نفسها (مثل نوع مستند يستخدمه تطبيقان).</w:t>
            </w:r>
          </w:p>
        </w:tc>
      </w:tr>
    </w:tbl>
    <w:p/>
    <w:p>
      <w:pPr>
        <w:bidi/>
        <w:spacing w:after="120" w:line="320"/>
        <w:jc w:val="start"/>
      </w:pPr>
      <w:r>
        <w:rPr>
          <w:rFonts w:ascii="IBM Plex Sans Arabic" w:cs="IBM Plex Sans Arabic" w:hAnsi="IBM Plex Sans Arabic"/>
          <w:rtl/>
        </w:rPr>
        <w:t xml:space="preserve">يرى الموظف صفوف تطبيقاته والصفوف المشتركة، ولا يعدّل صفًا مشتركًا بين عدة تطبيقات إلا إذا كانت كلها ضمن صلاحيته.</w:t>
      </w:r>
    </w:p>
    <w:p>
      <w:pPr>
        <w:pStyle w:val="Heading2"/>
        <w:bidi/>
      </w:pPr>
      <w:r>
        <w:rPr>
          <w:rFonts w:ascii="IBM Plex Sans Arabic" w:cs="IBM Plex Sans Arabic" w:hAnsi="IBM Plex Sans Arabic"/>
          <w:rtl/>
        </w:rPr>
        <w:t xml:space="preserve">6.4 التصدير والاستيراد</w:t>
      </w:r>
    </w:p>
    <w:p>
      <w:pPr>
        <w:bidi/>
        <w:spacing w:after="120" w:line="320"/>
        <w:jc w:val="start"/>
      </w:pPr>
      <w:r>
        <w:rPr>
          <w:rFonts w:ascii="IBM Plex Sans Arabic" w:cs="IBM Plex Sans Arabic" w:hAnsi="IBM Plex Sans Arabic"/>
          <w:rtl/>
        </w:rPr>
        <w:t xml:space="preserve">من أي شاشة إعداد يمكن «تصدير» السجلات المختارة (مع ما تعتمد عليه) إلى ملف، و«استيراد JSON» إلى بيئة أخرى. تعرض نافذة المراجعة كل بند مع الفرق عن الموجود والأخطاء قبل الحفظ.</w:t>
      </w:r>
    </w:p>
    <w:p>
      <w:pPr>
        <w:pStyle w:val="Heading1"/>
        <w:pageBreakBefore/>
        <w:bidi/>
      </w:pPr>
      <w:r>
        <w:rPr>
          <w:rFonts w:ascii="IBM Plex Sans Arabic" w:cs="IBM Plex Sans Arabic" w:hAnsi="IBM Plex Sans Arabic"/>
          <w:rtl/>
        </w:rPr>
        <w:t xml:space="preserve">7. إعداد الخدمات</w:t>
      </w:r>
    </w:p>
    <w:p>
      <w:pPr>
        <w:pStyle w:val="Heading2"/>
        <w:bidi/>
      </w:pPr>
      <w:r>
        <w:rPr>
          <w:rFonts w:ascii="IBM Plex Sans Arabic" w:cs="IBM Plex Sans Arabic" w:hAnsi="IBM Plex Sans Arabic"/>
          <w:rtl/>
        </w:rPr>
        <w:t xml:space="preserve">7.1 الخدمات</w:t>
      </w:r>
    </w:p>
    <w:p>
      <w:pPr>
        <w:bidi/>
        <w:spacing w:after="120" w:line="320"/>
        <w:jc w:val="start"/>
      </w:pPr>
      <w:r>
        <w:rPr>
          <w:rFonts w:ascii="IBM Plex Sans Arabic" w:cs="IBM Plex Sans Arabic" w:hAnsi="IBM Plex Sans Arabic"/>
          <w:rtl/>
        </w:rPr>
        <w:t xml:space="preserve">تعرض «الخدمات» كتالوج الخدمات: الرمز، والنمط (إصدار، تعديل، طلب زيارة، تصديق)، والتصنيف، والظهور في البوابة، وأنواع المتعاملين المسموح لهم.</w:t>
      </w:r>
    </w:p>
    <w:p>
      <w:pPr>
        <w:spacing w:after="60" w:before="120"/>
        <w:jc w:val="center"/>
      </w:pPr>
      <w:r>
        <w:drawing>
          <wp:inline distT="0" distB="0" distL="0" distR="0">
            <wp:extent cx="5715000" cy="3571875"/>
            <wp:effectExtent t="0" r="0" b="0" l="0"/>
            <wp:docPr id="1" name="05-services.jpg" descr="الخدمات" title="الخد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الخدمات</w:t>
      </w:r>
    </w:p>
    <w:p>
      <w:pPr>
        <w:pStyle w:val="Heading2"/>
        <w:bidi/>
      </w:pPr>
      <w:r>
        <w:rPr>
          <w:rFonts w:ascii="IBM Plex Sans Arabic" w:cs="IBM Plex Sans Arabic" w:hAnsi="IBM Plex Sans Arabic"/>
          <w:rtl/>
        </w:rPr>
        <w:t xml:space="preserve">7.2 منشئ الخدمات</w:t>
      </w:r>
    </w:p>
    <w:p>
      <w:pPr>
        <w:bidi/>
        <w:spacing w:after="120" w:line="320"/>
        <w:jc w:val="start"/>
      </w:pPr>
      <w:r>
        <w:rPr>
          <w:rFonts w:ascii="IBM Plex Sans Arabic" w:cs="IBM Plex Sans Arabic" w:hAnsi="IBM Plex Sans Arabic"/>
          <w:rtl/>
        </w:rPr>
        <w:t xml:space="preserve">ينشئ «منشئ الخدمات» الإصدار التالي من الخدمة في تبويبات:</w:t>
      </w:r>
    </w:p>
    <w:p>
      <w:pPr>
        <w:spacing w:after="60" w:before="120"/>
        <w:jc w:val="center"/>
      </w:pPr>
      <w:r>
        <w:drawing>
          <wp:inline distT="0" distB="0" distL="0" distR="0">
            <wp:extent cx="5715000" cy="3571875"/>
            <wp:effectExtent t="0" r="0" b="0" l="0"/>
            <wp:docPr id="1" name="06-builder.jpg" descr="منشئ الخدمات" title="منشئ الخد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منشئ الخدمات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التبويب</w:t>
            </w:r>
          </w:p>
        </w:tc>
        <w:tc>
          <w:tcPr>
            <w:tcW w:type="dxa" w:w="6638"/>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ما يُعد فيه</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النموذج</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خطوات النموذج وأقسامه وأسئلته؛ اسحب الأسئلة من بنك الأسئلة. يُحدد لكل سؤال الإلزام والظهور الشرطي.</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القواعد والرسوم</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الأهلية (من يحق له التقديم)، ومستويات الخدمة ومددها، والرسوم والشرائح والضريبة.</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بطاقة الخدمة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ما يظهر في صفحة الخدمة بالبوابة: الوصف، والخطوات، والشروط، والمستندات المطلوبة، والقنوات.</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مسار العمل</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فتح مسار الخدمة في المصمم.</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المعاينة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تجربة النموذج كما يراه المستفيد بالعربية والإنجليزية.</w:t>
            </w:r>
          </w:p>
        </w:tc>
      </w:tr>
    </w:tbl>
    <w:p/>
    <w:p>
      <w:pPr>
        <w:bidi/>
        <w:spacing w:after="120" w:line="320"/>
        <w:jc w:val="start"/>
      </w:pPr>
      <w:r>
        <w:rPr>
          <w:rFonts w:ascii="IBM Plex Sans Arabic" w:cs="IBM Plex Sans Arabic" w:hAnsi="IBM Plex Sans Arabic"/>
          <w:rtl/>
        </w:rPr>
        <w:t xml:space="preserve">اضغط «تحقق من الخادم» لفحص الإصدار، ثم «إضافة إلى المسودة» واعتمده من طلبات التغيير. لا يتغير إصدار منشور؛ كل تعديل إصدار جديد.</w:t>
      </w:r>
    </w:p>
    <w:p>
      <w:pPr>
        <w:pStyle w:val="Heading2"/>
        <w:bidi/>
      </w:pPr>
      <w:r>
        <w:rPr>
          <w:rFonts w:ascii="IBM Plex Sans Arabic" w:cs="IBM Plex Sans Arabic" w:hAnsi="IBM Plex Sans Arabic"/>
          <w:rtl/>
        </w:rPr>
        <w:t xml:space="preserve">7.3 بنك الأسئلة</w:t>
      </w:r>
    </w:p>
    <w:p>
      <w:pPr>
        <w:bidi/>
        <w:spacing w:after="120" w:line="320"/>
        <w:jc w:val="start"/>
      </w:pPr>
      <w:r>
        <w:rPr>
          <w:rFonts w:ascii="IBM Plex Sans Arabic" w:cs="IBM Plex Sans Arabic" w:hAnsi="IBM Plex Sans Arabic"/>
          <w:rtl/>
        </w:rPr>
        <w:t xml:space="preserve">أسئلة يعاد استخدامها في الخدمات: نوع الإجابة (نص، رقم، تاريخ، اختيار، نعم/لا، رفع ملفات)، والخيارات أو قائمة القيم، والقيود (أقل وأعلى قيمة، أقصى طول، النمط)، والتعبئة المسبقة من ملف المتعامل.</w:t>
      </w:r>
    </w:p>
    <w:p>
      <w:pPr>
        <w:spacing w:after="60" w:before="120"/>
        <w:jc w:val="center"/>
      </w:pPr>
      <w:r>
        <w:drawing>
          <wp:inline distT="0" distB="0" distL="0" distR="0">
            <wp:extent cx="5715000" cy="3571875"/>
            <wp:effectExtent t="0" r="0" b="0" l="0"/>
            <wp:docPr id="1" name="07-questions.jpg" descr="بنك الأسئلة" title="بنك الأسئل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بنك الأسئلة</w:t>
      </w:r>
    </w:p>
    <w:p>
      <w:pPr>
        <w:bidi/>
        <w:spacing w:after="120" w:line="320"/>
        <w:jc w:val="start"/>
      </w:pPr>
      <w:r>
        <w:rPr>
          <w:rFonts w:ascii="IBM Plex Sans Arabic" w:cs="IBM Plex Sans Arabic" w:hAnsi="IBM Plex Sans Arabic"/>
          <w:rtl/>
        </w:rPr>
        <w:t xml:space="preserve">سؤال «رفع ملفات» يطلب من المتعامل إرفاق ملف: حدد أنواع الملفات المقبولة (مثل pdf, jpg؛ الفارغ للمستندات والصور المعتادة)، وأكبر حجم للملف (حتى 25 ميجابايت)، وفعّل «اختيار متعدد / عدة ملفات» مع أقصى عدد للملفات عند الحاجة لأكثر من ملف.</w:t>
      </w:r>
    </w:p>
    <w:p>
      <w:pPr>
        <w:spacing w:after="60" w:before="120"/>
        <w:jc w:val="center"/>
      </w:pPr>
      <w:r>
        <w:drawing>
          <wp:inline distT="0" distB="0" distL="0" distR="0">
            <wp:extent cx="5715000" cy="3571875"/>
            <wp:effectExtent t="0" r="0" b="0" l="0"/>
            <wp:docPr id="1" name="07b-file-question.jpg" descr="إعدادات سؤال رفع الملفات" title="إعدادات سؤال رفع الملف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إعدادات سؤال رفع الملفات</w:t>
      </w:r>
    </w:p>
    <w:p>
      <w:pPr>
        <w:bidi/>
        <w:spacing w:after="120" w:line="320"/>
        <w:jc w:val="start"/>
      </w:pPr>
      <w:r>
        <w:rPr>
          <w:rFonts w:ascii="IBM Plex Sans Arabic" w:cs="IBM Plex Sans Arabic" w:hAnsi="IBM Plex Sans Arabic"/>
          <w:rtl/>
        </w:rPr>
        <w:t xml:space="preserve">لطلب ملف عند إجابة معينة فقط (مثل «هل لديك ترخيص سابق؟» = نعم): أضف سؤال الملف إلى النموذج في منشئ الخدمات واضبط له «مطلوب عندما» و«يظهر عندما» على تلك الإجابة. يرفع المتعامل الملفات في البوابة ويراها الموظف في تفاصيل الطلب وفي مهمة مركز الإجراءات ويفتحها بالضغط عليها.</w:t>
      </w:r>
    </w:p>
    <w:p>
      <w:pPr>
        <w:spacing w:after="60" w:before="120"/>
        <w:jc w:val="center"/>
      </w:pPr>
      <w:r>
        <w:drawing>
          <wp:inline distT="0" distB="0" distL="0" distR="0">
            <wp:extent cx="5715000" cy="3571875"/>
            <wp:effectExtent t="0" r="0" b="0" l="0"/>
            <wp:docPr id="1" name="07c-request-files.jpg" descr="ملفات الطلب في تفاصيل الطلب" title="ملفات الطلب في تفاصيل الطل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ملفات الطلب في تفاصيل الطلب</w:t>
      </w:r>
    </w:p>
    <w:p>
      <w:pPr>
        <w:pStyle w:val="Heading2"/>
        <w:bidi/>
      </w:pPr>
      <w:r>
        <w:rPr>
          <w:rFonts w:ascii="IBM Plex Sans Arabic" w:cs="IBM Plex Sans Arabic" w:hAnsi="IBM Plex Sans Arabic"/>
          <w:rtl/>
        </w:rPr>
        <w:t xml:space="preserve">7.4 تصنيفات الخدمات</w:t>
      </w:r>
    </w:p>
    <w:p>
      <w:pPr>
        <w:bidi/>
        <w:spacing w:after="120" w:line="320"/>
        <w:jc w:val="start"/>
      </w:pPr>
      <w:r>
        <w:rPr>
          <w:rFonts w:ascii="IBM Plex Sans Arabic" w:cs="IBM Plex Sans Arabic" w:hAnsi="IBM Plex Sans Arabic"/>
          <w:rtl/>
        </w:rPr>
        <w:t xml:space="preserve">تجمع التصنيفات الخدمات في تبويبات الصفحة الرئيسية للبوابة وفي تصفية البحث. التصنيفات قيم في «التصنيفات والقيم» (الفئة SVC_CATEGORY) وتُعدّ من هذه الشاشة أيضًا.</w:t>
      </w:r>
    </w:p>
    <w:p>
      <w:pPr>
        <w:spacing w:after="60" w:before="120"/>
        <w:jc w:val="center"/>
      </w:pPr>
      <w:r>
        <w:drawing>
          <wp:inline distT="0" distB="0" distL="0" distR="0">
            <wp:extent cx="5715000" cy="3571875"/>
            <wp:effectExtent t="0" r="0" b="0" l="0"/>
            <wp:docPr id="1" name="08-categories.jpg" descr="تصنيفات الخدمات" title="تصنيفات الخد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تصنيفات الخدمات</w:t>
      </w:r>
    </w:p>
    <w:p>
      <w:pPr>
        <w:pStyle w:val="Heading1"/>
        <w:pageBreakBefore/>
        <w:bidi/>
      </w:pPr>
      <w:r>
        <w:rPr>
          <w:rFonts w:ascii="IBM Plex Sans Arabic" w:cs="IBM Plex Sans Arabic" w:hAnsi="IBM Plex Sans Arabic"/>
          <w:rtl/>
        </w:rPr>
        <w:t xml:space="preserve">8. مسارات العمل</w:t>
      </w:r>
    </w:p>
    <w:p>
      <w:pPr>
        <w:bidi/>
        <w:spacing w:after="120" w:line="320"/>
        <w:jc w:val="start"/>
      </w:pPr>
      <w:r>
        <w:rPr>
          <w:rFonts w:ascii="IBM Plex Sans Arabic" w:cs="IBM Plex Sans Arabic" w:hAnsi="IBM Plex Sans Arabic"/>
          <w:rtl/>
        </w:rPr>
        <w:t xml:space="preserve">لكل خدمة مسار عمل يحدد خطوات معالجة الطلب. تعرض «مسارات العمل» المسارات و«إصدارات المسارات» إصداراتها.</w:t>
      </w:r>
    </w:p>
    <w:p>
      <w:pPr>
        <w:spacing w:after="60" w:before="120"/>
        <w:jc w:val="center"/>
      </w:pPr>
      <w:r>
        <w:drawing>
          <wp:inline distT="0" distB="0" distL="0" distR="0">
            <wp:extent cx="5715000" cy="3571875"/>
            <wp:effectExtent t="0" r="0" b="0" l="0"/>
            <wp:docPr id="1" name="10-workflows.jpg" descr="مسارات العمل" title="مسارات العم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مسارات العمل</w:t>
      </w:r>
    </w:p>
    <w:p>
      <w:pPr>
        <w:pStyle w:val="Heading2"/>
        <w:bidi/>
      </w:pPr>
      <w:r>
        <w:rPr>
          <w:rFonts w:ascii="IBM Plex Sans Arabic" w:cs="IBM Plex Sans Arabic" w:hAnsi="IBM Plex Sans Arabic"/>
          <w:rtl/>
        </w:rPr>
        <w:t xml:space="preserve">8.1 مصمم مسارات العمل</w:t>
      </w:r>
    </w:p>
    <w:p>
      <w:pPr>
        <w:spacing w:after="60" w:before="120"/>
        <w:jc w:val="center"/>
      </w:pPr>
      <w:r>
        <w:drawing>
          <wp:inline distT="0" distB="0" distL="0" distR="0">
            <wp:extent cx="5715000" cy="3571875"/>
            <wp:effectExtent t="0" r="0" b="0" l="0"/>
            <wp:docPr id="1" name="11-designer.jpg" descr="مصمم مسارات العمل" title="مصمم مسارات العم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مصمم مسارات العمل</w:t>
      </w:r>
    </w:p>
    <w:p>
      <w:pPr>
        <w:pStyle w:val="ListParagraph"/>
        <w:numPr>
          <w:ilvl w:val="0"/>
          <w:numId w:val="4"/>
        </w:numPr>
        <w:bidi/>
        <w:spacing w:after="80" w:line="300"/>
        <w:jc w:val="start"/>
      </w:pPr>
      <w:r>
        <w:rPr>
          <w:rFonts w:ascii="IBM Plex Sans Arabic" w:cs="IBM Plex Sans Arabic" w:hAnsi="IBM Plex Sans Arabic"/>
          <w:rtl/>
        </w:rPr>
        <w:t xml:space="preserve">اختر المسار والإصدار الذي تبدأ منه.</w:t>
      </w:r>
    </w:p>
    <w:p>
      <w:pPr>
        <w:pStyle w:val="ListParagraph"/>
        <w:numPr>
          <w:ilvl w:val="0"/>
          <w:numId w:val="4"/>
        </w:numPr>
        <w:bidi/>
        <w:spacing w:after="80" w:line="300"/>
        <w:jc w:val="start"/>
      </w:pPr>
      <w:r>
        <w:rPr>
          <w:rFonts w:ascii="IBM Plex Sans Arabic" w:cs="IBM Plex Sans Arabic" w:hAnsi="IBM Plex Sans Arabic"/>
          <w:rtl/>
        </w:rPr>
        <w:t xml:space="preserve">اسحب الخطوات من لوحة «الخطوات» إلى المخطط: مهمة موظف، تفرع متوازٍ، دمج الفروع، توجيه بشرط، تقييم قواعد، مستند، سداد، زيارة ميدانية، نهاية.</w:t>
      </w:r>
    </w:p>
    <w:p>
      <w:pPr>
        <w:pStyle w:val="ListParagraph"/>
        <w:numPr>
          <w:ilvl w:val="0"/>
          <w:numId w:val="4"/>
        </w:numPr>
        <w:bidi/>
        <w:spacing w:after="80" w:line="300"/>
        <w:jc w:val="start"/>
      </w:pPr>
      <w:r>
        <w:rPr>
          <w:rFonts w:ascii="IBM Plex Sans Arabic" w:cs="IBM Plex Sans Arabic" w:hAnsi="IBM Plex Sans Arabic"/>
          <w:rtl/>
        </w:rPr>
        <w:t xml:space="preserve">اربط الخطوات بسحب السهم من نقطة الخطوة إلى التالية.</w:t>
      </w:r>
    </w:p>
    <w:p>
      <w:pPr>
        <w:pStyle w:val="ListParagraph"/>
        <w:numPr>
          <w:ilvl w:val="0"/>
          <w:numId w:val="4"/>
        </w:numPr>
        <w:bidi/>
        <w:spacing w:after="80" w:line="300"/>
        <w:jc w:val="start"/>
      </w:pPr>
      <w:r>
        <w:rPr>
          <w:rFonts w:ascii="IBM Plex Sans Arabic" w:cs="IBM Plex Sans Arabic" w:hAnsi="IBM Plex Sans Arabic"/>
          <w:rtl/>
        </w:rPr>
        <w:t xml:space="preserve">اختر خطوة لتعديلها في اللوحة الجانبية: الاسم، ومن يعمل عليها، وطريقة التوزيع، والإجراءات المتاحة، والمدة لكل مستوى خدمة.</w:t>
      </w:r>
    </w:p>
    <w:p>
      <w:pPr>
        <w:pStyle w:val="ListParagraph"/>
        <w:numPr>
          <w:ilvl w:val="0"/>
          <w:numId w:val="4"/>
        </w:numPr>
        <w:bidi/>
        <w:spacing w:after="80" w:line="300"/>
        <w:jc w:val="start"/>
      </w:pPr>
      <w:r>
        <w:rPr>
          <w:rFonts w:ascii="IBM Plex Sans Arabic" w:cs="IBM Plex Sans Arabic" w:hAnsi="IBM Plex Sans Arabic"/>
          <w:rtl/>
        </w:rPr>
        <w:t xml:space="preserve">جرّب المسار من «تجربة» بإجابات تجريبية، ثم «تحقق من الخادم» و«إضافة إلى المسودة».</w:t>
      </w:r>
    </w:p>
    <w:p>
      <w:pPr>
        <w:pStyle w:val="Heading3"/>
        <w:bidi/>
      </w:pPr>
      <w:r>
        <w:rPr>
          <w:rFonts w:ascii="IBM Plex Sans Arabic" w:cs="IBM Plex Sans Arabic" w:hAnsi="IBM Plex Sans Arabic"/>
          <w:rtl/>
        </w:rPr>
        <w:t xml:space="preserve">من يعمل على المهمة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الخيار</w:t>
            </w:r>
          </w:p>
        </w:tc>
        <w:tc>
          <w:tcPr>
            <w:tcW w:type="dxa" w:w="6638"/>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المعنى</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من يحمل دورًا</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كل من لديه الدور يرى المهمة.</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موظف محدد</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تسند إلى مستخدم بعينه.</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من أنجز خطوة سابقة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تعود إلى من عمل على خطوة سابقة في الطلب نفسه.</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حسب الهيكل التنظيمي</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وحدة محددة أو وحدة يحددها شرط، أو وحدة نسبية (مثل الإدارة الأعلى من وحدة سابقة)، مع مسمى وظيفي اختياري (مثل مدير الإدارة).</w:t>
            </w:r>
          </w:p>
        </w:tc>
      </w:tr>
    </w:tbl>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طريقة التوزيع</w:t>
            </w:r>
          </w:p>
        </w:tc>
        <w:tc>
          <w:tcPr>
            <w:tcW w:type="dxa" w:w="6638"/>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المعنى</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قائمة مشتركة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يستلمها أول موظف متاح.</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يوزعها موزّع</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يختار الموزع الموظف من صندوق «للتوزيع».</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تلقائيًا</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تسند إلى الأقل مهامًا.</w:t>
            </w:r>
          </w:p>
        </w:tc>
      </w:tr>
    </w:tbl>
    <w:p/>
    <w:p>
      <w:pPr>
        <w:pBdr>
          <w:right w:val="single" w:color="9D7A3D" w:sz="18" w:space="8"/>
        </w:pBdr>
        <w:shd w:fill="FBF8F2" w:color="auto" w:val="clear"/>
        <w:bidi/>
        <w:spacing w:after="120" w:line="320"/>
        <w:ind w:start="200" w:end="200"/>
        <w:jc w:val="start"/>
      </w:pPr>
      <w:r>
        <w:rPr>
          <w:rFonts w:ascii="IBM Plex Sans Arabic" w:cs="IBM Plex Sans Arabic" w:hAnsi="IBM Plex Sans Arabic"/>
          <w:b/>
          <w:bCs/>
          <w:color w:val="9D7A3D"/>
          <w:rtl/>
        </w:rPr>
        <w:t xml:space="preserve">ملاحظة: </w:t>
      </w:r>
      <w:r>
        <w:rPr>
          <w:rFonts w:ascii="IBM Plex Sans Arabic" w:cs="IBM Plex Sans Arabic" w:hAnsi="IBM Plex Sans Arabic"/>
          <w:rtl/>
        </w:rPr>
        <w:t xml:space="preserve">أسماء أنواع الخطوات وأيقوناتها تُعدّ في «التصنيفات والقيم» (الفئة WF_STEP_TYPE)، وإيقاف نوع يخفيه من المصمم.</w:t>
      </w:r>
    </w:p>
    <w:p>
      <w:pPr>
        <w:pStyle w:val="Heading1"/>
        <w:pageBreakBefore/>
        <w:bidi/>
      </w:pPr>
      <w:r>
        <w:rPr>
          <w:rFonts w:ascii="IBM Plex Sans Arabic" w:cs="IBM Plex Sans Arabic" w:hAnsi="IBM Plex Sans Arabic"/>
          <w:rtl/>
        </w:rPr>
        <w:t xml:space="preserve">9. قواعد القرار</w:t>
      </w:r>
    </w:p>
    <w:p>
      <w:pPr>
        <w:bidi/>
        <w:spacing w:after="120" w:line="320"/>
        <w:jc w:val="start"/>
      </w:pPr>
      <w:r>
        <w:rPr>
          <w:rFonts w:ascii="IBM Plex Sans Arabic" w:cs="IBM Plex Sans Arabic" w:hAnsi="IBM Plex Sans Arabic"/>
          <w:rtl/>
        </w:rPr>
        <w:t xml:space="preserve">مجموعات القواعد تحسب نتائج مثل درجة التصنيف من بيانات الطلب، وتستخدمها خطوة «تقييم قواعد» في المسار. لكل مجموعة إصدارات؛ يعمل الطلب بأحدث إصدار منشور.</w:t>
      </w:r>
    </w:p>
    <w:p>
      <w:pPr>
        <w:spacing w:after="60" w:before="120"/>
        <w:jc w:val="center"/>
      </w:pPr>
      <w:r>
        <w:drawing>
          <wp:inline distT="0" distB="0" distL="0" distR="0">
            <wp:extent cx="5715000" cy="3571875"/>
            <wp:effectExtent t="0" r="0" b="0" l="0"/>
            <wp:docPr id="1" name="12-rule-sets.jpg" descr="مجموعات القواعد" title="مجموعات القواع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مجموعات القواعد</w:t>
      </w:r>
    </w:p>
    <w:p>
      <w:pPr>
        <w:bidi/>
        <w:spacing w:after="120" w:line="320"/>
        <w:jc w:val="start"/>
      </w:pPr>
      <w:r>
        <w:rPr>
          <w:rFonts w:ascii="IBM Plex Sans Arabic" w:cs="IBM Plex Sans Arabic" w:hAnsi="IBM Plex Sans Arabic"/>
          <w:rtl/>
        </w:rPr>
        <w:t xml:space="preserve">في «إصدارات القواعد» يُبنى الإصدار الجديد من: الخطوات (اسم وقاعدة لكل خطوة)، ونتيجة لكل عنصر (مثل كل قطاع)، والنتيجة النهائية. جرّب الإصدار بمدخلات تجريبية قبل إضافته.</w:t>
      </w:r>
    </w:p>
    <w:p>
      <w:pPr>
        <w:spacing w:after="60" w:before="120"/>
        <w:jc w:val="center"/>
      </w:pPr>
      <w:r>
        <w:drawing>
          <wp:inline distT="0" distB="0" distL="0" distR="0">
            <wp:extent cx="5715000" cy="3571875"/>
            <wp:effectExtent t="0" r="0" b="0" l="0"/>
            <wp:docPr id="1" name="13-rule-versions.jpg" descr="إصدارات القواعد" title="إصدارات القواع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إصدارات القواعد</w:t>
      </w:r>
    </w:p>
    <w:p>
      <w:pPr>
        <w:pStyle w:val="Heading1"/>
        <w:pageBreakBefore/>
        <w:bidi/>
      </w:pPr>
      <w:r>
        <w:rPr>
          <w:rFonts w:ascii="IBM Plex Sans Arabic" w:cs="IBM Plex Sans Arabic" w:hAnsi="IBM Plex Sans Arabic"/>
          <w:rtl/>
        </w:rPr>
        <w:t xml:space="preserve">10. المستندات</w:t>
      </w:r>
    </w:p>
    <w:p>
      <w:pPr>
        <w:pStyle w:val="Heading2"/>
        <w:bidi/>
      </w:pPr>
      <w:r>
        <w:rPr>
          <w:rFonts w:ascii="IBM Plex Sans Arabic" w:cs="IBM Plex Sans Arabic" w:hAnsi="IBM Plex Sans Arabic"/>
          <w:rtl/>
        </w:rPr>
        <w:t xml:space="preserve">10.1 أنواع المستندات</w:t>
      </w:r>
    </w:p>
    <w:p>
      <w:pPr>
        <w:bidi/>
        <w:spacing w:after="120" w:line="320"/>
        <w:jc w:val="start"/>
      </w:pPr>
      <w:r>
        <w:rPr>
          <w:rFonts w:ascii="IBM Plex Sans Arabic" w:cs="IBM Plex Sans Arabic" w:hAnsi="IBM Plex Sans Arabic"/>
          <w:rtl/>
        </w:rPr>
        <w:t xml:space="preserve">يحدد نوع المستند: بادئة الترقيم، ومدة الصلاحية، وأيام التذكير قبل الانتهاء، وحقول البيانات وحقول البنود (مع ما يظهر منها في صفحة التحقق العامة)، وقالب الطباعة.</w:t>
      </w:r>
    </w:p>
    <w:p>
      <w:pPr>
        <w:spacing w:after="60" w:before="120"/>
        <w:jc w:val="center"/>
      </w:pPr>
      <w:r>
        <w:drawing>
          <wp:inline distT="0" distB="0" distL="0" distR="0">
            <wp:extent cx="5715000" cy="3571875"/>
            <wp:effectExtent t="0" r="0" b="0" l="0"/>
            <wp:docPr id="1" name="15-document-types.jpg" descr="أنواع المستندات" title="أنواع المستند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أنواع المستندات</w:t>
      </w:r>
    </w:p>
    <w:p>
      <w:pPr>
        <w:pStyle w:val="Heading2"/>
        <w:bidi/>
      </w:pPr>
      <w:r>
        <w:rPr>
          <w:rFonts w:ascii="IBM Plex Sans Arabic" w:cs="IBM Plex Sans Arabic" w:hAnsi="IBM Plex Sans Arabic"/>
          <w:rtl/>
        </w:rPr>
        <w:t xml:space="preserve">10.2 قوالب الطباعة</w:t>
      </w:r>
    </w:p>
    <w:p>
      <w:pPr>
        <w:bidi/>
        <w:spacing w:after="120" w:line="320"/>
        <w:jc w:val="start"/>
      </w:pPr>
      <w:r>
        <w:rPr>
          <w:rFonts w:ascii="IBM Plex Sans Arabic" w:cs="IBM Plex Sans Arabic" w:hAnsi="IBM Plex Sans Arabic"/>
          <w:rtl/>
        </w:rPr>
        <w:t xml:space="preserve">قوالب الشهادات القابلة للطباعة مع معاينة مباشرة على بيانات تجريبية، وتحوَّل إلى PDF عند الإصدار.</w:t>
      </w:r>
    </w:p>
    <w:p>
      <w:pPr>
        <w:spacing w:after="60" w:before="120"/>
        <w:jc w:val="center"/>
      </w:pPr>
      <w:r>
        <w:drawing>
          <wp:inline distT="0" distB="0" distL="0" distR="0">
            <wp:extent cx="5715000" cy="3571875"/>
            <wp:effectExtent t="0" r="0" b="0" l="0"/>
            <wp:docPr id="1" name="16-print-templates.jpg" descr="قوالب الطباعة" title="قوالب الطباع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قوالب الطباعة</w:t>
      </w:r>
    </w:p>
    <w:p>
      <w:pPr>
        <w:pStyle w:val="Heading1"/>
        <w:pageBreakBefore/>
        <w:bidi/>
      </w:pPr>
      <w:r>
        <w:rPr>
          <w:rFonts w:ascii="IBM Plex Sans Arabic" w:cs="IBM Plex Sans Arabic" w:hAnsi="IBM Plex Sans Arabic"/>
          <w:rtl/>
        </w:rPr>
        <w:t xml:space="preserve">11. التنبيهات والرسائل</w:t>
      </w:r>
    </w:p>
    <w:p>
      <w:pPr>
        <w:pStyle w:val="Heading2"/>
        <w:bidi/>
      </w:pPr>
      <w:r>
        <w:rPr>
          <w:rFonts w:ascii="IBM Plex Sans Arabic" w:cs="IBM Plex Sans Arabic" w:hAnsi="IBM Plex Sans Arabic"/>
          <w:rtl/>
        </w:rPr>
        <w:t xml:space="preserve">11.1 قواعد التنبيه</w:t>
      </w:r>
    </w:p>
    <w:p>
      <w:pPr>
        <w:bidi/>
        <w:spacing w:after="120" w:line="320"/>
        <w:jc w:val="start"/>
      </w:pPr>
      <w:r>
        <w:rPr>
          <w:rFonts w:ascii="IBM Plex Sans Arabic" w:cs="IBM Plex Sans Arabic" w:hAnsi="IBM Plex Sans Arabic"/>
          <w:rtl/>
        </w:rPr>
        <w:t xml:space="preserve">تربط القاعدة حدثًا (مثل اعتماد الطلب أو اقتراب انتهاء المستند) بقالب رسالة وقنوات (داخل المنصة، البريد، الرسائل النصية) ومستلمين (المتعامل، أو حاملو دور، أو موظف)، مع شرط اختياري.</w:t>
      </w:r>
    </w:p>
    <w:p>
      <w:pPr>
        <w:spacing w:after="60" w:before="120"/>
        <w:jc w:val="center"/>
      </w:pPr>
      <w:r>
        <w:drawing>
          <wp:inline distT="0" distB="0" distL="0" distR="0">
            <wp:extent cx="5715000" cy="3571875"/>
            <wp:effectExtent t="0" r="0" b="0" l="0"/>
            <wp:docPr id="1" name="18-notification-rules.jpg" descr="قواعد التنبيه" title="قواعد التنبي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قواعد التنبيه</w:t>
      </w:r>
    </w:p>
    <w:p>
      <w:pPr>
        <w:pStyle w:val="Heading2"/>
        <w:bidi/>
      </w:pPr>
      <w:r>
        <w:rPr>
          <w:rFonts w:ascii="IBM Plex Sans Arabic" w:cs="IBM Plex Sans Arabic" w:hAnsi="IBM Plex Sans Arabic"/>
          <w:rtl/>
        </w:rPr>
        <w:t xml:space="preserve">11.2 قوالب الرسائل</w:t>
      </w:r>
    </w:p>
    <w:p>
      <w:pPr>
        <w:bidi/>
        <w:spacing w:after="120" w:line="320"/>
        <w:jc w:val="start"/>
      </w:pPr>
      <w:r>
        <w:rPr>
          <w:rFonts w:ascii="IBM Plex Sans Arabic" w:cs="IBM Plex Sans Arabic" w:hAnsi="IBM Plex Sans Arabic"/>
          <w:rtl/>
        </w:rPr>
        <w:t xml:space="preserve">لكل قالب نص لكل قناة بالعربية والإنجليزية. يُكتب نص البريد في محرر نصوص منسقة (عناوين، غامق، قوائم، روابط، محاذاة) دون كتابة HTML، ويُدرج «إدراج حقل» قيم الطلب مثل رقمه واسم المستفيد. تظهر المعاينة مباشرة على بيانات حدث تجريبي.</w:t>
      </w:r>
    </w:p>
    <w:p>
      <w:pPr>
        <w:spacing w:after="60" w:before="120"/>
        <w:jc w:val="center"/>
      </w:pPr>
      <w:r>
        <w:drawing>
          <wp:inline distT="0" distB="0" distL="0" distR="0">
            <wp:extent cx="5715000" cy="3571875"/>
            <wp:effectExtent t="0" r="0" b="0" l="0"/>
            <wp:docPr id="1" name="53-message-template.jpg" descr="محرر قالب الرسالة مع المعاينة" title="محرر قالب الرسالة مع المعاين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محرر قالب الرسالة مع المعاينة</w:t>
      </w:r>
    </w:p>
    <w:p>
      <w:pPr>
        <w:pStyle w:val="Heading1"/>
        <w:pageBreakBefore/>
        <w:bidi/>
      </w:pPr>
      <w:r>
        <w:rPr>
          <w:rFonts w:ascii="IBM Plex Sans Arabic" w:cs="IBM Plex Sans Arabic" w:hAnsi="IBM Plex Sans Arabic"/>
          <w:rtl/>
        </w:rPr>
        <w:t xml:space="preserve">12. المدفوعات</w:t>
      </w:r>
    </w:p>
    <w:p>
      <w:pPr>
        <w:bidi/>
        <w:spacing w:after="120" w:line="320"/>
        <w:jc w:val="start"/>
      </w:pPr>
      <w:r>
        <w:rPr>
          <w:rFonts w:ascii="IBM Plex Sans Arabic" w:cs="IBM Plex Sans Arabic" w:hAnsi="IBM Plex Sans Arabic"/>
          <w:rtl/>
        </w:rPr>
        <w:t xml:space="preserve">«مزودو الدفع» يحددون طريقة إصدار الفواتير (مثل سداد) ومدة صلاحيتها وحقول إشعار السداد. الأسرار (المفاتيح) لا تُخزن في الشاشة بل في مخزن الأسرار باسمها.</w:t>
      </w:r>
    </w:p>
    <w:p>
      <w:pPr>
        <w:spacing w:after="60" w:before="120"/>
        <w:jc w:val="center"/>
      </w:pPr>
      <w:r>
        <w:drawing>
          <wp:inline distT="0" distB="0" distL="0" distR="0">
            <wp:extent cx="5715000" cy="3571875"/>
            <wp:effectExtent t="0" r="0" b="0" l="0"/>
            <wp:docPr id="1" name="21-payment-providers.jpg" descr="مزودو الدفع" title="مزودو الدف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مزودو الدفع</w:t>
      </w:r>
    </w:p>
    <w:p>
      <w:pPr>
        <w:pStyle w:val="Heading1"/>
        <w:pageBreakBefore/>
        <w:bidi/>
      </w:pPr>
      <w:r>
        <w:rPr>
          <w:rFonts w:ascii="IBM Plex Sans Arabic" w:cs="IBM Plex Sans Arabic" w:hAnsi="IBM Plex Sans Arabic"/>
          <w:rtl/>
        </w:rPr>
        <w:t xml:space="preserve">13. الزيارات الميدانية</w:t>
      </w:r>
    </w:p>
    <w:p>
      <w:pPr>
        <w:bidi/>
        <w:spacing w:after="120" w:line="320"/>
        <w:jc w:val="start"/>
      </w:pPr>
      <w:r>
        <w:rPr>
          <w:rFonts w:ascii="IBM Plex Sans Arabic" w:cs="IBM Plex Sans Arabic" w:hAnsi="IBM Plex Sans Arabic"/>
          <w:rtl/>
        </w:rPr>
        <w:t xml:space="preserve">يحدد «نوع الزيارة» من يجريها (ميدانية، جهة معاينة خارجية، تسجيل يدوي)، والنتائج الممكنة، وحقول المفتش، وعدد الصور والتوقيع والموقع المطلوبة، وإعداد التكامل مع الجهة الخارجية.</w:t>
      </w:r>
    </w:p>
    <w:p>
      <w:pPr>
        <w:spacing w:after="60" w:before="120"/>
        <w:jc w:val="center"/>
      </w:pPr>
      <w:r>
        <w:drawing>
          <wp:inline distT="0" distB="0" distL="0" distR="0">
            <wp:extent cx="5715000" cy="3571875"/>
            <wp:effectExtent t="0" r="0" b="0" l="0"/>
            <wp:docPr id="1" name="23-visit-types.jpg" descr="أنواع الزيارات" title="أنواع الزيار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أنواع الزيارات</w:t>
      </w:r>
    </w:p>
    <w:p>
      <w:pPr>
        <w:pStyle w:val="Heading1"/>
        <w:pageBreakBefore/>
        <w:bidi/>
      </w:pPr>
      <w:r>
        <w:rPr>
          <w:rFonts w:ascii="IBM Plex Sans Arabic" w:cs="IBM Plex Sans Arabic" w:hAnsi="IBM Plex Sans Arabic"/>
          <w:rtl/>
        </w:rPr>
        <w:t xml:space="preserve">14. محتوى البوابة</w:t>
      </w:r>
    </w:p>
    <w:p>
      <w:pPr>
        <w:bidi/>
        <w:spacing w:after="120" w:line="320"/>
        <w:jc w:val="start"/>
      </w:pPr>
      <w:r>
        <w:rPr>
          <w:rFonts w:ascii="IBM Plex Sans Arabic" w:cs="IBM Plex Sans Arabic" w:hAnsi="IBM Plex Sans Arabic"/>
          <w:rtl/>
        </w:rPr>
        <w:t xml:space="preserve">يدير «محتوى البوابة» الصفحة الرئيسية (العنوان والصورة والإحصاءات والروابط)، والأسئلة الشائعة، والصفحات، وآراء الزوار.</w:t>
      </w:r>
    </w:p>
    <w:p>
      <w:pPr>
        <w:spacing w:after="60" w:before="120"/>
        <w:jc w:val="center"/>
      </w:pPr>
      <w:r>
        <w:drawing>
          <wp:inline distT="0" distB="0" distL="0" distR="0">
            <wp:extent cx="5715000" cy="3571875"/>
            <wp:effectExtent t="0" r="0" b="0" l="0"/>
            <wp:docPr id="1" name="24-portal-home.jpg" descr="الصفحة الرئيسية للبوابة" title="الصفحة الرئيسية للبواب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الصفحة الرئيسية للبوابة</w:t>
      </w:r>
    </w:p>
    <w:p>
      <w:pPr>
        <w:spacing w:after="60" w:before="120"/>
        <w:jc w:val="center"/>
      </w:pPr>
      <w:r>
        <w:drawing>
          <wp:inline distT="0" distB="0" distL="0" distR="0">
            <wp:extent cx="5715000" cy="3571875"/>
            <wp:effectExtent t="0" r="0" b="0" l="0"/>
            <wp:docPr id="1" name="25-faqs.jpg" descr="الأسئلة الشائعة" title="الأسئلة الشائع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الأسئلة الشائعة</w:t>
      </w:r>
    </w:p>
    <w:p>
      <w:pPr>
        <w:pStyle w:val="Heading1"/>
        <w:pageBreakBefore/>
        <w:bidi/>
      </w:pPr>
      <w:r>
        <w:rPr>
          <w:rFonts w:ascii="IBM Plex Sans Arabic" w:cs="IBM Plex Sans Arabic" w:hAnsi="IBM Plex Sans Arabic"/>
          <w:rtl/>
        </w:rPr>
        <w:t xml:space="preserve">15. التكاملات</w:t>
      </w:r>
    </w:p>
    <w:p>
      <w:pPr>
        <w:bidi/>
        <w:spacing w:after="120" w:line="320"/>
        <w:jc w:val="start"/>
      </w:pPr>
      <w:r>
        <w:rPr>
          <w:rFonts w:ascii="IBM Plex Sans Arabic" w:cs="IBM Plex Sans Arabic" w:hAnsi="IBM Plex Sans Arabic"/>
          <w:rtl/>
        </w:rPr>
        <w:t xml:space="preserve">تربط التكاملات المنصة بالجهات الأخرى (السجل التجاري، النفاذ الوطني، سداد…):</w:t>
      </w:r>
    </w:p>
    <w:p>
      <w:pPr>
        <w:pStyle w:val="ListParagraph"/>
        <w:numPr>
          <w:ilvl w:val="0"/>
          <w:numId w:val="2"/>
        </w:numPr>
        <w:bidi/>
        <w:spacing w:after="80" w:line="300"/>
        <w:jc w:val="start"/>
      </w:pPr>
      <w:r>
        <w:rPr>
          <w:rFonts w:ascii="IBM Plex Sans Arabic" w:cs="IBM Plex Sans Arabic" w:hAnsi="IBM Plex Sans Arabic"/>
          <w:rtl/>
        </w:rPr>
        <w:t xml:space="preserve">الجهات المزودة والاتصالات: عنوان الخدمة وطريقة المصادقة والمهلة وإعادة المحاولة.</w:t>
      </w:r>
    </w:p>
    <w:p>
      <w:pPr>
        <w:pStyle w:val="ListParagraph"/>
        <w:numPr>
          <w:ilvl w:val="0"/>
          <w:numId w:val="2"/>
        </w:numPr>
        <w:bidi/>
        <w:spacing w:after="80" w:line="300"/>
        <w:jc w:val="start"/>
      </w:pPr>
      <w:r>
        <w:rPr>
          <w:rFonts w:ascii="IBM Plex Sans Arabic" w:cs="IBM Plex Sans Arabic" w:hAnsi="IBM Plex Sans Arabic"/>
          <w:rtl/>
        </w:rPr>
        <w:t xml:space="preserve">العمليات: المدخلات (الاسم والموقع وقيمة تجريبية) والمخرجات (الاسم والمسار في الاستجابة) ورموز الاستجابة.</w:t>
      </w:r>
    </w:p>
    <w:p>
      <w:pPr>
        <w:pStyle w:val="ListParagraph"/>
        <w:numPr>
          <w:ilvl w:val="0"/>
          <w:numId w:val="2"/>
        </w:numPr>
        <w:bidi/>
        <w:spacing w:after="80" w:line="300"/>
        <w:jc w:val="start"/>
      </w:pPr>
      <w:r>
        <w:rPr>
          <w:rFonts w:ascii="IBM Plex Sans Arabic" w:cs="IBM Plex Sans Arabic" w:hAnsi="IBM Plex Sans Arabic"/>
          <w:rtl/>
        </w:rPr>
        <w:t xml:space="preserve">تجربة العمليات: استدعاء عملية بقيم تجريبية ومشاهدة النتيجة.</w:t>
      </w:r>
    </w:p>
    <w:p>
      <w:pPr>
        <w:pStyle w:val="ListParagraph"/>
        <w:numPr>
          <w:ilvl w:val="0"/>
          <w:numId w:val="2"/>
        </w:numPr>
        <w:bidi/>
        <w:spacing w:after="80" w:line="300"/>
        <w:jc w:val="start"/>
      </w:pPr>
      <w:r>
        <w:rPr>
          <w:rFonts w:ascii="IBM Plex Sans Arabic" w:cs="IBM Plex Sans Arabic" w:hAnsi="IBM Plex Sans Arabic"/>
          <w:rtl/>
        </w:rPr>
        <w:t xml:space="preserve">سجل الاستدعاءات: كل استدعاء مع زمنه ونتيجته، مع إخفاء الحقول الحساسة.</w:t>
      </w:r>
    </w:p>
    <w:p>
      <w:pPr>
        <w:spacing w:after="60" w:before="120"/>
        <w:jc w:val="center"/>
      </w:pPr>
      <w:r>
        <w:drawing>
          <wp:inline distT="0" distB="0" distL="0" distR="0">
            <wp:extent cx="5715000" cy="3571875"/>
            <wp:effectExtent t="0" r="0" b="0" l="0"/>
            <wp:docPr id="1" name="28-operations.jpg" descr="العمليات" title="العملي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العمليات</w:t>
      </w:r>
    </w:p>
    <w:p>
      <w:pPr>
        <w:spacing w:after="60" w:before="120"/>
        <w:jc w:val="center"/>
      </w:pPr>
      <w:r>
        <w:drawing>
          <wp:inline distT="0" distB="0" distL="0" distR="0">
            <wp:extent cx="5715000" cy="3571875"/>
            <wp:effectExtent t="0" r="0" b="0" l="0"/>
            <wp:docPr id="1" name="29-test-console.jpg" descr="تجربة العمليات" title="تجربة العملي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تجربة العمليات</w:t>
      </w:r>
    </w:p>
    <w:p>
      <w:pPr>
        <w:pStyle w:val="Heading1"/>
        <w:pageBreakBefore/>
        <w:bidi/>
      </w:pPr>
      <w:r>
        <w:rPr>
          <w:rFonts w:ascii="IBM Plex Sans Arabic" w:cs="IBM Plex Sans Arabic" w:hAnsi="IBM Plex Sans Arabic"/>
          <w:rtl/>
        </w:rPr>
        <w:t xml:space="preserve">16. التحكم بالتطبيقات</w:t>
      </w:r>
    </w:p>
    <w:p>
      <w:pPr>
        <w:pStyle w:val="Heading2"/>
        <w:bidi/>
      </w:pPr>
      <w:r>
        <w:rPr>
          <w:rFonts w:ascii="IBM Plex Sans Arabic" w:cs="IBM Plex Sans Arabic" w:hAnsi="IBM Plex Sans Arabic"/>
          <w:rtl/>
        </w:rPr>
        <w:t xml:space="preserve">16.1 التصنيفات والقيم</w:t>
      </w:r>
    </w:p>
    <w:p>
      <w:pPr>
        <w:bidi/>
        <w:spacing w:after="120" w:line="320"/>
        <w:jc w:val="start"/>
      </w:pPr>
      <w:r>
        <w:rPr>
          <w:rFonts w:ascii="IBM Plex Sans Arabic" w:cs="IBM Plex Sans Arabic" w:hAnsi="IBM Plex Sans Arabic"/>
          <w:rtl/>
        </w:rPr>
        <w:t xml:space="preserve">التصنيف (Class) قائمة قيم لها خصائص (نص، رقم، تاريخ، نعم/لا، مرجع لتصنيف آخر، JSON)، والقيمة (Domain) عنصر فيها. كل قوائم النظام تُدار هنا: المناطق والمدن، وتصنيفات الخدمات، وأنواع العلاقات والشهادات والجزاءات، وأنواع خطوات المسار، وطرق التوزيع، وقنوات التنبيه وغيرها.</w:t>
      </w:r>
    </w:p>
    <w:p>
      <w:pPr>
        <w:spacing w:after="60" w:before="120"/>
        <w:jc w:val="center"/>
      </w:pPr>
      <w:r>
        <w:drawing>
          <wp:inline distT="0" distB="0" distL="0" distR="0">
            <wp:extent cx="5715000" cy="3571875"/>
            <wp:effectExtent t="0" r="0" b="0" l="0"/>
            <wp:docPr id="1" name="32-classes.jpg" descr="التصنيفات والقيم" title="التصنيفات والق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التصنيفات والقيم</w:t>
      </w:r>
    </w:p>
    <w:p>
      <w:pPr>
        <w:pBdr>
          <w:right w:val="single" w:color="9D7A3D" w:sz="18" w:space="8"/>
        </w:pBdr>
        <w:shd w:fill="FBF8F2" w:color="auto" w:val="clear"/>
        <w:bidi/>
        <w:spacing w:after="120" w:line="320"/>
        <w:ind w:start="200" w:end="200"/>
        <w:jc w:val="start"/>
      </w:pPr>
      <w:r>
        <w:rPr>
          <w:rFonts w:ascii="IBM Plex Sans Arabic" w:cs="IBM Plex Sans Arabic" w:hAnsi="IBM Plex Sans Arabic"/>
          <w:b/>
          <w:bCs/>
          <w:color w:val="9D7A3D"/>
          <w:rtl/>
        </w:rPr>
        <w:t xml:space="preserve">ملاحظة: </w:t>
      </w:r>
      <w:r>
        <w:rPr>
          <w:rFonts w:ascii="IBM Plex Sans Arabic" w:cs="IBM Plex Sans Arabic" w:hAnsi="IBM Plex Sans Arabic"/>
          <w:rtl/>
        </w:rPr>
        <w:t xml:space="preserve">تصنيفات النظام (المالك: النظام) لا يُغيَّر رمزها ولا خصائصها، لكن يمكن تعديل أسماء قيمها وترتيبها وإيقافها وإضافة قيم جديدة.</w:t>
      </w:r>
    </w:p>
    <w:p>
      <w:pPr>
        <w:pStyle w:val="Heading2"/>
        <w:bidi/>
      </w:pPr>
      <w:r>
        <w:rPr>
          <w:rFonts w:ascii="IBM Plex Sans Arabic" w:cs="IBM Plex Sans Arabic" w:hAnsi="IBM Plex Sans Arabic"/>
          <w:rtl/>
        </w:rPr>
        <w:t xml:space="preserve">16.2 قوائم القيم</w:t>
      </w:r>
    </w:p>
    <w:p>
      <w:pPr>
        <w:bidi/>
        <w:spacing w:after="120" w:line="320"/>
        <w:jc w:val="start"/>
      </w:pPr>
      <w:r>
        <w:rPr>
          <w:rFonts w:ascii="IBM Plex Sans Arabic" w:cs="IBM Plex Sans Arabic" w:hAnsi="IBM Plex Sans Arabic"/>
          <w:rtl/>
        </w:rPr>
        <w:t xml:space="preserve">قائمة القيم مصدر لخيارات القوائم المنسدلة (من تصنيف أو جدول بيانات)، وتُربط بحقول الشاشات، وتُقيّد قيمها لكل دور.</w:t>
      </w:r>
    </w:p>
    <w:p>
      <w:pPr>
        <w:spacing w:after="60" w:before="120"/>
        <w:jc w:val="center"/>
      </w:pPr>
      <w:r>
        <w:drawing>
          <wp:inline distT="0" distB="0" distL="0" distR="0">
            <wp:extent cx="5715000" cy="3571875"/>
            <wp:effectExtent t="0" r="0" b="0" l="0"/>
            <wp:docPr id="1" name="33-lovs.jpg" descr="قوائم القيم" title="قوائم الق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قوائم القيم</w:t>
      </w:r>
    </w:p>
    <w:p>
      <w:pPr>
        <w:pStyle w:val="Heading2"/>
        <w:bidi/>
      </w:pPr>
      <w:r>
        <w:rPr>
          <w:rFonts w:ascii="IBM Plex Sans Arabic" w:cs="IBM Plex Sans Arabic" w:hAnsi="IBM Plex Sans Arabic"/>
          <w:rtl/>
        </w:rPr>
        <w:t xml:space="preserve">16.3 الهيكل التنظيمي</w:t>
      </w:r>
    </w:p>
    <w:p>
      <w:pPr>
        <w:spacing w:after="60" w:before="120"/>
        <w:jc w:val="center"/>
      </w:pPr>
      <w:r>
        <w:drawing>
          <wp:inline distT="0" distB="0" distL="0" distR="0">
            <wp:extent cx="5715000" cy="3571875"/>
            <wp:effectExtent t="0" r="0" b="0" l="0"/>
            <wp:docPr id="1" name="55-org-unit.jpg" descr="الهيكل التنظيمي: الوحدة وموظفوها" title="الهيكل التنظيمي: الوحدة وموظفو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الهيكل التنظيمي: الوحدة وموظفوها</w:t>
      </w:r>
    </w:p>
    <w:p>
      <w:pPr>
        <w:pStyle w:val="ListParagraph"/>
        <w:numPr>
          <w:ilvl w:val="0"/>
          <w:numId w:val="2"/>
        </w:numPr>
        <w:bidi/>
        <w:spacing w:after="80" w:line="300"/>
        <w:jc w:val="start"/>
      </w:pPr>
      <w:r>
        <w:rPr>
          <w:rFonts w:ascii="IBM Plex Sans Arabic" w:cs="IBM Plex Sans Arabic" w:hAnsi="IBM Plex Sans Arabic"/>
          <w:rtl/>
        </w:rPr>
        <w:t xml:space="preserve">الوحدات: شجرة الجهة؛ اختر وحدة لعرض بياناتها ووحداتها الفرعية، وأضف وحدة فرعية أو عدّلها أو انقلها.</w:t>
      </w:r>
    </w:p>
    <w:p>
      <w:pPr>
        <w:pStyle w:val="ListParagraph"/>
        <w:numPr>
          <w:ilvl w:val="0"/>
          <w:numId w:val="2"/>
        </w:numPr>
        <w:bidi/>
        <w:spacing w:after="80" w:line="300"/>
        <w:jc w:val="start"/>
      </w:pPr>
      <w:r>
        <w:rPr>
          <w:rFonts w:ascii="IBM Plex Sans Arabic" w:cs="IBM Plex Sans Arabic" w:hAnsi="IBM Plex Sans Arabic"/>
          <w:rtl/>
        </w:rPr>
        <w:t xml:space="preserve">الموظفون: يعرض الجدول أسفل الوحدة الموظفين المعينين فيها ومسمياتهم، ومع «مع الوحدات التابعة» موظفي ما تحتها. أضف موظفًا بمسمى أو أزله من الوحدة.</w:t>
      </w:r>
    </w:p>
    <w:p>
      <w:pPr>
        <w:pStyle w:val="ListParagraph"/>
        <w:numPr>
          <w:ilvl w:val="0"/>
          <w:numId w:val="2"/>
        </w:numPr>
        <w:bidi/>
        <w:spacing w:after="80" w:line="300"/>
        <w:jc w:val="start"/>
      </w:pPr>
      <w:r>
        <w:rPr>
          <w:rFonts w:ascii="IBM Plex Sans Arabic" w:cs="IBM Plex Sans Arabic" w:hAnsi="IBM Plex Sans Arabic"/>
          <w:rtl/>
        </w:rPr>
        <w:t xml:space="preserve">أنواع الوحدات: مستوى الوحدة في الهيكل (قطاع، إدارة عامة، إدارة، قسم، فرع)، وما يتبع كل نوع، وتستخدمها قواعد التوجيه.</w:t>
      </w:r>
    </w:p>
    <w:p>
      <w:pPr>
        <w:pStyle w:val="ListParagraph"/>
        <w:numPr>
          <w:ilvl w:val="0"/>
          <w:numId w:val="2"/>
        </w:numPr>
        <w:bidi/>
        <w:spacing w:after="80" w:line="300"/>
        <w:jc w:val="start"/>
      </w:pPr>
      <w:r>
        <w:rPr>
          <w:rFonts w:ascii="IBM Plex Sans Arabic" w:cs="IBM Plex Sans Arabic" w:hAnsi="IBM Plex Sans Arabic"/>
          <w:rtl/>
        </w:rPr>
        <w:t xml:space="preserve">المسميات: الوظائف داخل الوحدة (مدير إدارة، رئيس قسم، محلل، مفتش)، لتوجيه المهام إلى «مدير الإدارة» دون تسمية شخص.</w:t>
      </w:r>
    </w:p>
    <w:p>
      <w:pPr>
        <w:pStyle w:val="Heading2"/>
        <w:bidi/>
      </w:pPr>
      <w:r>
        <w:rPr>
          <w:rFonts w:ascii="IBM Plex Sans Arabic" w:cs="IBM Plex Sans Arabic" w:hAnsi="IBM Plex Sans Arabic"/>
          <w:rtl/>
        </w:rPr>
        <w:t xml:space="preserve">16.4 المستخدمون</w:t>
      </w:r>
    </w:p>
    <w:p>
      <w:pPr>
        <w:bidi/>
        <w:spacing w:after="120" w:line="320"/>
        <w:jc w:val="start"/>
      </w:pPr>
      <w:r>
        <w:rPr>
          <w:rFonts w:ascii="IBM Plex Sans Arabic" w:cs="IBM Plex Sans Arabic" w:hAnsi="IBM Plex Sans Arabic"/>
          <w:rtl/>
        </w:rPr>
        <w:t xml:space="preserve">أضف الموظف، وعيّن أدواره، وتكليفاته (الوحدة والمسمى)، وجهته. تبيّن الملاحظة أعلى الشاشة مصدر حسابات الدخول: تُدار من هنا (إنشاء الحساب وكلمة مرور مؤقتة أو رابط بالبريد)، أو من دليل الجهة (AD أو LDAP أو Entra ID) فتُنشأ الحسابات وكلمات المرور هناك ويُضاف المستخدم هنا بنفس اسم الدخول لإعطائه الأدوار. إجراء «حساب الدخول» في كل صف يفعّل الحساب أو يعطله فورًا ويعيّن كلمة المرور وينهي الجلسات.</w:t>
      </w:r>
    </w:p>
    <w:p>
      <w:pPr>
        <w:spacing w:after="60" w:before="120"/>
        <w:jc w:val="center"/>
      </w:pPr>
      <w:r>
        <w:drawing>
          <wp:inline distT="0" distB="0" distL="0" distR="0">
            <wp:extent cx="5715000" cy="3571875"/>
            <wp:effectExtent t="0" r="0" b="0" l="0"/>
            <wp:docPr id="1" name="35-users.jpg" descr="المستخدمون" title="المستخدم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المستخدمون</w:t>
      </w:r>
    </w:p>
    <w:p>
      <w:pPr>
        <w:pStyle w:val="Heading2"/>
        <w:bidi/>
      </w:pPr>
      <w:r>
        <w:rPr>
          <w:rFonts w:ascii="IBM Plex Sans Arabic" w:cs="IBM Plex Sans Arabic" w:hAnsi="IBM Plex Sans Arabic"/>
          <w:rtl/>
        </w:rPr>
        <w:t xml:space="preserve">16.5 الأدوار والصلاحيات</w:t>
      </w:r>
    </w:p>
    <w:p>
      <w:pPr>
        <w:spacing w:after="60" w:before="120"/>
        <w:jc w:val="center"/>
      </w:pPr>
      <w:r>
        <w:drawing>
          <wp:inline distT="0" distB="0" distL="0" distR="0">
            <wp:extent cx="5715000" cy="3571875"/>
            <wp:effectExtent t="0" r="0" b="0" l="0"/>
            <wp:docPr id="1" name="54-role-editor.jpg" descr="محرر الدور" title="محرر الدو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محرر الدور</w:t>
      </w:r>
    </w:p>
    <w:p>
      <w:pPr>
        <w:pStyle w:val="ListParagraph"/>
        <w:numPr>
          <w:ilvl w:val="0"/>
          <w:numId w:val="5"/>
        </w:numPr>
        <w:bidi/>
        <w:spacing w:after="80" w:line="300"/>
        <w:jc w:val="start"/>
      </w:pPr>
      <w:r>
        <w:rPr>
          <w:rFonts w:ascii="IBM Plex Sans Arabic" w:cs="IBM Plex Sans Arabic" w:hAnsi="IBM Plex Sans Arabic"/>
          <w:rtl/>
        </w:rPr>
        <w:t xml:space="preserve">البيانات: الاسم والرمز وتطبيقات الأعمال (دور واحد قد يخدم أكثر من تطبيق).</w:t>
      </w:r>
    </w:p>
    <w:p>
      <w:pPr>
        <w:pStyle w:val="ListParagraph"/>
        <w:numPr>
          <w:ilvl w:val="0"/>
          <w:numId w:val="5"/>
        </w:numPr>
        <w:bidi/>
        <w:spacing w:after="80" w:line="300"/>
        <w:jc w:val="start"/>
      </w:pPr>
      <w:r>
        <w:rPr>
          <w:rFonts w:ascii="IBM Plex Sans Arabic" w:cs="IBM Plex Sans Arabic" w:hAnsi="IBM Plex Sans Arabic"/>
          <w:rtl/>
        </w:rPr>
        <w:t xml:space="preserve">الشاشات: اختر الشاشات التي يفتحها الدور.</w:t>
      </w:r>
    </w:p>
    <w:p>
      <w:pPr>
        <w:pStyle w:val="ListParagraph"/>
        <w:numPr>
          <w:ilvl w:val="0"/>
          <w:numId w:val="5"/>
        </w:numPr>
        <w:bidi/>
        <w:spacing w:after="80" w:line="300"/>
        <w:jc w:val="start"/>
      </w:pPr>
      <w:r>
        <w:rPr>
          <w:rFonts w:ascii="IBM Plex Sans Arabic" w:cs="IBM Plex Sans Arabic" w:hAnsi="IBM Plex Sans Arabic"/>
          <w:rtl/>
        </w:rPr>
        <w:t xml:space="preserve">الإجراءات: لكل شاشة حدد الإجراءات (فتح، إضافة، تعديل، حذف، اعتماد، تصدير، طباعة) وما بداخلها.</w:t>
      </w:r>
    </w:p>
    <w:p>
      <w:pPr>
        <w:pStyle w:val="ListParagraph"/>
        <w:numPr>
          <w:ilvl w:val="0"/>
          <w:numId w:val="5"/>
        </w:numPr>
        <w:bidi/>
        <w:spacing w:after="80" w:line="300"/>
        <w:jc w:val="start"/>
      </w:pPr>
      <w:r>
        <w:rPr>
          <w:rFonts w:ascii="IBM Plex Sans Arabic" w:cs="IBM Plex Sans Arabic" w:hAnsi="IBM Plex Sans Arabic"/>
          <w:rtl/>
        </w:rPr>
        <w:t xml:space="preserve">البيانات في القوائم: لكل قائمة في الشاشة: الكل، أو قيم محددة، أو حسب قاعدة، أو لا شيء.</w:t>
      </w:r>
    </w:p>
    <w:p>
      <w:pPr>
        <w:pStyle w:val="ListParagraph"/>
        <w:numPr>
          <w:ilvl w:val="0"/>
          <w:numId w:val="5"/>
        </w:numPr>
        <w:bidi/>
        <w:spacing w:after="80" w:line="300"/>
        <w:jc w:val="start"/>
      </w:pPr>
      <w:r>
        <w:rPr>
          <w:rFonts w:ascii="IBM Plex Sans Arabic" w:cs="IBM Plex Sans Arabic" w:hAnsi="IBM Plex Sans Arabic"/>
          <w:rtl/>
        </w:rPr>
        <w:t xml:space="preserve">القوائم: عناصر القائمة الجانبية التي يظهرها الدور.</w:t>
      </w:r>
    </w:p>
    <w:p>
      <w:pPr>
        <w:pStyle w:val="Heading2"/>
        <w:bidi/>
      </w:pPr>
      <w:r>
        <w:rPr>
          <w:rFonts w:ascii="IBM Plex Sans Arabic" w:cs="IBM Plex Sans Arabic" w:hAnsi="IBM Plex Sans Arabic"/>
          <w:rtl/>
        </w:rPr>
        <w:t xml:space="preserve">16.6 القوائم والهوية</w:t>
      </w:r>
    </w:p>
    <w:p>
      <w:pPr>
        <w:pStyle w:val="ListParagraph"/>
        <w:numPr>
          <w:ilvl w:val="0"/>
          <w:numId w:val="2"/>
        </w:numPr>
        <w:bidi/>
        <w:spacing w:after="80" w:line="300"/>
        <w:jc w:val="start"/>
      </w:pPr>
      <w:r>
        <w:rPr>
          <w:rFonts w:ascii="IBM Plex Sans Arabic" w:cs="IBM Plex Sans Arabic" w:hAnsi="IBM Plex Sans Arabic"/>
          <w:rtl/>
        </w:rPr>
        <w:t xml:space="preserve">القوائم: مجموعات القائمة الجانبية وعناصرها وأيقوناتها وترتيبها.</w:t>
      </w:r>
    </w:p>
    <w:p>
      <w:pPr>
        <w:pStyle w:val="ListParagraph"/>
        <w:numPr>
          <w:ilvl w:val="0"/>
          <w:numId w:val="2"/>
        </w:numPr>
        <w:bidi/>
        <w:spacing w:after="80" w:line="300"/>
        <w:jc w:val="start"/>
      </w:pPr>
      <w:r>
        <w:rPr>
          <w:rFonts w:ascii="IBM Plex Sans Arabic" w:cs="IBM Plex Sans Arabic" w:hAnsi="IBM Plex Sans Arabic"/>
          <w:rtl/>
        </w:rPr>
        <w:t xml:space="preserve">النظام والجهة: الجهات وتطبيقات الأعمال.</w:t>
      </w:r>
    </w:p>
    <w:p>
      <w:pPr>
        <w:pStyle w:val="ListParagraph"/>
        <w:numPr>
          <w:ilvl w:val="0"/>
          <w:numId w:val="2"/>
        </w:numPr>
        <w:bidi/>
        <w:spacing w:after="80" w:line="300"/>
        <w:jc w:val="start"/>
      </w:pPr>
      <w:r>
        <w:rPr>
          <w:rFonts w:ascii="IBM Plex Sans Arabic" w:cs="IBM Plex Sans Arabic" w:hAnsi="IBM Plex Sans Arabic"/>
          <w:rtl/>
        </w:rPr>
        <w:t xml:space="preserve">الهوية والشعار: الاسم والشعار وألوان النظام والبوابة وصور الدخول وبيانات التواصل.</w:t>
      </w:r>
    </w:p>
    <w:p>
      <w:pPr>
        <w:spacing w:after="60" w:before="120"/>
        <w:jc w:val="center"/>
      </w:pPr>
      <w:r>
        <w:drawing>
          <wp:inline distT="0" distB="0" distL="0" distR="0">
            <wp:extent cx="5715000" cy="3571875"/>
            <wp:effectExtent t="0" r="0" b="0" l="0"/>
            <wp:docPr id="1" name="38-menus.jpg" descr="القوائم" title="القوائ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القوائم</w:t>
      </w:r>
    </w:p>
    <w:p>
      <w:pPr>
        <w:spacing w:after="60" w:before="120"/>
        <w:jc w:val="center"/>
      </w:pPr>
      <w:r>
        <w:drawing>
          <wp:inline distT="0" distB="0" distL="0" distR="0">
            <wp:extent cx="5715000" cy="3571875"/>
            <wp:effectExtent t="0" r="0" b="0" l="0"/>
            <wp:docPr id="1" name="40-installation.jpg" descr="النظام والجهة: الجهات وتطبيقات الأعمال" title="النظام والجهة: الجهات وتطبيقات الأعم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النظام والجهة: الجهات وتطبيقات الأعمال</w:t>
      </w:r>
    </w:p>
    <w:p>
      <w:pPr>
        <w:spacing w:after="60" w:before="120"/>
        <w:jc w:val="center"/>
      </w:pPr>
      <w:r>
        <w:drawing>
          <wp:inline distT="0" distB="0" distL="0" distR="0">
            <wp:extent cx="5715000" cy="3571875"/>
            <wp:effectExtent t="0" r="0" b="0" l="0"/>
            <wp:docPr id="1" name="41-branding.jpg" descr="الهوية والشعار" title="الهوية والشع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bidi/>
        <w:spacing w:after="240"/>
        <w:jc w:val="center"/>
      </w:pPr>
      <w:r>
        <w:rPr>
          <w:rFonts w:ascii="IBM Plex Sans Arabic" w:cs="IBM Plex Sans Arabic" w:hAnsi="IBM Plex Sans Arabic"/>
          <w:i/>
          <w:iCs/>
          <w:color w:val="667085"/>
          <w:sz w:val="18"/>
          <w:szCs w:val="18"/>
          <w:rtl/>
        </w:rPr>
        <w:t xml:space="preserve">الهوية والشعار</w:t>
      </w:r>
    </w:p>
    <w:p>
      <w:pPr>
        <w:pStyle w:val="Heading1"/>
        <w:pageBreakBefore/>
        <w:bidi/>
      </w:pPr>
      <w:r>
        <w:rPr>
          <w:rFonts w:ascii="IBM Plex Sans Arabic" w:cs="IBM Plex Sans Arabic" w:hAnsi="IBM Plex Sans Arabic"/>
          <w:rtl/>
        </w:rPr>
        <w:t xml:space="preserve">17. أسئلة شائعة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المشكلة</w:t>
            </w:r>
          </w:p>
        </w:tc>
        <w:tc>
          <w:tcPr>
            <w:tcW w:type="dxa" w:w="6638"/>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الحل</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حفظت تعديلًا ولم يظهر</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المجال يتطلب اعتمادًا: أرسل المسودة من «طلبات التغيير» واطلب اعتمادها.</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لا تظهر شاشة أو زر</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الصلاحية غير ممنوحة لدورك، أو لم يُضف العنصر إلى قوائم دورك. راجع مسؤول الصلاحيات.</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لا أرى طلبات تطبيق آخر</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تحقق من اختيار التطبيق في الشريط العلوي، ومن تطبيقات أدوارك.</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المهمة لا تظهر في «مهامي»</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قد تكون في «المهام المتاحة» تنتظر الاستلام، أو في «للتوزيع».</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خطأ عند الاستيراد</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تعرض نافذة المراجعة البند والحقل وسبب الخطأ؛ صحح الملف وأعد الفحص.</w:t>
            </w:r>
          </w:p>
        </w:tc>
      </w:tr>
    </w:tbl>
    <w:p/>
    <w:p>
      <w:pPr>
        <w:pStyle w:val="Heading1"/>
        <w:pageBreakBefore/>
        <w:bidi/>
      </w:pPr>
      <w:r>
        <w:rPr>
          <w:rFonts w:ascii="IBM Plex Sans Arabic" w:cs="IBM Plex Sans Arabic" w:hAnsi="IBM Plex Sans Arabic"/>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المصطلح</w:t>
            </w:r>
          </w:p>
        </w:tc>
        <w:tc>
          <w:tcPr>
            <w:tcW w:type="dxa" w:w="6638"/>
            <w:tcBorders>
              <w:top w:val="single" w:color="D0D5DD" w:sz="4"/>
              <w:left w:val="single" w:color="D0D5DD" w:sz="4"/>
              <w:bottom w:val="single" w:color="D0D5DD" w:sz="4"/>
              <w:right w:val="single" w:color="D0D5DD" w:sz="4"/>
            </w:tcBorders>
            <w:shd w:fill="F5EFE3" w:color="auto" w:val="clear"/>
            <w:tcMar>
              <w:top w:type="dxa" w:w="60"/>
              <w:left w:type="dxa" w:w="100"/>
              <w:bottom w:type="dxa" w:w="60"/>
              <w:right w:type="dxa" w:w="100"/>
            </w:tcMar>
          </w:tcPr>
          <w:p>
            <w:pPr>
              <w:bidi/>
              <w:spacing w:after="0"/>
              <w:jc w:val="start"/>
            </w:pPr>
            <w:r>
              <w:rPr>
                <w:rFonts w:ascii="IBM Plex Sans Arabic" w:cs="IBM Plex Sans Arabic" w:hAnsi="IBM Plex Sans Arabic"/>
                <w:b/>
                <w:bCs/>
                <w:rtl/>
              </w:rPr>
              <w:t xml:space="preserve">المعنى</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طلب تغيير</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مجموعة تعديلات على الإعداد تُعتمد وتُنشر معًا.</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تطبيق أعمال</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خط أعمال في الجهة له خدماته وموظفوه (مثل التصنيف).</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مسار العمل</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خطوات معالجة طلب الخدمة ومن ينفذها.</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إصدار</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نسخة منشورة لا تتغير من خدمة أو مسار أو مجموعة قواعد.</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التصنيف والقيمة</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قائمة قيم وعناصرها (Class / Domain).</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قائمة القيم</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مصدر خيارات قائمة منسدلة مع تقييد قيمها لكل دور.</w:t>
            </w:r>
          </w:p>
        </w:tc>
      </w:tr>
      <w:tr>
        <w:tc>
          <w:tcPr>
            <w:tcW w:type="dxa" w:w="3000"/>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JSONLogic</w:t>
            </w:r>
          </w:p>
        </w:tc>
        <w:tc>
          <w:tcPr>
            <w:tcW w:type="dxa" w:w="6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bidi/>
              <w:spacing w:after="0"/>
              <w:jc w:val="start"/>
            </w:pPr>
            <w:r>
              <w:rPr>
                <w:rFonts w:ascii="IBM Plex Sans Arabic" w:cs="IBM Plex Sans Arabic" w:hAnsi="IBM Plex Sans Arabic"/>
                <w:rtl/>
              </w:rPr>
              <w:t xml:space="preserve">صيغة لكتابة الشروط والقواعد، مثل </w:t>
            </w:r>
            <w:r>
              <w:rPr>
                <w:rFonts w:ascii="Consolas" w:cs="Consolas" w:eastAsia="Consolas" w:hAnsi="Consolas"/>
                <w:sz w:val="18"/>
                <w:szCs w:val="18"/>
              </w:rPr>
              <w:t xml:space="preserve">‪{"==": [{"var": "data.city"}, "RIYADH"]}‬</w:t>
            </w:r>
            <w:r>
              <w:rPr>
                <w:rFonts w:ascii="IBM Plex Sans Arabic" w:cs="IBM Plex Sans Arabic" w:hAnsi="IBM Plex Sans Arabic"/>
                <w:rtl/>
              </w:rPr>
              <w:t xml:space="preserve">.</w:t>
            </w:r>
          </w:p>
        </w:tc>
      </w:tr>
    </w:tbl>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hAnsi="IBM Plex Sans Arabic"/>
        <w:color w:val="98A2B3"/>
        <w:sz w:val="16"/>
        <w:szCs w:val="16"/>
        <w:rtl/>
      </w:rPr>
      <w:t xml:space="preserve">دليل مستخدم النظام الداخلي — </w:t>
    </w:r>
    <w:r>
      <w:rPr>
        <w:color w:val="98A2B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270"/>
      </w:pPr>
    </w:lvl>
  </w:abstractNum>
  <w:abstractNum w:abstractNumId="3" w15:restartNumberingAfterBreak="0">
    <w:multiLevelType w:val="hybridMultilevel"/>
    <w:lvl w:ilvl="0" w15:tentative="1">
      <w:start w:val="1"/>
      <w:numFmt w:val="decimal"/>
      <w:lvlText w:val="%1."/>
      <w:lvlJc w:val="start"/>
      <w:pPr>
        <w:ind w:start="540" w:hanging="300"/>
      </w:pPr>
    </w:lvl>
  </w:abstractNum>
  <w:abstractNum w:abstractNumId="4" w15:restartNumberingAfterBreak="0">
    <w:multiLevelType w:val="hybridMultilevel"/>
    <w:lvl w:ilvl="0" w15:tentative="1">
      <w:start w:val="1"/>
      <w:numFmt w:val="decimal"/>
      <w:lvlText w:val="%1."/>
      <w:lvlJc w:val="start"/>
      <w:pPr>
        <w:ind w:start="540" w:hanging="300"/>
      </w:pPr>
    </w:lvl>
  </w:abstractNum>
  <w:abstractNum w:abstractNumId="5" w15:restartNumberingAfterBreak="0">
    <w:multiLevelType w:val="hybridMultilevel"/>
    <w:lvl w:ilvl="0" w15:tentative="1">
      <w:start w:val="1"/>
      <w:numFmt w:val="decimal"/>
      <w:lvlText w:val="%1."/>
      <w:lvlJc w:val="start"/>
      <w:pPr>
        <w:ind w:star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hAnsi="IBM Plex Sans Arabic"/>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IBM Plex Sans Arabic" w:cs="IBM Plex Sans Arabic" w:hAnsi="IBM Plex Sans Arabic"/>
      <w:b/>
      <w:bCs/>
      <w:color w:val="9D7A3D"/>
      <w:sz w:val="36"/>
      <w:szCs w:val="36"/>
    </w:rPr>
  </w:style>
  <w:style w:type="paragraph" w:styleId="Heading2">
    <w:name w:val="Heading 2"/>
    <w:basedOn w:val="Normal"/>
    <w:next w:val="Normal"/>
    <w:qFormat/>
    <w:pPr>
      <w:spacing w:after="120" w:before="300"/>
      <w:outlineLvl w:val="1"/>
    </w:pPr>
    <w:rPr>
      <w:rFonts w:ascii="IBM Plex Sans Arabic" w:cs="IBM Plex Sans Arabic" w:hAnsi="IBM Plex Sans Arabic"/>
      <w:b/>
      <w:bCs/>
      <w:color w:val="101828"/>
      <w:sz w:val="28"/>
      <w:szCs w:val="28"/>
    </w:rPr>
  </w:style>
  <w:style w:type="paragraph" w:styleId="Heading3">
    <w:name w:val="Heading 3"/>
    <w:basedOn w:val="Normal"/>
    <w:next w:val="Normal"/>
    <w:qFormat/>
    <w:pPr>
      <w:spacing w:after="100" w:before="200"/>
      <w:outlineLvl w:val="2"/>
    </w:pPr>
    <w:rPr>
      <w:rFonts w:ascii="IBM Plex Sans Arabic" w:cs="IBM Plex Sans Arabic" w:hAnsi="IBM Plex Sans Arabic"/>
      <w:b/>
      <w:bCs/>
      <w:color w:val="3440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547a8f25a3397bf2123de46a598af47e3f5426.jpg"/><Relationship Id="rId9" Type="http://schemas.openxmlformats.org/officeDocument/2006/relationships/image" Target="media/0a44eb6c88190bd7da05794089c89d7940b933f7.jpg"/><Relationship Id="rId10" Type="http://schemas.openxmlformats.org/officeDocument/2006/relationships/image" Target="media/1cd931d38a42cece99ed6c8b4841de4a40b5a7a3.jpg"/><Relationship Id="rId11" Type="http://schemas.openxmlformats.org/officeDocument/2006/relationships/image" Target="media/e3dda263b63677b7c27888743d347ba334dba66b.jpg"/><Relationship Id="rId12" Type="http://schemas.openxmlformats.org/officeDocument/2006/relationships/image" Target="media/4eda274cef48edd1fc116b5544e3921ec81d479b.jpg"/><Relationship Id="rId13" Type="http://schemas.openxmlformats.org/officeDocument/2006/relationships/image" Target="media/4d0beedf1a36311b9e73cb127389b2e9ee82fd8f.jpg"/><Relationship Id="rId14" Type="http://schemas.openxmlformats.org/officeDocument/2006/relationships/image" Target="media/3a57fe2528e4df7aa0aa234d01b56b154b0599b0.jpg"/><Relationship Id="rId15" Type="http://schemas.openxmlformats.org/officeDocument/2006/relationships/image" Target="media/06706e797fe57c591e48dd84a97c46ac7871aa5f.jpg"/><Relationship Id="rId16" Type="http://schemas.openxmlformats.org/officeDocument/2006/relationships/image" Target="media/bab0ebdcb7827f2fffbda7e020181588f9f8aa75.jpg"/><Relationship Id="rId17" Type="http://schemas.openxmlformats.org/officeDocument/2006/relationships/image" Target="media/a868d13fc3a7bbe0aa2667513c492fde0c3b8703.jpg"/><Relationship Id="rId18" Type="http://schemas.openxmlformats.org/officeDocument/2006/relationships/image" Target="media/99ffdb938ad2e0e6b910d9e83c3c4f335d74f112.jpg"/><Relationship Id="rId19" Type="http://schemas.openxmlformats.org/officeDocument/2006/relationships/image" Target="media/5bd35e8447375379f3d36a57ebabdfbdc42e46f3.jpg"/><Relationship Id="rId20" Type="http://schemas.openxmlformats.org/officeDocument/2006/relationships/image" Target="media/e42f125979936a6230783ff577c02225b3bc64cb.jpg"/><Relationship Id="rId21" Type="http://schemas.openxmlformats.org/officeDocument/2006/relationships/image" Target="media/d68fa22eeee76fa44a307e36a4df9a1e21d75de3.jpg"/><Relationship Id="rId22" Type="http://schemas.openxmlformats.org/officeDocument/2006/relationships/image" Target="media/842e9b62f850f1be736cebe8efbd5b1c2b987dfb.jpg"/><Relationship Id="rId23" Type="http://schemas.openxmlformats.org/officeDocument/2006/relationships/image" Target="media/ffe373216b76760272508df83404764f0f6084a9.jpg"/><Relationship Id="rId24" Type="http://schemas.openxmlformats.org/officeDocument/2006/relationships/image" Target="media/b00d2677b406f1d62f03ff010d522a70a4b28225.jpg"/><Relationship Id="rId25" Type="http://schemas.openxmlformats.org/officeDocument/2006/relationships/image" Target="media/4af811f0567499c2abce8082d1793e2ecdac4504.jpg"/><Relationship Id="rId26" Type="http://schemas.openxmlformats.org/officeDocument/2006/relationships/image" Target="media/db318275a5181ffabbdddb424e87d43286fd46c4.jpg"/><Relationship Id="rId27" Type="http://schemas.openxmlformats.org/officeDocument/2006/relationships/image" Target="media/be2f59693856057a41d925c1b187d757bc60fee1.jpg"/><Relationship Id="rId28" Type="http://schemas.openxmlformats.org/officeDocument/2006/relationships/image" Target="media/e98fd8111ced4ae2ea2f25aa0c3dedd890d295c7.jpg"/><Relationship Id="rId29" Type="http://schemas.openxmlformats.org/officeDocument/2006/relationships/image" Target="media/27b7b208434e360ed6642e053f9885e9e3d67d31.jpg"/><Relationship Id="rId30" Type="http://schemas.openxmlformats.org/officeDocument/2006/relationships/image" Target="media/e3a02dfc7bc79d7ce3aac3eb17ac356173fe29b7.jpg"/><Relationship Id="rId31" Type="http://schemas.openxmlformats.org/officeDocument/2006/relationships/image" Target="media/7bbbd32e4900e33338d742ec5c7d74d07661700b.jpg"/><Relationship Id="rId32" Type="http://schemas.openxmlformats.org/officeDocument/2006/relationships/image" Target="media/5952bbfd0475490f2fb2aaa2bb024b743f4f59dc.jpg"/><Relationship Id="rId33" Type="http://schemas.openxmlformats.org/officeDocument/2006/relationships/image" Target="media/83068a1cd4076b0e8e9a5b72414a4ab26d17a7c4.jpg"/><Relationship Id="rId34" Type="http://schemas.openxmlformats.org/officeDocument/2006/relationships/image" Target="media/113ef16292925a39199e3e535bbd28d7a084f821.jpg"/><Relationship Id="rId35" Type="http://schemas.openxmlformats.org/officeDocument/2006/relationships/image" Target="media/91cf56a5b6e6f78db8403e3ba2feced18e2bf016.jpg"/><Relationship Id="rId36" Type="http://schemas.openxmlformats.org/officeDocument/2006/relationships/image" Target="media/e9952aaa39092183b49a4ae5a119484a3bff9628.jpg"/><Relationship Id="rId37" Type="http://schemas.openxmlformats.org/officeDocument/2006/relationships/image" Target="media/37d98b8c0699ab279f4e2800233d465bd3187867.jpg"/><Relationship Id="rId38" Type="http://schemas.openxmlformats.org/officeDocument/2006/relationships/image" Target="media/561b6f49baae062049553ec0bf56f6a02067f5c4.jpg"/><Relationship Id="rId39" Type="http://schemas.openxmlformats.org/officeDocument/2006/relationships/image" Target="media/51fd3433550174d5e41f873b12c813a6c712b723.jpg"/><Relationship Id="rId40" Type="http://schemas.openxmlformats.org/officeDocument/2006/relationships/image" Target="media/386076e8836579392a6c310e0440b74a05590abb.jpg"/><Relationship Id="rId41" Type="http://schemas.openxmlformats.org/officeDocument/2006/relationships/image" Target="media/a1c2d9980e27decd5dc9fd6426ee4657cbb6827a.jpg"/><Relationship Id="rId42" Type="http://schemas.openxmlformats.org/officeDocument/2006/relationships/image" Target="media/1c7893f7b47c5af857082cc34a4fba6b529fb47d.jpg"/><Relationship Id="rId43" Type="http://schemas.openxmlformats.org/officeDocument/2006/relationships/image" Target="media/6155bcc177029ed41c6ca540af98b6765250d7ff.jpg"/><Relationship Id="rId44" Type="http://schemas.openxmlformats.org/officeDocument/2006/relationships/image" Target="media/53e8ab6af369d41dd71c65f9d2066140c550ed22.jpg"/><Relationship Id="rId45" Type="http://schemas.openxmlformats.org/officeDocument/2006/relationships/image" Target="media/b01adf3e1c8ffd53284d203f76ab6f37c204a9ba.jpg"/><Relationship Id="rId46" Type="http://schemas.openxmlformats.org/officeDocument/2006/relationships/image" Target="media/2e44b674e4d3f941ed367f5dee6fe27f93650c1e.jpg"/><Relationship Id="rId47" Type="http://schemas.openxmlformats.org/officeDocument/2006/relationships/image" Target="media/6d958c2b9f77943ad193faac3bb94062a033d926.jpg"/><Relationship Id="rId48" Type="http://schemas.openxmlformats.org/officeDocument/2006/relationships/image" Target="media/fecc0e71ebac932d2da45b6d4f6be276340f539b.jpg"/><Relationship Id="rId49" Type="http://schemas.openxmlformats.org/officeDocument/2006/relationships/image" Target="media/628ec5192c651f5897ab4472d6072be60dd45155.jpg"/><Relationship Id="rId50" Type="http://schemas.openxmlformats.org/officeDocument/2006/relationships/image" Target="media/ec71d2ea07236454a581f7a9cf7428c9612057c4.jpg"/><Relationship Id="rId51" Type="http://schemas.openxmlformats.org/officeDocument/2006/relationships/image" Target="media/a616fdd19678e6177930eb6df79d857a63275024.jpg"/><Relationship Id="rId52" Type="http://schemas.openxmlformats.org/officeDocument/2006/relationships/image" Target="media/4e5f3dee9620d66f8dfb54d33ac406fa8ea1024a.jpg"/><Relationship Id="rId53" Type="http://schemas.openxmlformats.org/officeDocument/2006/relationships/image" Target="media/7ffbc9e44586fc9b5179609e765b57eb9466ee4c.jpg"/><Relationship Id="rId54" Type="http://schemas.openxmlformats.org/officeDocument/2006/relationships/image" Target="media/07f6146e4ec85126fa835f53c9bf37f7177c1a38.jpg"/><Relationship Id="rId55" Type="http://schemas.openxmlformats.org/officeDocument/2006/relationships/image" Target="media/25a153b578839a678ab637b67e744fe974b98d97.jp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مستخدم النظام الداخلي</dc:title>
  <dc:creator>Dynamic Cube</dc:creator>
  <cp:lastModifiedBy>Un-named</cp:lastModifiedBy>
  <cp:revision>1</cp:revision>
  <dcterms:created xsi:type="dcterms:W3CDTF">2026-10-29T19:34:04.144Z</dcterms:created>
  <dcterms:modified xsi:type="dcterms:W3CDTF">2026-10-29T19:34:04.144Z</dcterms:modified>
</cp:coreProperties>
</file>

<file path=docProps/custom.xml><?xml version="1.0" encoding="utf-8"?>
<Properties xmlns="http://schemas.openxmlformats.org/officeDocument/2006/custom-properties" xmlns:vt="http://schemas.openxmlformats.org/officeDocument/2006/docPropsVTypes"/>
</file>