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3366"/>
          <w:sz w:val="56"/>
        </w:rPr>
        <w:t>Cement Mill Fineness Prediction</w:t>
      </w:r>
    </w:p>
    <w:p>
      <w:pPr>
        <w:jc w:val="center"/>
      </w:pPr>
      <w:r>
        <w:rPr>
          <w:color w:val="646464"/>
          <w:sz w:val="32"/>
        </w:rPr>
        <w:t>Machine Learning Analysis Report &amp; Recommendation</w:t>
      </w:r>
    </w:p>
    <w:p/>
    <w:p>
      <w:pPr>
        <w:jc w:val="center"/>
      </w:pPr>
      <w:r>
        <w:rPr>
          <w:color w:val="505050"/>
          <w:sz w:val="24"/>
        </w:rPr>
        <w:t>Predictive Quality Control — Res45 (45μm Sieve Residue) Prediction</w:t>
      </w:r>
    </w:p>
    <w:p/>
    <w:p/>
    <w:p/>
    <w:p/>
    <w:p>
      <w:pPr>
        <w:jc w:val="center"/>
      </w:pPr>
      <w:r>
        <w:rPr>
          <w:b/>
          <w:sz w:val="22"/>
        </w:rPr>
        <w:t xml:space="preserve">Subject: </w:t>
      </w:r>
      <w:r>
        <w:rPr>
          <w:sz w:val="22"/>
        </w:rPr>
        <w:t>LafargeHolcim "Plants of Tomorrow" — MillMaster Digitisation</w:t>
      </w:r>
    </w:p>
    <w:p>
      <w:pPr>
        <w:jc w:val="center"/>
      </w:pPr>
      <w:r>
        <w:rPr>
          <w:b/>
          <w:sz w:val="22"/>
        </w:rPr>
        <w:t xml:space="preserve">Data Source: </w:t>
      </w:r>
      <w:r>
        <w:rPr>
          <w:sz w:val="22"/>
        </w:rPr>
        <w:t>PLC/DCS sensor data — 724 readings (Dec 2019 – Feb 2020)</w:t>
      </w:r>
    </w:p>
    <w:p>
      <w:pPr>
        <w:jc w:val="center"/>
      </w:pPr>
      <w:r>
        <w:rPr>
          <w:b/>
          <w:sz w:val="22"/>
        </w:rPr>
        <w:t xml:space="preserve">Date: </w:t>
      </w:r>
      <w:r>
        <w:rPr>
          <w:sz w:val="22"/>
        </w:rPr>
        <w:t>April 22, 2026</w:t>
      </w:r>
    </w:p>
    <w:p>
      <w:pPr>
        <w:jc w:val="center"/>
      </w:pPr>
      <w:r>
        <w:rPr>
          <w:b/>
          <w:sz w:val="22"/>
        </w:rPr>
        <w:t xml:space="preserve">Classification: </w:t>
      </w:r>
      <w:r>
        <w:rPr>
          <w:sz w:val="22"/>
        </w:rPr>
        <w:t>Internal — Confidential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Executive Summary</w:t>
      </w:r>
    </w:p>
    <w:p>
      <w:r>
        <w:t>We evaluated 10 machine learning models to predict cement fineness (Res45_AVG) in real-time using 8 process sensors already available from the mill's PLC/DCS system. The goal is to replace the current lab-dependent quality testing with a soft sensor that enables proactive process control.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Best Model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LightGBM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Accuracy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95.88%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Improvement Over Baseline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+0.67% (vs 95.21% MLR)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Models Beating Baseline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4 out of 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Engineered Features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69 (from 8 raw sensors)</w:t>
            </w:r>
          </w:p>
        </w:tc>
      </w:tr>
    </w:tbl>
    <w:p/>
    <w:p>
      <w:r>
        <w:rPr>
          <w:b/>
          <w:color w:val="008000"/>
        </w:rPr>
        <w:t xml:space="preserve">Recommendation: </w:t>
      </w:r>
      <w:r>
        <w:t>Deploy LightGBM model in advisory mode (Phase 1) with PLC integration via OPC-UA. Expected benefits: 5% energy reduction and 5% capacity increase per the LafargeHolcim PoC roadmap.</w:t>
      </w:r>
    </w:p>
    <w:p>
      <w:pPr>
        <w:pStyle w:val="Heading1"/>
      </w:pPr>
      <w:r>
        <w:rPr>
          <w:color w:val="003366"/>
        </w:rPr>
        <w:t>2. Data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Period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Full Clean 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Dec 2019 – Feb 2020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Complete dataset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Training Set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514 (71%)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Dec 2019 – Jan 2020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Model training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 Set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210 (29%)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Feb – Aug 2020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Model evaluation</w:t>
            </w:r>
          </w:p>
        </w:tc>
      </w:tr>
    </w:tbl>
    <w:p/>
    <w:p>
      <w:pPr>
        <w:pStyle w:val="Heading2"/>
      </w:pPr>
      <w:r>
        <w:rPr>
          <w:color w:val="003366"/>
        </w:rPr>
        <w:t>Input Sensors (from PLC/DCS)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Sensor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Mean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Range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Physical Significance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Sound Level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0.82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0.05 – 0.91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Mill fill level / grinding efficiency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Production Rate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119.88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42.75 – 155.42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Throughput (tons/hr)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Gypsum Feed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5.04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2.09 – 8.35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Additive for setting time control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Sepol Drive Speed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70.61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33.94 – 78.58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Separator classifier speed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Separator Fan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294.33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142.40 – 312.94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Air flow for particle separation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Mill Feed Rate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266.50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46.63 – 420.37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Raw material input rate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Bucket Elevator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34.50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6.03 – 54.41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Circulating load indicator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Main Motor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1762.34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853.04 – 1921.61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Power draw — grinding intensity</w:t>
            </w:r>
          </w:p>
        </w:tc>
      </w:tr>
    </w:tbl>
    <w:p/>
    <w:p>
      <w:r>
        <w:rPr>
          <w:b/>
        </w:rPr>
        <w:t xml:space="preserve">Target Variable: </w:t>
      </w:r>
      <w:r>
        <w:t>Res45_AVG (Residue on 45μm sieve, %) — Mean: 7.48%, Range: 4.4% – 9.15%</w:t>
      </w:r>
    </w:p>
    <w:p>
      <w:r>
        <w:rPr>
          <w:b/>
        </w:rPr>
        <w:t xml:space="preserve">Data Quality: </w:t>
      </w:r>
      <w:r>
        <w:t>Zero nulls, zero duplicates. 4 mill-stop outliers removed (Sound Level &lt; 0.1).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Feature Engineering</w:t>
      </w:r>
    </w:p>
    <w:p>
      <w:r>
        <w:t>We expanded the original 8 raw features to 69 engineered features: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 Type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Original raw sensors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Direct PLC/DCS readings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Rolling averages (2h, 4h)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Short-term trend capture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Rolling std deviation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Process variability/stability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Rate of change (derivatives)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Rising/falling conditions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Lag features (1 &amp; 2 periods)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Process inertia effects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Interaction terms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Physical relationships (e.g. Mill Feed x Sep Fan)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Ratio features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Normalized efficiency metrics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Time features (cyclical)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Shift/hour patterns</w:t>
            </w:r>
          </w:p>
        </w:tc>
      </w:tr>
    </w:tbl>
    <w:p>
      <w:pPr>
        <w:pStyle w:val="Heading1"/>
      </w:pPr>
      <w:r>
        <w:rPr>
          <w:color w:val="003366"/>
        </w:rPr>
        <w:t>4. Model Comparison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MAE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RMSE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vs Baseline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234"/>
            <w:shd w:fill="D4EDDA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  <w:shd w:fill="D4EDDA" w:val="clear"/>
          </w:tcPr>
          <w:p>
            <w:r>
              <w:rPr>
                <w:sz w:val="20"/>
              </w:rPr>
              <w:t>LightGBM</w:t>
            </w:r>
          </w:p>
        </w:tc>
        <w:tc>
          <w:tcPr>
            <w:tcW w:type="dxa" w:w="1234"/>
            <w:shd w:fill="D4EDDA" w:val="clear"/>
          </w:tcPr>
          <w:p>
            <w:r>
              <w:rPr>
                <w:sz w:val="20"/>
              </w:rPr>
              <w:t>95.88%</w:t>
            </w:r>
          </w:p>
        </w:tc>
        <w:tc>
          <w:tcPr>
            <w:tcW w:type="dxa" w:w="1234"/>
            <w:shd w:fill="D4EDDA" w:val="clear"/>
          </w:tcPr>
          <w:p>
            <w:r>
              <w:rPr>
                <w:sz w:val="20"/>
              </w:rPr>
              <w:t>0.2904</w:t>
            </w:r>
          </w:p>
        </w:tc>
        <w:tc>
          <w:tcPr>
            <w:tcW w:type="dxa" w:w="1234"/>
            <w:shd w:fill="D4EDDA" w:val="clear"/>
          </w:tcPr>
          <w:p>
            <w:r>
              <w:rPr>
                <w:sz w:val="20"/>
              </w:rPr>
              <w:t>0.4382</w:t>
            </w:r>
          </w:p>
        </w:tc>
        <w:tc>
          <w:tcPr>
            <w:tcW w:type="dxa" w:w="1234"/>
            <w:shd w:fill="D4EDDA" w:val="clear"/>
          </w:tcPr>
          <w:p>
            <w:r>
              <w:rPr>
                <w:sz w:val="20"/>
              </w:rPr>
              <w:t>+0.67%</w:t>
            </w:r>
          </w:p>
        </w:tc>
        <w:tc>
          <w:tcPr>
            <w:tcW w:type="dxa" w:w="1234"/>
            <w:shd w:fill="D4EDDA" w:val="clear"/>
          </w:tcPr>
          <w:p>
            <w:r>
              <w:rPr>
                <w:sz w:val="20"/>
              </w:rPr>
              <w:t>BEST</w:t>
            </w:r>
          </w:p>
        </w:tc>
      </w:tr>
      <w:tr>
        <w:tc>
          <w:tcPr>
            <w:tcW w:type="dxa" w:w="1234"/>
            <w:shd w:fill="D4EDDA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D4EDDA" w:val="clear"/>
          </w:tcPr>
          <w:p>
            <w:r>
              <w:rPr>
                <w:sz w:val="20"/>
              </w:rPr>
              <w:t>XGBoost</w:t>
            </w:r>
          </w:p>
        </w:tc>
        <w:tc>
          <w:tcPr>
            <w:tcW w:type="dxa" w:w="1234"/>
            <w:shd w:fill="D4EDDA" w:val="clear"/>
          </w:tcPr>
          <w:p>
            <w:r>
              <w:rPr>
                <w:sz w:val="20"/>
              </w:rPr>
              <w:t>95.85%</w:t>
            </w:r>
          </w:p>
        </w:tc>
        <w:tc>
          <w:tcPr>
            <w:tcW w:type="dxa" w:w="1234"/>
            <w:shd w:fill="D4EDDA" w:val="clear"/>
          </w:tcPr>
          <w:p>
            <w:r>
              <w:rPr>
                <w:sz w:val="20"/>
              </w:rPr>
              <w:t>0.2885</w:t>
            </w:r>
          </w:p>
        </w:tc>
        <w:tc>
          <w:tcPr>
            <w:tcW w:type="dxa" w:w="1234"/>
            <w:shd w:fill="D4EDDA" w:val="clear"/>
          </w:tcPr>
          <w:p>
            <w:r>
              <w:rPr>
                <w:sz w:val="20"/>
              </w:rPr>
              <w:t>0.4513</w:t>
            </w:r>
          </w:p>
        </w:tc>
        <w:tc>
          <w:tcPr>
            <w:tcW w:type="dxa" w:w="1234"/>
            <w:shd w:fill="D4EDDA" w:val="clear"/>
          </w:tcPr>
          <w:p>
            <w:r>
              <w:rPr>
                <w:sz w:val="20"/>
              </w:rPr>
              <w:t>+0.64%</w:t>
            </w:r>
          </w:p>
        </w:tc>
        <w:tc>
          <w:tcPr>
            <w:tcW w:type="dxa" w:w="1234"/>
            <w:shd w:fill="D4EDDA" w:val="clear"/>
          </w:tcPr>
          <w:p>
            <w:r>
              <w:rPr>
                <w:sz w:val="20"/>
              </w:rPr>
              <w:t>BEATS BASELINE</w:t>
            </w:r>
          </w:p>
        </w:tc>
      </w:tr>
      <w:tr>
        <w:tc>
          <w:tcPr>
            <w:tcW w:type="dxa" w:w="1234"/>
            <w:shd w:fill="D4EDDA" w:val="clea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  <w:shd w:fill="D4EDDA" w:val="clear"/>
          </w:tcPr>
          <w:p>
            <w:r>
              <w:rPr>
                <w:sz w:val="20"/>
              </w:rPr>
              <w:t>Gradient Boosting</w:t>
            </w:r>
          </w:p>
        </w:tc>
        <w:tc>
          <w:tcPr>
            <w:tcW w:type="dxa" w:w="1234"/>
            <w:shd w:fill="D4EDDA" w:val="clear"/>
          </w:tcPr>
          <w:p>
            <w:r>
              <w:rPr>
                <w:sz w:val="20"/>
              </w:rPr>
              <w:t>95.75%</w:t>
            </w:r>
          </w:p>
        </w:tc>
        <w:tc>
          <w:tcPr>
            <w:tcW w:type="dxa" w:w="1234"/>
            <w:shd w:fill="D4EDDA" w:val="clear"/>
          </w:tcPr>
          <w:p>
            <w:r>
              <w:rPr>
                <w:sz w:val="20"/>
              </w:rPr>
              <w:t>0.2951</w:t>
            </w:r>
          </w:p>
        </w:tc>
        <w:tc>
          <w:tcPr>
            <w:tcW w:type="dxa" w:w="1234"/>
            <w:shd w:fill="D4EDDA" w:val="clear"/>
          </w:tcPr>
          <w:p>
            <w:r>
              <w:rPr>
                <w:sz w:val="20"/>
              </w:rPr>
              <w:t>0.4639</w:t>
            </w:r>
          </w:p>
        </w:tc>
        <w:tc>
          <w:tcPr>
            <w:tcW w:type="dxa" w:w="1234"/>
            <w:shd w:fill="D4EDDA" w:val="clear"/>
          </w:tcPr>
          <w:p>
            <w:r>
              <w:rPr>
                <w:sz w:val="20"/>
              </w:rPr>
              <w:t>+0.54%</w:t>
            </w:r>
          </w:p>
        </w:tc>
        <w:tc>
          <w:tcPr>
            <w:tcW w:type="dxa" w:w="1234"/>
            <w:shd w:fill="D4EDDA" w:val="clear"/>
          </w:tcPr>
          <w:p>
            <w:r>
              <w:rPr>
                <w:sz w:val="20"/>
              </w:rPr>
              <w:t>BEATS BASELINE</w:t>
            </w:r>
          </w:p>
        </w:tc>
      </w:tr>
      <w:tr>
        <w:tc>
          <w:tcPr>
            <w:tcW w:type="dxa" w:w="1234"/>
            <w:shd w:fill="D4EDDA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D4EDDA" w:val="clear"/>
          </w:tcPr>
          <w:p>
            <w:r>
              <w:rPr>
                <w:sz w:val="20"/>
              </w:rPr>
              <w:t>Stacking Ensemble</w:t>
            </w:r>
          </w:p>
        </w:tc>
        <w:tc>
          <w:tcPr>
            <w:tcW w:type="dxa" w:w="1234"/>
            <w:shd w:fill="D4EDDA" w:val="clear"/>
          </w:tcPr>
          <w:p>
            <w:r>
              <w:rPr>
                <w:sz w:val="20"/>
              </w:rPr>
              <w:t>95.52%</w:t>
            </w:r>
          </w:p>
        </w:tc>
        <w:tc>
          <w:tcPr>
            <w:tcW w:type="dxa" w:w="1234"/>
            <w:shd w:fill="D4EDDA" w:val="clear"/>
          </w:tcPr>
          <w:p>
            <w:r>
              <w:rPr>
                <w:sz w:val="20"/>
              </w:rPr>
              <w:t>0.3178</w:t>
            </w:r>
          </w:p>
        </w:tc>
        <w:tc>
          <w:tcPr>
            <w:tcW w:type="dxa" w:w="1234"/>
            <w:shd w:fill="D4EDDA" w:val="clear"/>
          </w:tcPr>
          <w:p>
            <w:r>
              <w:rPr>
                <w:sz w:val="20"/>
              </w:rPr>
              <w:t>0.5605</w:t>
            </w:r>
          </w:p>
        </w:tc>
        <w:tc>
          <w:tcPr>
            <w:tcW w:type="dxa" w:w="1234"/>
            <w:shd w:fill="D4EDDA" w:val="clear"/>
          </w:tcPr>
          <w:p>
            <w:r>
              <w:rPr>
                <w:sz w:val="20"/>
              </w:rPr>
              <w:t>+0.31%</w:t>
            </w:r>
          </w:p>
        </w:tc>
        <w:tc>
          <w:tcPr>
            <w:tcW w:type="dxa" w:w="1234"/>
            <w:shd w:fill="D4EDDA" w:val="clear"/>
          </w:tcPr>
          <w:p>
            <w:r>
              <w:rPr>
                <w:sz w:val="20"/>
              </w:rPr>
              <w:t>BEATS BASELINE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SVR (RBF)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95.08%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0.3505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0.5169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-0.13%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CLOSE</w:t>
            </w:r>
          </w:p>
        </w:tc>
      </w:tr>
      <w:tr>
        <w:tc>
          <w:tcPr>
            <w:tcW w:type="dxa" w:w="1234"/>
            <w:shd w:fill="F2F6FA" w:val="clear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  <w:shd w:fill="F2F6FA" w:val="clear"/>
          </w:tcPr>
          <w:p>
            <w:r>
              <w:rPr>
                <w:sz w:val="20"/>
              </w:rPr>
              <w:t>Baseline (MLR)</w:t>
            </w:r>
          </w:p>
        </w:tc>
        <w:tc>
          <w:tcPr>
            <w:tcW w:type="dxa" w:w="1234"/>
            <w:shd w:fill="F2F6FA" w:val="clear"/>
          </w:tcPr>
          <w:p>
            <w:r>
              <w:rPr>
                <w:sz w:val="20"/>
              </w:rPr>
              <w:t>95.21%</w:t>
            </w:r>
          </w:p>
        </w:tc>
        <w:tc>
          <w:tcPr>
            <w:tcW w:type="dxa" w:w="1234"/>
            <w:shd w:fill="F2F6FA" w:val="clear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  <w:shd w:fill="F2F6FA" w:val="clear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  <w:shd w:fill="F2F6FA" w:val="clear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  <w:shd w:fill="F2F6FA" w:val="clear"/>
          </w:tcPr>
          <w:p>
            <w:r>
              <w:rPr>
                <w:sz w:val="20"/>
              </w:rPr>
              <w:t>ORIGINAL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93.97%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0.4226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0.5740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-1.24%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  <w:shd w:fill="F2F6FA" w:val="clea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  <w:shd w:fill="F2F6FA" w:val="clear"/>
          </w:tcPr>
          <w:p>
            <w:r>
              <w:rPr>
                <w:sz w:val="20"/>
              </w:rPr>
              <w:t>ElasticNet</w:t>
            </w:r>
          </w:p>
        </w:tc>
        <w:tc>
          <w:tcPr>
            <w:tcW w:type="dxa" w:w="1234"/>
            <w:shd w:fill="F2F6FA" w:val="clear"/>
          </w:tcPr>
          <w:p>
            <w:r>
              <w:rPr>
                <w:sz w:val="20"/>
              </w:rPr>
              <w:t>93.94%</w:t>
            </w:r>
          </w:p>
        </w:tc>
        <w:tc>
          <w:tcPr>
            <w:tcW w:type="dxa" w:w="1234"/>
            <w:shd w:fill="F2F6FA" w:val="clear"/>
          </w:tcPr>
          <w:p>
            <w:r>
              <w:rPr>
                <w:sz w:val="20"/>
              </w:rPr>
              <w:t>0.4324</w:t>
            </w:r>
          </w:p>
        </w:tc>
        <w:tc>
          <w:tcPr>
            <w:tcW w:type="dxa" w:w="1234"/>
            <w:shd w:fill="F2F6FA" w:val="clear"/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1234"/>
            <w:shd w:fill="F2F6FA" w:val="clear"/>
          </w:tcPr>
          <w:p>
            <w:r>
              <w:rPr>
                <w:sz w:val="20"/>
              </w:rPr>
              <w:t>-1.27%</w:t>
            </w:r>
          </w:p>
        </w:tc>
        <w:tc>
          <w:tcPr>
            <w:tcW w:type="dxa" w:w="1234"/>
            <w:shd w:fill="F2F6FA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Lasso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93.93%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0.4330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-1.28%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  <w:shd w:fill="F2F6FA" w:val="clear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  <w:shd w:fill="F2F6FA" w:val="clear"/>
          </w:tcPr>
          <w:p>
            <w:r>
              <w:rPr>
                <w:sz w:val="20"/>
              </w:rPr>
              <w:t>Ridge</w:t>
            </w:r>
          </w:p>
        </w:tc>
        <w:tc>
          <w:tcPr>
            <w:tcW w:type="dxa" w:w="1234"/>
            <w:shd w:fill="F2F6FA" w:val="clear"/>
          </w:tcPr>
          <w:p>
            <w:r>
              <w:rPr>
                <w:sz w:val="20"/>
              </w:rPr>
              <w:t>93.82%</w:t>
            </w:r>
          </w:p>
        </w:tc>
        <w:tc>
          <w:tcPr>
            <w:tcW w:type="dxa" w:w="1234"/>
            <w:shd w:fill="F2F6FA" w:val="clear"/>
          </w:tcPr>
          <w:p>
            <w:r>
              <w:rPr>
                <w:sz w:val="20"/>
              </w:rPr>
              <w:t>0.4418</w:t>
            </w:r>
          </w:p>
        </w:tc>
        <w:tc>
          <w:tcPr>
            <w:tcW w:type="dxa" w:w="1234"/>
            <w:shd w:fill="F2F6FA" w:val="clear"/>
          </w:tcPr>
          <w:p>
            <w:r>
              <w:rPr>
                <w:sz w:val="20"/>
              </w:rPr>
              <w:t>0.9907</w:t>
            </w:r>
          </w:p>
        </w:tc>
        <w:tc>
          <w:tcPr>
            <w:tcW w:type="dxa" w:w="1234"/>
            <w:shd w:fill="F2F6FA" w:val="clear"/>
          </w:tcPr>
          <w:p>
            <w:r>
              <w:rPr>
                <w:sz w:val="20"/>
              </w:rPr>
              <w:t>-1.39%</w:t>
            </w:r>
          </w:p>
        </w:tc>
        <w:tc>
          <w:tcPr>
            <w:tcW w:type="dxa" w:w="1234"/>
            <w:shd w:fill="F2F6FA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ANN (MLP)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79.83%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1.4947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2.7654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-15.38%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POOR</w:t>
            </w:r>
          </w:p>
        </w:tc>
      </w:tr>
    </w:tbl>
    <w:p/>
    <w:p>
      <w:r>
        <w:rPr>
          <w:b/>
        </w:rPr>
        <w:t xml:space="preserve">Key Finding: </w:t>
      </w:r>
      <w:r>
        <w:t>Gradient boosting models (LightGBM, XGBoost, GBR) consistently outperform linear and neural network approaches. Linear models suffer from 69 highly correlated features; neural networks lack sufficient training data (510 rows).</w:t>
      </w:r>
    </w:p>
    <w:p>
      <w:pPr>
        <w:pStyle w:val="Heading1"/>
      </w:pPr>
      <w:r>
        <w:rPr>
          <w:color w:val="003366"/>
        </w:rPr>
        <w:t>5. Top Predictive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Importance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Insight</w:t>
            </w:r>
          </w:p>
        </w:tc>
      </w:tr>
      <w:tr>
        <w:tc>
          <w:tcPr>
            <w:tcW w:type="dxa" w:w="2160"/>
            <w:shd w:fill="D4EDDA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  <w:shd w:fill="D4EDDA" w:val="clear"/>
          </w:tcPr>
          <w:p>
            <w:r>
              <w:rPr>
                <w:sz w:val="20"/>
              </w:rPr>
              <w:t>Sepol Drive Speed (lag 2)</w:t>
            </w:r>
          </w:p>
        </w:tc>
        <w:tc>
          <w:tcPr>
            <w:tcW w:type="dxa" w:w="2160"/>
            <w:shd w:fill="D4EDDA" w:val="clear"/>
          </w:tcPr>
          <w:p>
            <w:r>
              <w:rPr>
                <w:sz w:val="20"/>
              </w:rPr>
              <w:t>44.47%</w:t>
            </w:r>
          </w:p>
        </w:tc>
        <w:tc>
          <w:tcPr>
            <w:tcW w:type="dxa" w:w="2160"/>
            <w:shd w:fill="D4EDDA" w:val="clear"/>
          </w:tcPr>
          <w:p>
            <w:r>
              <w:rPr>
                <w:sz w:val="20"/>
              </w:rPr>
              <w:t>Separator speed from 4h ago — dominant predictor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Sepol Drive Speed (lag 1)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8.90%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Confirms time-lag effect on fineness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Sepol Drive Speed (change)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4.30%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Direction of speed change matters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Sepol Drive Speed (4h avg)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3.28%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Longer window average behavior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Production Rate (4h avg)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2.65%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Sustained throughput affects quality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Sound Level (2h avg)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2.36%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Mill fill level trend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Sound Level (lag 2)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2.30%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Historical mill fill state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Sound Level (lag 1)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1.80%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Recent mill fill level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Sound Level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1.62%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Current reading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Gypsum Feed (lag 2)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1.38%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Delayed additive effect</w:t>
            </w:r>
          </w:p>
        </w:tc>
      </w:tr>
    </w:tbl>
    <w:p/>
    <w:p>
      <w:r>
        <w:rPr>
          <w:b/>
        </w:rPr>
        <w:t xml:space="preserve">Physical Interpretation: </w:t>
      </w:r>
      <w:r>
        <w:t>Sepol Drive Speed accounts for 61% of total predictive power across its variants. This is physically correct — the separator directly controls which particle sizes return to the mill for re-grinding. The 2-4 hour lag reflects the grinding circuit transit time.</w:t>
      </w:r>
    </w:p>
    <w:p>
      <w:r>
        <w:br w:type="page"/>
      </w:r>
    </w:p>
    <w:p>
      <w:pPr>
        <w:pStyle w:val="Heading1"/>
      </w:pPr>
      <w:r>
        <w:rPr>
          <w:color w:val="003366"/>
        </w:rPr>
        <w:t>6. PLC Integration — Proposed Architecture</w:t>
      </w:r>
    </w:p>
    <w:p>
      <w:r>
        <w:rPr>
          <w:rFonts w:ascii="Consolas" w:hAnsi="Consolas"/>
          <w:sz w:val="20"/>
        </w:rPr>
        <w:t>PLC/DCS (ABB MillMaster)</w:t>
      </w:r>
    </w:p>
    <w:p>
      <w:r>
        <w:rPr>
          <w:rFonts w:ascii="Consolas" w:hAnsi="Consolas"/>
          <w:sz w:val="20"/>
        </w:rPr>
        <w:t xml:space="preserve">    |  Reads 8 sensors (every 2 min)</w:t>
      </w:r>
    </w:p>
    <w:p>
      <w:r>
        <w:rPr>
          <w:rFonts w:ascii="Consolas" w:hAnsi="Consolas"/>
          <w:sz w:val="20"/>
        </w:rPr>
        <w:t xml:space="preserve">    v</w:t>
      </w:r>
    </w:p>
    <w:p>
      <w:r>
        <w:rPr>
          <w:rFonts w:ascii="Consolas" w:hAnsi="Consolas"/>
          <w:sz w:val="20"/>
        </w:rPr>
        <w:t>OPC-UA Server (data bridge)</w:t>
      </w:r>
    </w:p>
    <w:p>
      <w:r>
        <w:rPr>
          <w:rFonts w:ascii="Consolas" w:hAnsi="Consolas"/>
          <w:sz w:val="20"/>
        </w:rPr>
        <w:t xml:space="preserve">    |</w:t>
      </w:r>
    </w:p>
    <w:p>
      <w:r>
        <w:rPr>
          <w:rFonts w:ascii="Consolas" w:hAnsi="Consolas"/>
          <w:sz w:val="20"/>
        </w:rPr>
        <w:t xml:space="preserve">    v</w:t>
      </w:r>
    </w:p>
    <w:p>
      <w:r>
        <w:rPr>
          <w:rFonts w:ascii="Consolas" w:hAnsi="Consolas"/>
          <w:sz w:val="20"/>
        </w:rPr>
        <w:t>Edge Gateway / Cloud VM</w:t>
      </w:r>
    </w:p>
    <w:p>
      <w:r>
        <w:rPr>
          <w:rFonts w:ascii="Consolas" w:hAnsi="Consolas"/>
          <w:sz w:val="20"/>
        </w:rPr>
        <w:t xml:space="preserve">    |  Feature engineering (rolling avg, lags, interactions)</w:t>
      </w:r>
    </w:p>
    <w:p>
      <w:r>
        <w:rPr>
          <w:rFonts w:ascii="Consolas" w:hAnsi="Consolas"/>
          <w:sz w:val="20"/>
        </w:rPr>
        <w:t xml:space="preserve">    |  LightGBM inference (&lt;1ms)</w:t>
      </w:r>
    </w:p>
    <w:p>
      <w:r>
        <w:rPr>
          <w:rFonts w:ascii="Consolas" w:hAnsi="Consolas"/>
          <w:sz w:val="20"/>
        </w:rPr>
        <w:t xml:space="preserve">    |  Confidence interval calculation</w:t>
      </w:r>
    </w:p>
    <w:p>
      <w:r>
        <w:rPr>
          <w:rFonts w:ascii="Consolas" w:hAnsi="Consolas"/>
          <w:sz w:val="20"/>
        </w:rPr>
        <w:t xml:space="preserve">    v</w:t>
      </w:r>
    </w:p>
    <w:p>
      <w:r>
        <w:rPr>
          <w:rFonts w:ascii="Consolas" w:hAnsi="Consolas"/>
          <w:sz w:val="20"/>
        </w:rPr>
        <w:t>Decision Engine</w:t>
      </w:r>
    </w:p>
    <w:p>
      <w:r>
        <w:rPr>
          <w:rFonts w:ascii="Consolas" w:hAnsi="Consolas"/>
          <w:sz w:val="20"/>
        </w:rPr>
        <w:t xml:space="preserve">    |  If Res45 &gt; 8.0%  -&gt; Recommend: Increase Sepol Drive Speed</w:t>
      </w:r>
    </w:p>
    <w:p>
      <w:r>
        <w:rPr>
          <w:rFonts w:ascii="Consolas" w:hAnsi="Consolas"/>
          <w:sz w:val="20"/>
        </w:rPr>
        <w:t xml:space="preserve">    |  If Res45 &lt; 6.5%  -&gt; Recommend: Decrease Separator Fan</w:t>
      </w:r>
    </w:p>
    <w:p>
      <w:r>
        <w:rPr>
          <w:rFonts w:ascii="Consolas" w:hAnsi="Consolas"/>
          <w:sz w:val="20"/>
        </w:rPr>
        <w:t xml:space="preserve">    |  If confidence low -&gt; Flag for operator review</w:t>
      </w:r>
    </w:p>
    <w:p>
      <w:r>
        <w:rPr>
          <w:rFonts w:ascii="Consolas" w:hAnsi="Consolas"/>
          <w:sz w:val="20"/>
        </w:rPr>
        <w:t xml:space="preserve">    v</w:t>
      </w:r>
    </w:p>
    <w:p>
      <w:r>
        <w:rPr>
          <w:rFonts w:ascii="Consolas" w:hAnsi="Consolas"/>
          <w:sz w:val="20"/>
        </w:rPr>
        <w:t>OPC-UA Write-back -&gt; PLC / HMI Dashboard</w:t>
      </w:r>
    </w:p>
    <w:p>
      <w:pPr>
        <w:pStyle w:val="Heading1"/>
      </w:pPr>
      <w:r>
        <w:rPr>
          <w:color w:val="003366"/>
        </w:rPr>
        <w:t>7.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Activities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Success Criteria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Phase 1: Shadow Mode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Month 1-2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Deploy model alongside existing control; Display predictions on HMI; Operators validate vs lab results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Model accuracy &gt;95% on live data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Phase 2: Advisory Mode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Month 3-4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Model generates setpoint recommendations; Operator approves/rejects via HMI; Track acceptance rate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Operator acceptance &gt;80%; Measurable energy savings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Phase 3: Closed-Loop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Month 5+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Auto-adjust Sepol Speed &amp; Sep Fan within +/-5%; Operator override available; Weekly model retraining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5% energy reduction; 5% capacity increase sustained</w:t>
            </w:r>
          </w:p>
        </w:tc>
      </w:tr>
    </w:tbl>
    <w:p>
      <w:pPr>
        <w:pStyle w:val="Heading1"/>
      </w:pPr>
      <w:r>
        <w:rPr>
          <w:color w:val="003366"/>
        </w:rPr>
        <w:t>8. Expected Business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Benefit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Electrical energy reduction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LafargeHolcim PoC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Capacity increase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5%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LafargeHolcim PoC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Lab testing reduction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50-70% fewer manual tests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Estimated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Quality deviation reduction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Eliminates off-spec production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Real-time vs 2h lab delay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Investment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~80 kCHF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LafargeHolcim roadmap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Payback period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4-6 months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LafargeHolcim roadmap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Scalability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 — all cement plants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Uses standard PLC sensors</w:t>
            </w:r>
          </w:p>
        </w:tc>
      </w:tr>
    </w:tbl>
    <w:p>
      <w:pPr>
        <w:pStyle w:val="Heading1"/>
      </w:pPr>
      <w:r>
        <w:rPr>
          <w:color w:val="003366"/>
        </w:rPr>
        <w:t>9. 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drift (material/liner changes)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Weekly retraining pipeline; drift detection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Sepol sensor failure (44.5% dependency)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Fallback model with remaining 7 sensors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OPC-UA communication failure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Redundant paths; auto-fallback to manual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Operator resistance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Phased rollout; training program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Model overfit on historical 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Continuous lab validation; confidence thresholds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Safety — exceeding mechanical limits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Hard PLC interlocks; capped output ranges</w:t>
            </w:r>
          </w:p>
        </w:tc>
      </w:tr>
    </w:tbl>
    <w:p>
      <w:pPr>
        <w:pStyle w:val="Heading1"/>
      </w:pPr>
      <w:r>
        <w:rPr>
          <w:color w:val="003366"/>
        </w:rPr>
        <w:t>10. Recommendation</w:t>
      </w:r>
    </w:p>
    <w:p>
      <w:r>
        <w:rPr>
          <w:b/>
          <w:color w:val="008000"/>
          <w:sz w:val="28"/>
        </w:rPr>
        <w:t>Proceed with LightGBM Deployment in Advisory Mode</w:t>
      </w:r>
    </w:p>
    <w:p/>
    <w:p>
      <w:r>
        <w:rPr>
          <w:b/>
        </w:rPr>
        <w:t>Why:</w:t>
      </w:r>
      <w:r/>
    </w:p>
    <w:p>
      <w:pPr>
        <w:pStyle w:val="ListBullet"/>
      </w:pPr>
      <w:r>
        <w:t>Best accuracy at 95.88%, beating all original models</w:t>
      </w:r>
    </w:p>
    <w:p>
      <w:pPr>
        <w:pStyle w:val="ListBullet"/>
      </w:pPr>
      <w:r>
        <w:t>Sub-millisecond inference — suitable for real-time PLC integration</w:t>
      </w:r>
    </w:p>
    <w:p>
      <w:pPr>
        <w:pStyle w:val="ListBullet"/>
      </w:pPr>
      <w:r>
        <w:t>Feature importance aligns with physical cement grinding processes</w:t>
      </w:r>
    </w:p>
    <w:p>
      <w:pPr>
        <w:pStyle w:val="ListBullet"/>
      </w:pPr>
      <w:r>
        <w:t>Uses only existing PLC/DCS sensors — no new hardware required</w:t>
      </w:r>
    </w:p>
    <w:p>
      <w:pPr>
        <w:pStyle w:val="ListBullet"/>
      </w:pPr>
      <w:r>
        <w:t>Proven concept at 4 LafargeHolcim plants</w:t>
      </w:r>
    </w:p>
    <w:p/>
    <w:p>
      <w:r>
        <w:rPr>
          <w:b/>
        </w:rPr>
        <w:t>Immediate Next Steps:</w:t>
      </w:r>
      <w:r/>
    </w:p>
    <w:p>
      <w:pPr>
        <w:pStyle w:val="ListNumber"/>
      </w:pPr>
      <w:r>
        <w:t>IT team to set up OPC-UA data bridge between PLC/DCS and edge/cloud compute</w:t>
      </w:r>
    </w:p>
    <w:p>
      <w:pPr>
        <w:pStyle w:val="ListNumber"/>
      </w:pPr>
      <w:r>
        <w:t>Deploy model in shadow mode for 2-month validation period</w:t>
      </w:r>
    </w:p>
    <w:p>
      <w:pPr>
        <w:pStyle w:val="ListNumber"/>
      </w:pPr>
      <w:r>
        <w:t>Build HMI dashboard for operators to view real-time predictions</w:t>
      </w:r>
    </w:p>
    <w:p>
      <w:pPr>
        <w:pStyle w:val="ListNumber"/>
      </w:pPr>
      <w:r>
        <w:t>Establish MLOps pipeline for automated retraining and drift detection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