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sz w:val="32"/>
          <w:rtl/>
        </w:rPr>
        <w:t>المملكة العربية السعودية</w:t>
      </w:r>
    </w:p>
    <w:p>
      <w:pPr>
        <w:spacing w:after="120"/>
        <w:jc w:val="center"/>
      </w:pPr>
      <w:r>
        <w:rPr>
          <w:rFonts w:ascii="Arial" w:hAnsi="Arial"/>
          <w:b/>
          <w:sz w:val="28"/>
          <w:rtl/>
        </w:rPr>
        <w:t>الهيئة القضائية</w:t>
      </w:r>
    </w:p>
    <w:p>
      <w:pPr>
        <w:spacing w:after="120"/>
        <w:jc w:val="center"/>
      </w:pPr>
      <w:r>
        <w:rPr>
          <w:rFonts w:ascii="Arial" w:hAnsi="Arial"/>
          <w:b/>
          <w:sz w:val="28"/>
          <w:rtl/>
        </w:rPr>
        <w:t>المحكمة العامة - الدائرة العمالية الحادية عشر</w:t>
      </w:r>
    </w:p>
    <w:p>
      <w:pPr>
        <w:spacing w:after="120"/>
        <w:jc w:val="center"/>
      </w:pPr>
      <w:r>
        <w:rPr>
          <w:rFonts w:ascii="Arial" w:hAnsi="Arial"/>
          <w:b w:val="0"/>
          <w:sz w:val="24"/>
          <w:rtl/>
        </w:rPr>
        <w:t>وبحمد الله وحده</w:t>
      </w:r>
    </w:p>
    <w:p/>
    <w:tbl>
      <w:tblPr>
        <w:tblW w:type="auto" w:w="0"/>
        <w:jc w:val="center"/>
        <w:tblLook w:firstColumn="1" w:firstRow="1" w:lastColumn="0" w:lastRow="0" w:noHBand="0" w:noVBand="1" w:val="04A0"/>
      </w:tblPr>
      <w:tblGrid>
        <w:gridCol w:w="4536"/>
        <w:gridCol w:w="4536"/>
      </w:tblGrid>
      <w:tr>
        <w:trPr>
          <w:trHeight w:val="454"/>
        </w:trPr>
        <w:tc>
          <w:tcPr>
            <w:tcW w:type="dxa" w:w="4536"/>
          </w:tcPr>
          <w:p>
            <w:pPr>
              <w:jc w:val="center"/>
            </w:pPr>
            <w:r>
              <w:rPr>
                <w:rFonts w:ascii="Arial" w:hAnsi="Arial"/>
                <w:sz w:val="22"/>
                <w:rtl/>
              </w:rPr>
              <w:t>الرقم: 4630921133</w:t>
            </w:r>
          </w:p>
        </w:tc>
        <w:tc>
          <w:tcPr>
            <w:tcW w:type="dxa" w:w="4536"/>
          </w:tcPr>
          <w:p>
            <w:pPr>
              <w:jc w:val="center"/>
            </w:pPr>
            <w:r>
              <w:rPr>
                <w:rFonts w:ascii="Arial" w:hAnsi="Arial"/>
                <w:sz w:val="22"/>
                <w:rtl/>
              </w:rPr>
              <w:t>السنة: 1446 هـ</w:t>
            </w:r>
          </w:p>
        </w:tc>
      </w:tr>
      <w:tr>
        <w:trPr>
          <w:trHeight w:val="454"/>
        </w:trPr>
        <w:tc>
          <w:tcPr>
            <w:tcW w:type="dxa" w:w="4536"/>
          </w:tcPr>
          <w:p>
            <w:pPr>
              <w:jc w:val="center"/>
            </w:pPr>
            <w:r>
              <w:rPr>
                <w:rFonts w:ascii="Arial" w:hAnsi="Arial"/>
                <w:sz w:val="22"/>
                <w:rtl/>
              </w:rPr>
              <w:t>التاريخ: 10/06/1446 هـ</w:t>
            </w:r>
          </w:p>
        </w:tc>
        <w:tc>
          <w:tcPr>
            <w:tcW w:type="dxa" w:w="4536"/>
          </w:tcPr>
          <w:p>
            <w:pPr>
              <w:jc w:val="center"/>
            </w:pPr>
            <w:r>
              <w:rPr>
                <w:rFonts w:ascii="Arial" w:hAnsi="Arial"/>
                <w:sz w:val="22"/>
                <w:rtl/>
              </w:rPr>
              <w:t>تاريخ القرار: 10/06/1446 هـ</w:t>
            </w:r>
          </w:p>
        </w:tc>
      </w:tr>
      <w:tr>
        <w:trPr>
          <w:trHeight w:val="454"/>
        </w:trPr>
        <w:tc>
          <w:tcPr>
            <w:tcW w:type="dxa" w:w="4536"/>
          </w:tcPr>
          <w:p>
            <w:pPr>
              <w:jc w:val="center"/>
            </w:pPr>
            <w:r>
              <w:rPr>
                <w:rFonts w:ascii="Arial" w:hAnsi="Arial"/>
                <w:sz w:val="22"/>
                <w:rtl/>
              </w:rPr>
              <w:t>المدعية: (......)</w:t>
            </w:r>
          </w:p>
        </w:tc>
        <w:tc>
          <w:tcPr>
            <w:tcW w:type="dxa" w:w="4536"/>
          </w:tcPr>
          <w:p>
            <w:pPr>
              <w:jc w:val="center"/>
            </w:pPr>
            <w:r>
              <w:rPr>
                <w:rFonts w:ascii="Arial" w:hAnsi="Arial"/>
                <w:sz w:val="22"/>
                <w:rtl/>
              </w:rPr>
              <w:t>المدعى عليها: مكتب (......) بمحافظة (......)</w:t>
            </w:r>
          </w:p>
        </w:tc>
      </w:tr>
      <w:tr>
        <w:trPr>
          <w:trHeight w:val="454"/>
        </w:trPr>
        <w:tc>
          <w:tcPr>
            <w:tcW w:type="dxa" w:w="4536"/>
          </w:tcPr>
          <w:p>
            <w:pPr>
              <w:jc w:val="center"/>
            </w:pPr>
            <w:r>
              <w:rPr>
                <w:rFonts w:ascii="Arial" w:hAnsi="Arial"/>
                <w:sz w:val="22"/>
                <w:rtl/>
              </w:rPr>
              <w:t>الموضوع: مكافأة أعمال التفتيش الميداني</w:t>
            </w:r>
          </w:p>
        </w:tc>
        <w:tc>
          <w:tcPr>
            <w:tcW w:type="dxa" w:w="4536"/>
          </w:tcPr>
          <w:p>
            <w:pPr>
              <w:jc w:val="center"/>
            </w:pPr>
            <w:r>
              <w:rPr>
                <w:rFonts w:ascii="Arial" w:hAnsi="Arial"/>
                <w:sz w:val="22"/>
                <w:rtl/>
              </w:rPr>
              <w:t>المبلغ المطالب به: 150,000 ريال</w:t>
            </w:r>
          </w:p>
        </w:tc>
      </w:tr>
    </w:tbl>
    <w:p/>
    <w:p>
      <w:pPr>
        <w:spacing w:after="120"/>
        <w:jc w:val="center"/>
      </w:pPr>
      <w:r>
        <w:rPr>
          <w:rFonts w:ascii="Arial" w:hAnsi="Arial"/>
          <w:b/>
          <w:sz w:val="28"/>
          <w:rtl/>
        </w:rPr>
        <w:t>بسم الله الرحمن الرحيم</w:t>
      </w:r>
    </w:p>
    <w:p/>
    <w:p>
      <w:pPr>
        <w:spacing w:after="120"/>
        <w:jc w:val="center"/>
      </w:pPr>
      <w:r>
        <w:rPr>
          <w:rFonts w:ascii="Arial" w:hAnsi="Arial"/>
          <w:b/>
          <w:sz w:val="32"/>
          <w:rtl/>
        </w:rPr>
        <w:t>حكم نهائي</w:t>
      </w:r>
    </w:p>
    <w:p>
      <w:pPr>
        <w:spacing w:after="120"/>
        <w:jc w:val="center"/>
      </w:pPr>
      <w:r>
        <w:rPr>
          <w:rFonts w:ascii="Arial" w:hAnsi="Arial"/>
          <w:b w:val="0"/>
          <w:sz w:val="24"/>
          <w:rtl/>
        </w:rPr>
        <w:t>مقيد برقم (4630921133)</w:t>
      </w:r>
    </w:p>
    <w:p>
      <w:pPr>
        <w:spacing w:after="120"/>
        <w:jc w:val="center"/>
      </w:pPr>
      <w:r>
        <w:rPr>
          <w:rFonts w:ascii="Arial" w:hAnsi="Arial"/>
          <w:b w:val="0"/>
          <w:sz w:val="24"/>
          <w:rtl/>
        </w:rPr>
        <w:t>للسنة القضائية (1446 هـ)</w:t>
      </w:r>
    </w:p>
    <w:p/>
    <w:p>
      <w:pPr>
        <w:spacing w:line="276" w:lineRule="auto"/>
        <w:jc w:val="right"/>
      </w:pPr>
      <w:r>
        <w:rPr>
          <w:rFonts w:ascii="Arial" w:hAnsi="Arial"/>
          <w:b/>
          <w:sz w:val="24"/>
          <w:rtl/>
        </w:rPr>
        <w:t>الحمد لله وحده، والصلاة والسلام على أشرف الأنبياء والمرسلين، وبعد:</w:t>
      </w:r>
    </w:p>
    <w:p/>
    <w:p>
      <w:pPr>
        <w:spacing w:line="276" w:lineRule="auto"/>
        <w:jc w:val="right"/>
      </w:pPr>
      <w:r>
        <w:rPr>
          <w:rFonts w:ascii="Arial" w:hAnsi="Arial"/>
          <w:b/>
          <w:sz w:val="24"/>
          <w:rtl/>
        </w:rPr>
        <w:t>الوقائع:</w:t>
      </w:r>
    </w:p>
    <w:p>
      <w:pPr>
        <w:spacing w:line="276" w:lineRule="auto"/>
        <w:jc w:val="right"/>
      </w:pPr>
      <w:r>
        <w:rPr>
          <w:rFonts w:ascii="Arial" w:hAnsi="Arial"/>
          <w:b w:val="0"/>
          <w:sz w:val="24"/>
          <w:rtl/>
        </w:rPr>
        <w:t>تتلخص وقائع هذه الدعوى في أن المدعية كانت تعمل لدى المدعى عليها بمسمى وظيفي (باحث ...) بالمرتبة السادسة براتب قدره (6,065) ريال، بموجب عقد عمل غير محدد المدة بتاريخ 28/03/1435ه، وقد باشرت العمل بذات التاريخ.</w:t>
        <w:br/>
        <w:br/>
        <w:t>وفي تاريخ 20/01/1441ه، تم تكليف المدعية بقرار تكليف داخلي للعمل في قسم التفتيش الميداني، واستمرت بالعمل في هذا التكليف حتى انتهت العلاقة العمالية من قبل المدعية بتقديم استقالتها بتاريخ 29/07/1443ه الموافق 02/03/2022م.</w:t>
        <w:br/>
        <w:br/>
        <w:t>لم تقم المدعى عليها بصرف المكافأة مقابل الأعمال المنفذة والمستحقة للمدعية من أعمال التفتيش الميداني، رغم قيام المدعية بضبط أكثر من 1050 مخالفة خلال أكثر من 3400 زيارة ميدانية، وبعد ترقيتها قامت باعتماد أكثر من 800 مخالفة بعد تدقيق تقارير 9000 زيارة.</w:t>
        <w:br/>
        <w:br/>
        <w:t>جرى صرف مكافآت لكافة فريق التفتيش للأعوام 1440-1441-1442 في تاريخ 17/07/1444ه الموافق 09/03/2023م، ولم تصرف المكافأة للمدعية رغم عملها ضمن ذات الفريق.</w:t>
        <w:br/>
        <w:br/>
        <w:t>تقدمت المدعية بخطاب تظلم لدى (...) لصرف المبالغ المستحقة وتم قيده برقم (244062) وتاريخ 01/09/1444ه دون البت فيه أو الرد عليه.</w:t>
        <w:br/>
        <w:br/>
        <w:t>سبق للمدعية إقامة دعوى أمام المحكمة الإدارية بمحافظة جدة قيدت برقم 8304 لعام 1444هـ، وبعد دفع المدعى عليها بعدم الاختصاص، حكمت المحكمة بعدم اختصاص محاكم ديوان المظالم ولائياً، وبعد تأييد الحكم من محكمة الاستئناف الإدارية، صدر قرار لجنة الفصل في تنازع الاختصاص بالمجلس الأعلى للقضاء رقم (01313/ت) بتاريخ 19/05/1446هـ والقاضي بأن الاختصاص ينعقد للقضاء العام.</w:t>
      </w:r>
    </w:p>
    <w:p/>
    <w:p>
      <w:pPr>
        <w:spacing w:line="276" w:lineRule="auto"/>
        <w:jc w:val="right"/>
      </w:pPr>
      <w:r>
        <w:rPr>
          <w:rFonts w:ascii="Arial" w:hAnsi="Arial"/>
          <w:b/>
          <w:sz w:val="24"/>
          <w:rtl/>
        </w:rPr>
        <w:t>إجراءات التقاضي:</w:t>
      </w:r>
    </w:p>
    <w:p>
      <w:pPr>
        <w:spacing w:line="276" w:lineRule="auto"/>
        <w:jc w:val="right"/>
      </w:pPr>
      <w:r>
        <w:rPr>
          <w:rFonts w:ascii="Arial" w:hAnsi="Arial"/>
          <w:b w:val="0"/>
          <w:sz w:val="24"/>
          <w:rtl/>
        </w:rPr>
        <w:t>عقدت المحكمة جلساتها بناءً على القرار الصادر من لجنة الفصل في تنازع الاختصاص بالمجلس الأعلى للقضاء، وحضر وكيل المدعية (...) بموجب وكالة رقم (...) الصادرة من خدمات الوكالات الإلكترونية، وحضر ممثل المدعى عليها (...).</w:t>
        <w:br/>
        <w:br/>
        <w:t>قدم وكيل المدعية صحيفة دعوى تتضمن طلباً بإلزام المدعى عليها بتسليم مكافأة أعمال التفتيش الميداني بمبلغ قدره (150,000) مائة وخمسون ألفاً ريال سعودي.</w:t>
        <w:br/>
        <w:br/>
        <w:t>قدم ممثل المدعى عليها دفعاً شكلياً بالتقادم، استناداً إلى نص الفقرة (أ) من المادة (234) من نظام العمل، حيث انتهت العلاقة العمالية بتاريخ 29/07/1443ه، وتقدمت بأول دعوى أمام المحكمة الإدارية بتاريخ 11/11/1444ه، وهذه الدعوى مقيدة بتاريخ 28/07/1446ه، وقد مضى أكثر من اثني عشر شهراً.</w:t>
        <w:br/>
        <w:br/>
        <w:t>كما دفع ممثل المدعى عليها بعدم الاستحقاق موضوعاً، حيث أن منح المكافأة جوازي وليس وجوبي، استناداً إلى نص المادة (233) من نظام العمل التي نصت على أن "للوزير منح مكافأة مالية لا تزيد على (25%) من مبلغ الغرامة المحصلة"، وقد صدر قرار الوزير المختص بتاريخ 28/09/1444ه الموافق 19/04/2023م بالموافقة على عدم صرف المكافأة لمن ليس على رأس العمل.</w:t>
        <w:br/>
        <w:br/>
        <w:t>أجاب وكيل المدعية على الدفع بالتقادم بأن المدعية تقدمت بدعواها أمام المحكمة الإدارية مراعية في ذلك نظام المرافعات أمام ديوان المظالم ومدده، ثم صدر قرار لجنة الفصل بالمجلس الأعلى للقضاء باختصاص المحكمة العمالية، وعليه فإن الدعوى رفعت أمام المحكمة المختصة ضمن المدة النظامية.</w:t>
        <w:br/>
        <w:br/>
        <w:t>بناءً على المادة 69 من نظام المرافعات الشرعية، قررت الدائرة إغلاق باب المرافعة والنطق بالحكم.</w:t>
      </w:r>
    </w:p>
    <w:p/>
    <w:p>
      <w:pPr>
        <w:spacing w:line="276" w:lineRule="auto"/>
        <w:jc w:val="right"/>
      </w:pPr>
      <w:r>
        <w:rPr>
          <w:rFonts w:ascii="Arial" w:hAnsi="Arial"/>
          <w:b/>
          <w:sz w:val="24"/>
          <w:rtl/>
        </w:rPr>
        <w:t>الأسباب:</w:t>
      </w:r>
    </w:p>
    <w:p>
      <w:pPr>
        <w:spacing w:line="276" w:lineRule="auto"/>
        <w:jc w:val="right"/>
      </w:pPr>
      <w:r>
        <w:rPr>
          <w:rFonts w:ascii="Arial" w:hAnsi="Arial"/>
          <w:b w:val="0"/>
          <w:sz w:val="24"/>
          <w:rtl/>
        </w:rPr>
        <w:t>بالنظر إلى ما تقدم، فبناءً على القرار رقم (01313/ت) بتاريخ 19/05/1446ه الصادر من لجنة الفصل في تنازع الاختصاص بالمجلس الأعلى للقضاء باختصاص القضاء العام بهذه الدعوى، فتختص بها هذه المحكمة.</w:t>
        <w:br/>
        <w:br/>
        <w:t>وفيما يخص الدفع بالتقادم:</w:t>
        <w:br/>
        <w:t>حيث انتهت العلاقة العمالية بتاريخ 29/07/1443ه، وتقدمت المدعية بدعواها أمام المحكمة الإدارية مراعية في ذلك نص المادة (1/8) من نظام المرافعات أمام ديوان المظالم، وبعد صدور الحكم بعدم الاختصاص وتأييده، وصدور قرار لجنة الفصل في تنازع الاختصاص باختصاص القضاء العام، رفعت المدعية دعواها أمام هذه المحكمة، وعليه فإن الدفع بالتقادم غير قائم.</w:t>
        <w:br/>
        <w:br/>
        <w:t>وفيما يخص الموضوع:</w:t>
        <w:br/>
        <w:t>حيث أن المادة (233) من نظام العمل نصت على أن "للوزير منح مكافأة مالية لا تزيد على (25%) من مبلغ الغرامة المحصلة لمن يساعد -من موظفي التفتيش أو من غيرهم- في الكشف عن أي من مخالفات أحكام هذا النظام ولائحته والقرارات الصادرة تنفيذاً له".</w:t>
        <w:br/>
        <w:br/>
        <w:t>وتأسيساً على ذلك، فإن المادة المذكورة أعطت الوزير صلاحية منح المكافأة جوازاً وليس على وجه الوجوب، وقد صدر قرار اللجنة المكلفة بدراسة طالبي المكافأة باستحقاق عدد (51) ورفض بقية المتقدمين ورفض عدد (9) لعدم انطباق شرط الاستحقاق (أن يكون على رأس العمل في الوزارة حالياً)، ثم صدر قرار الوزير المختص بتاريخ 28/09/1444ه بالموافقة على قرار اللجنة.</w:t>
        <w:br/>
        <w:br/>
        <w:t>وحيث أن شرط الاستحقاق بأن يكون طالب المكافأة على رأس العمل منطبق على المدعية، إذ أن تاريخ تركها للعمل كان بتاريخ 02/03/2022م بينما صدر قرار اللجنة بتاريخ 18/04/2023م، أي بعد انتهاء العلاقة العمالية، وعليه فإن المدعية لا تستحق المكافأة المطالب بها.</w:t>
      </w:r>
    </w:p>
    <w:p/>
    <w:p>
      <w:pPr>
        <w:spacing w:line="276" w:lineRule="auto"/>
        <w:jc w:val="right"/>
      </w:pPr>
      <w:r>
        <w:rPr>
          <w:rFonts w:ascii="Arial" w:hAnsi="Arial"/>
          <w:b/>
          <w:sz w:val="24"/>
          <w:rtl/>
        </w:rPr>
        <w:t>منطوق الحكم:</w:t>
      </w:r>
    </w:p>
    <w:p>
      <w:pPr>
        <w:spacing w:line="276" w:lineRule="auto"/>
        <w:jc w:val="right"/>
      </w:pPr>
      <w:r>
        <w:rPr>
          <w:rFonts w:ascii="Arial" w:hAnsi="Arial"/>
          <w:b w:val="0"/>
          <w:sz w:val="24"/>
          <w:rtl/>
        </w:rPr>
        <w:t>لهذه الأسباب، وبناءً على ما تقدم، حكمت المحكمة بما يلي:</w:t>
        <w:br/>
        <w:br/>
        <w:t>أولاً: رفض دعوى المدعية لعدم الاستحقاق.</w:t>
        <w:br/>
        <w:br/>
        <w:t>ثانياً: إلزام المدعية بالتكاليف.</w:t>
        <w:br/>
        <w:br/>
        <w:t>ثالثاً: هذا حكم نهائي قابل للاستئناف أمام محكمة الاستئناف العمالية خلال ثلاثين يوماً من تاريخ النطق به.</w:t>
      </w:r>
    </w:p>
    <w:p/>
    <w:p>
      <w:pPr>
        <w:spacing w:line="276" w:lineRule="auto"/>
        <w:jc w:val="right"/>
      </w:pPr>
      <w:r>
        <w:rPr>
          <w:rFonts w:ascii="Arial" w:hAnsi="Arial"/>
          <w:b w:val="0"/>
          <w:sz w:val="24"/>
          <w:rtl/>
        </w:rPr>
        <w:t>صدر في: 10/06/1446 هـ الموافق 11/12/2024 م</w:t>
      </w:r>
    </w:p>
    <w:p/>
    <w:p/>
    <w:p>
      <w:pPr>
        <w:spacing w:line="276" w:lineRule="auto"/>
        <w:jc w:val="right"/>
      </w:pPr>
      <w:r>
        <w:rPr>
          <w:rFonts w:ascii="Arial" w:hAnsi="Arial"/>
          <w:b w:val="0"/>
          <w:sz w:val="24"/>
          <w:rtl/>
        </w:rPr>
        <w:t>القاضي</w:t>
      </w:r>
    </w:p>
    <w:p>
      <w:pPr>
        <w:spacing w:line="276" w:lineRule="auto"/>
        <w:jc w:val="right"/>
      </w:pPr>
      <w:r>
        <w:rPr>
          <w:rFonts w:ascii="Arial" w:hAnsi="Arial"/>
          <w:b w:val="0"/>
          <w:sz w:val="24"/>
          <w:rtl/>
        </w:rPr>
        <w:t>..................</w:t>
      </w:r>
    </w:p>
    <w:p/>
    <w:p>
      <w:pPr>
        <w:spacing w:line="276" w:lineRule="auto"/>
        <w:jc w:val="right"/>
      </w:pPr>
      <w:r>
        <w:rPr>
          <w:rFonts w:ascii="Arial" w:hAnsi="Arial"/>
          <w:b w:val="0"/>
          <w:sz w:val="24"/>
          <w:rtl/>
        </w:rPr>
        <w:t>الختم</w:t>
      </w:r>
    </w:p>
    <w:p>
      <w:pPr>
        <w:spacing w:line="276" w:lineRule="auto"/>
        <w:jc w:val="right"/>
      </w:pPr>
      <w:r>
        <w:rPr>
          <w:rFonts w:ascii="Arial" w:hAnsi="Arial"/>
          <w:b w:val="0"/>
          <w:sz w:val="24"/>
          <w:rtl/>
        </w:rPr>
        <w:t>..................</w:t>
      </w:r>
    </w:p>
    <w:p/>
    <w:p>
      <w:pPr>
        <w:spacing w:line="276" w:lineRule="auto"/>
        <w:jc w:val="right"/>
      </w:pPr>
      <w:r>
        <w:rPr>
          <w:rFonts w:ascii="Arial" w:hAnsi="Arial"/>
          <w:b w:val="0"/>
          <w:sz w:val="24"/>
          <w:rtl/>
        </w:rPr>
        <w:t>المحضر</w:t>
      </w:r>
    </w:p>
    <w:p>
      <w:pPr>
        <w:spacing w:line="276" w:lineRule="auto"/>
        <w:jc w:val="right"/>
      </w:pPr>
      <w:r>
        <w:rPr>
          <w:rFonts w:ascii="Arial" w:hAnsi="Arial"/>
          <w:b w:val="0"/>
          <w:sz w:val="24"/>
          <w:rtl/>
        </w:rPr>
        <w:t>..................</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