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API Testing: FX Rates and Payments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Item</w:t>
            </w:r>
          </w:p>
        </w:tc>
        <w:tc>
          <w:tcPr>
            <w:tcW w:type="dxa" w:w="72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Detail</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Author</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Saleh Desouky</w:t>
            </w:r>
          </w:p>
        </w:tc>
      </w:tr>
      <w:tr>
        <w:trPr>
          <w:cantSplit/>
        </w:trPr>
        <w:tc>
          <w:tcPr>
            <w:tcW w:type="dxa" w:w="2409"/>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API used (Part A)</w:t>
            </w:r>
          </w:p>
        </w:tc>
        <w:tc>
          <w:tcPr>
            <w:tcW w:type="dxa" w:w="7229"/>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rFonts w:ascii="Consolas" w:cs="Consolas" w:eastAsia="Consolas" w:hAnsi="Consolas"/>
                <w:sz w:val="19"/>
                <w:szCs w:val="19"/>
              </w:rPr>
              <w:t xml:space="preserve">https://open.er-api.com/v6/latest/{base}</w:t>
            </w:r>
            <w:r>
              <w:rPr>
                <w:sz w:val="19"/>
                <w:szCs w:val="19"/>
              </w:rPr>
              <w:t xml:space="preserve">. The backup (</w:t>
            </w:r>
            <w:r>
              <w:rPr>
                <w:rFonts w:ascii="Consolas" w:cs="Consolas" w:eastAsia="Consolas" w:hAnsi="Consolas"/>
                <w:sz w:val="19"/>
                <w:szCs w:val="19"/>
              </w:rPr>
              <w:t xml:space="preserve">api.frankfurter.app</w:t>
            </w:r>
            <w:r>
              <w:rPr>
                <w:sz w:val="19"/>
                <w:szCs w:val="19"/>
              </w:rPr>
              <w:t xml:space="preserve">) returned an HTTP 301 redirect when I tried it, so I used the primary.</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Deliverables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rFonts w:ascii="Consolas" w:cs="Consolas" w:eastAsia="Consolas" w:hAnsi="Consolas"/>
                <w:sz w:val="19"/>
                <w:szCs w:val="19"/>
              </w:rPr>
              <w:t xml:space="preserve">fx-rates.postman_collection.json</w:t>
            </w:r>
            <w:r>
              <w:rPr>
                <w:sz w:val="19"/>
                <w:szCs w:val="19"/>
              </w:rPr>
              <w:t xml:space="preserve">, </w:t>
            </w:r>
            <w:r>
              <w:rPr>
                <w:rFonts w:ascii="Consolas" w:cs="Consolas" w:eastAsia="Consolas" w:hAnsi="Consolas"/>
                <w:sz w:val="19"/>
                <w:szCs w:val="19"/>
              </w:rPr>
              <w:t xml:space="preserve">fx-rates.postman_environment.json</w:t>
            </w:r>
            <w:r>
              <w:rPr>
                <w:sz w:val="19"/>
                <w:szCs w:val="19"/>
              </w:rPr>
              <w:t xml:space="preserve">, </w:t>
            </w:r>
            <w:r>
              <w:rPr>
                <w:rFonts w:ascii="Consolas" w:cs="Consolas" w:eastAsia="Consolas" w:hAnsi="Consolas"/>
                <w:sz w:val="19"/>
                <w:szCs w:val="19"/>
              </w:rPr>
              <w:t xml:space="preserve">base-currencies.csv</w:t>
            </w:r>
            <w:r>
              <w:rPr>
                <w:sz w:val="19"/>
                <w:szCs w:val="19"/>
              </w:rPr>
              <w:t xml:space="preserve">, and this document.</w:t>
            </w:r>
          </w:p>
        </w:tc>
      </w:tr>
      <w:tr>
        <w:trPr>
          <w:cantSplit/>
        </w:trPr>
        <w:tc>
          <w:tcPr>
            <w:tcW w:type="dxa" w:w="2409"/>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How to run</w:t>
            </w:r>
          </w:p>
        </w:tc>
        <w:tc>
          <w:tcPr>
            <w:tcW w:type="dxa" w:w="7229"/>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Postman Runner with the environment and the CSV data file selected, or:</w:t>
            </w:r>
          </w:p>
          <w:p>
            <w:pPr>
              <w:spacing w:after="20" w:line="252"/>
            </w:pPr>
            <w:r>
              <w:rPr>
                <w:rFonts w:ascii="Consolas" w:cs="Consolas" w:eastAsia="Consolas" w:hAnsi="Consolas"/>
                <w:sz w:val="19"/>
                <w:szCs w:val="19"/>
              </w:rPr>
              <w:t xml:space="preserve">newman run fx-rates.postman_collection.json -e fx-rates.postman_environment.json -d base-currencies.csv</w:t>
            </w:r>
          </w:p>
        </w:tc>
      </w:tr>
    </w:tbl>
    <w:p>
      <w:pPr>
        <w:pStyle w:val="Heading1"/>
        <w:keepNext/>
      </w:pPr>
      <w:r>
        <w:t xml:space="preserve">Part A – FX rates collection</w:t>
      </w:r>
    </w:p>
    <w:p>
      <w:pPr>
        <w:pStyle w:val="Heading2"/>
        <w:keepNext/>
      </w:pPr>
      <w:r>
        <w:t xml:space="preserve">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2730"/>
        <w:gridCol w:w="4820"/>
      </w:tblGrid>
      <w:tr>
        <w:trPr>
          <w:cantSplit/>
          <w:tblHeader/>
        </w:trPr>
        <w:tc>
          <w:tcPr>
            <w:tcW w:type="dxa" w:w="20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Folder</w:t>
            </w:r>
          </w:p>
        </w:tc>
        <w:tc>
          <w:tcPr>
            <w:tcW w:type="dxa" w:w="27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Request</w:t>
            </w:r>
          </w:p>
        </w:tc>
        <w:tc>
          <w:tcPr>
            <w:tcW w:type="dxa" w:w="48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Purpose</w:t>
            </w:r>
          </w:p>
        </w:tc>
      </w:tr>
      <w:tr>
        <w:trPr>
          <w:cantSplit/>
        </w:trPr>
        <w:tc>
          <w:tcPr>
            <w:tcW w:type="dxa" w:w="20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1. Rates (data-driven)</w:t>
            </w:r>
          </w:p>
        </w:tc>
        <w:tc>
          <w:tcPr>
            <w:tcW w:type="dxa" w:w="2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Get latest rates for base</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Positive validation for each row of the data file. Captures one value for the next request.</w:t>
            </w:r>
          </w:p>
        </w:tc>
      </w:tr>
      <w:tr>
        <w:trPr>
          <w:cantSplit/>
        </w:trPr>
        <w:tc>
          <w:tcPr>
            <w:tcW w:type="dxa" w:w="2088"/>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p>
        </w:tc>
        <w:tc>
          <w:tcPr>
            <w:tcW w:type="dxa" w:w="2730"/>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Get latest rates for counter currency</w:t>
            </w:r>
          </w:p>
        </w:tc>
        <w:tc>
          <w:tcPr>
            <w:tcW w:type="dxa" w:w="4820"/>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Uses the captured value to check reciprocal consistency.</w:t>
            </w:r>
          </w:p>
        </w:tc>
      </w:tr>
      <w:tr>
        <w:trPr>
          <w:cantSplit/>
        </w:trPr>
        <w:tc>
          <w:tcPr>
            <w:tcW w:type="dxa" w:w="20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2. Negative cases</w:t>
            </w:r>
          </w:p>
        </w:tc>
        <w:tc>
          <w:tcPr>
            <w:tcW w:type="dxa" w:w="2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Unsupported code (</w:t>
            </w:r>
            <w:r>
              <w:rPr>
                <w:rFonts w:ascii="Consolas" w:cs="Consolas" w:eastAsia="Consolas" w:hAnsi="Consolas"/>
                <w:sz w:val="19"/>
                <w:szCs w:val="19"/>
              </w:rPr>
              <w:t xml:space="preserve">XYZ</w:t>
            </w:r>
            <w:r>
              <w:rPr>
                <w:sz w:val="19"/>
                <w:szCs w:val="19"/>
              </w:rPr>
              <w:t xml:space="preserve">)</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Asserts the provider’s actual error behaviour.</w:t>
            </w:r>
          </w:p>
        </w:tc>
      </w:tr>
      <w:tr>
        <w:trPr>
          <w:cantSplit/>
        </w:trPr>
        <w:tc>
          <w:tcPr>
            <w:tcW w:type="dxa" w:w="2088"/>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p>
        </w:tc>
        <w:tc>
          <w:tcPr>
            <w:tcW w:type="dxa" w:w="2730"/>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Malformed code (</w:t>
            </w:r>
            <w:r>
              <w:rPr>
                <w:rFonts w:ascii="Consolas" w:cs="Consolas" w:eastAsia="Consolas" w:hAnsi="Consolas"/>
                <w:sz w:val="19"/>
                <w:szCs w:val="19"/>
              </w:rPr>
              <w:t xml:space="preserve">123</w:t>
            </w:r>
            <w:r>
              <w:rPr>
                <w:sz w:val="19"/>
                <w:szCs w:val="19"/>
              </w:rPr>
              <w:t xml:space="preserve">)</w:t>
            </w:r>
          </w:p>
        </w:tc>
        <w:tc>
          <w:tcPr>
            <w:tcW w:type="dxa" w:w="4820"/>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Asserts the provider’s actual error behaviour.</w:t>
            </w:r>
          </w:p>
        </w:tc>
      </w:tr>
      <w:tr>
        <w:trPr>
          <w:cantSplit/>
        </w:trPr>
        <w:tc>
          <w:tcPr>
            <w:tcW w:type="dxa" w:w="20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p>
        </w:tc>
        <w:tc>
          <w:tcPr>
            <w:tcW w:type="dxa" w:w="2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Over-length code (</w:t>
            </w:r>
            <w:r>
              <w:rPr>
                <w:rFonts w:ascii="Consolas" w:cs="Consolas" w:eastAsia="Consolas" w:hAnsi="Consolas"/>
                <w:sz w:val="19"/>
                <w:szCs w:val="19"/>
              </w:rPr>
              <w:t xml:space="preserve">GBPUSD</w:t>
            </w:r>
            <w:r>
              <w:rPr>
                <w:sz w:val="19"/>
                <w:szCs w:val="19"/>
              </w:rPr>
              <w:t xml:space="preserve">)</w:t>
            </w:r>
          </w:p>
        </w:tc>
        <w:tc>
          <w:tcPr>
            <w:tcW w:type="dxa" w:w="48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Documents a silent-truncation risk.</w:t>
            </w:r>
          </w:p>
        </w:tc>
      </w:tr>
    </w:tbl>
    <w:p>
      <w:pPr>
        <w:spacing w:after="80"/>
      </w:pPr>
    </w:p>
    <w:p>
      <w:r>
        <w:t xml:space="preserve">The data file has five rows (USD, SAR, EUR, GBP, AED). Each row defines the base currency, a counter currency, the target currencies that must be present, and a sanity band. The environment holds the API host, thresholds and negative-case codes, so no request contains a hard-coded value. The negative cases do not depend on the data file, so a short pre-request script on each negative request runs it in the first iteration only instead of repeating it for every row.</w:t>
      </w:r>
    </w:p>
    <w:p>
      <w:pPr>
        <w:pStyle w:val="Heading2"/>
        <w:keepNext/>
      </w:pPr>
      <w:r>
        <w:t xml:space="preserve">What the assertions verify,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Assertion</w:t>
            </w:r>
          </w:p>
        </w:tc>
        <w:tc>
          <w:tcPr>
            <w:tcW w:type="dxa" w:w="57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Why it matters for a banking app</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HTTP 200 and response time under </w:t>
            </w:r>
            <w:r>
              <w:rPr>
                <w:rFonts w:ascii="Consolas" w:cs="Consolas" w:eastAsia="Consolas" w:hAnsi="Consolas"/>
                <w:sz w:val="19"/>
                <w:szCs w:val="19"/>
              </w:rPr>
              <w:t xml:space="preserve">maxResponseMs</w:t>
            </w:r>
            <w:r>
              <w:rPr>
                <w:sz w:val="19"/>
                <w:szCs w:val="19"/>
              </w:rPr>
              <w:t xml:space="preserve"> (2,000 ms, provisional)</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The indicative rate is on the transfer screen, so a slow upstream blocks the journey. The threshold should come from the app’s own response-time budget.</w:t>
            </w:r>
          </w:p>
        </w:tc>
      </w:tr>
      <w:tr>
        <w:trPr>
          <w:cantSplit/>
        </w:trPr>
        <w:tc>
          <w:tcPr>
            <w:tcW w:type="dxa" w:w="3855"/>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JSON content type and </w:t>
            </w:r>
            <w:r>
              <w:rPr>
                <w:rFonts w:ascii="Consolas" w:cs="Consolas" w:eastAsia="Consolas" w:hAnsi="Consolas"/>
                <w:sz w:val="19"/>
                <w:szCs w:val="19"/>
              </w:rPr>
              <w:t xml:space="preserve">result</w:t>
            </w:r>
            <w:r>
              <w:rPr>
                <w:sz w:val="19"/>
                <w:szCs w:val="19"/>
              </w:rPr>
              <w:t xml:space="preserve"> = "success"</w:t>
            </w:r>
          </w:p>
        </w:tc>
        <w:tc>
          <w:tcPr>
            <w:tcW w:type="dxa" w:w="5783"/>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This provider returns HTTP 200 for errors, so the status code alone does not mean success.</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JSON schema: required fields, </w:t>
            </w:r>
            <w:r>
              <w:rPr>
                <w:rFonts w:ascii="Consolas" w:cs="Consolas" w:eastAsia="Consolas" w:hAnsi="Consolas"/>
                <w:sz w:val="19"/>
                <w:szCs w:val="19"/>
              </w:rPr>
              <w:t xml:space="preserve">base_code</w:t>
            </w:r>
            <w:r>
              <w:rPr>
                <w:sz w:val="19"/>
                <w:szCs w:val="19"/>
              </w:rPr>
              <w:t xml:space="preserve"> matches </w:t>
            </w:r>
            <w:r>
              <w:rPr>
                <w:rFonts w:ascii="Consolas" w:cs="Consolas" w:eastAsia="Consolas" w:hAnsi="Consolas"/>
                <w:sz w:val="19"/>
                <w:szCs w:val="19"/>
              </w:rPr>
              <w:t xml:space="preserve">^[A-Z]{3}$</w:t>
            </w:r>
            <w:r>
              <w:rPr>
                <w:sz w:val="19"/>
                <w:szCs w:val="19"/>
              </w:rPr>
              <w:t xml:space="preserve">, every rate a number &gt; 0</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Catches changes in the response shape before they break the parser.</w:t>
            </w:r>
          </w:p>
        </w:tc>
      </w:tr>
      <w:tr>
        <w:trPr>
          <w:cantSplit/>
        </w:trPr>
        <w:tc>
          <w:tcPr>
            <w:tcW w:type="dxa" w:w="3855"/>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rFonts w:ascii="Consolas" w:cs="Consolas" w:eastAsia="Consolas" w:hAnsi="Consolas"/>
                <w:sz w:val="19"/>
                <w:szCs w:val="19"/>
              </w:rPr>
              <w:t xml:space="preserve">base_code</w:t>
            </w:r>
            <w:r>
              <w:rPr>
                <w:sz w:val="19"/>
                <w:szCs w:val="19"/>
              </w:rPr>
              <w:t xml:space="preserve"> equals the requested base</w:t>
            </w:r>
          </w:p>
        </w:tc>
        <w:tc>
          <w:tcPr>
            <w:tcW w:type="dxa" w:w="5783"/>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Guards against the silent truncation described below.</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At least 150 currencies, and the base’s own rate is exactly 1</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A sudden drop in currency count indicates a partial feed; a base rate other than 1 indicates corrupt data.</w:t>
            </w:r>
          </w:p>
        </w:tc>
      </w:tr>
      <w:tr>
        <w:trPr>
          <w:cantSplit/>
        </w:trPr>
        <w:tc>
          <w:tcPr>
            <w:tcW w:type="dxa" w:w="3855"/>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Every rate is finite and &gt; 0</w:t>
            </w:r>
          </w:p>
        </w:tc>
        <w:tc>
          <w:tcPr>
            <w:tcW w:type="dxa" w:w="5783"/>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Zero, negative, null or NaN rates must never reach a customer.</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Expected target currencies present (per row)</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These represent the corridors the bank offers; a missing one is a broken journey.</w:t>
            </w:r>
          </w:p>
        </w:tc>
      </w:tr>
      <w:tr>
        <w:trPr>
          <w:cantSplit/>
        </w:trPr>
        <w:tc>
          <w:tcPr>
            <w:tcW w:type="dxa" w:w="3855"/>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Sanity band per row (e.g. USD→SAR between 3.70 and 3.80)</w:t>
            </w:r>
          </w:p>
        </w:tc>
        <w:tc>
          <w:tcPr>
            <w:tcW w:type="dxa" w:w="5783"/>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Deliberately wide: it catches an inverted rate (0.27 instead of 3.75) or a decimal shift without failing on normal market movement. SAR and AED are pegged to USD, which makes those bands dependable.</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Rate age under 26 hours</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The provider updates daily. A stale rate presented as indicative misleads the customer.</w:t>
            </w:r>
          </w:p>
        </w:tc>
      </w:tr>
    </w:tbl>
    <w:p>
      <w:pPr>
        <w:pStyle w:val="Heading2"/>
        <w:keepNext/>
      </w:pPr>
      <w:r>
        <w:t xml:space="preserve">Captured value and why I chose it</w:t>
      </w:r>
    </w:p>
    <w:p>
      <w:r>
        <w:t xml:space="preserve">The first request captures the </w:t>
      </w:r>
      <w:r>
        <w:rPr>
          <w:b/>
          <w:bCs/>
        </w:rPr>
        <w:t xml:space="preserve">counter-currency rate</w:t>
      </w:r>
      <w:r>
        <w:t xml:space="preserve"> (e.g. USD→SAR = 3.75) together with the provider’s snapshot timestamp. The second request fetches rates for the counter currency and asserts that </w:t>
      </w:r>
      <w:r>
        <w:rPr>
          <w:b/>
          <w:bCs/>
        </w:rPr>
        <w:t xml:space="preserve">SAR→USD × USD→SAR ≈ 1</w:t>
      </w:r>
      <w:r>
        <w:t xml:space="preserve"> within 0.1%.</w:t>
      </w:r>
    </w:p>
    <w:p>
      <w:r>
        <w:t xml:space="preserve">I chose this value because showing a rate the wrong way round is the classic FX display defect, and the check also confirms the provider is internally consistent: a customer should not see different numbers depending on which direction we ask. The comparison only runs when both responses share the same snapshot; otherwise it is skipped with a warning instead of failing on a legitimate rate update.</w:t>
      </w:r>
    </w:p>
    <w:p>
      <w:pPr>
        <w:pStyle w:val="Heading2"/>
        <w:keepNext/>
      </w:pPr>
      <w:r>
        <w:t xml:space="preserve">Negative cases: actual behaviour and whether it is acceptable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3212"/>
        <w:gridCol w:w="4338"/>
      </w:tblGrid>
      <w:tr>
        <w:trPr>
          <w:cantSplit/>
          <w:tblHeader/>
        </w:trPr>
        <w:tc>
          <w:tcPr>
            <w:tcW w:type="dxa" w:w="20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Input</w:t>
            </w:r>
          </w:p>
        </w:tc>
        <w:tc>
          <w:tcPr>
            <w:tcW w:type="dxa" w:w="32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Actual behaviour (asserted)</w:t>
            </w:r>
          </w:p>
        </w:tc>
        <w:tc>
          <w:tcPr>
            <w:tcW w:type="dxa" w:w="43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Acceptable for a banking app?</w:t>
            </w:r>
          </w:p>
        </w:tc>
      </w:tr>
      <w:tr>
        <w:trPr>
          <w:cantSplit/>
        </w:trPr>
        <w:tc>
          <w:tcPr>
            <w:tcW w:type="dxa" w:w="20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rFonts w:ascii="Consolas" w:cs="Consolas" w:eastAsia="Consolas" w:hAnsi="Consolas"/>
                <w:sz w:val="19"/>
                <w:szCs w:val="19"/>
              </w:rPr>
              <w:t xml:space="preserve">XYZ</w:t>
            </w:r>
            <w:r>
              <w:rPr>
                <w:sz w:val="19"/>
                <w:szCs w:val="19"/>
              </w:rPr>
              <w:t xml:space="preserve"> (well-formed, unsupported)</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HTTP 200 with </w:t>
            </w:r>
            <w:r>
              <w:rPr>
                <w:rFonts w:ascii="Consolas" w:cs="Consolas" w:eastAsia="Consolas" w:hAnsi="Consolas"/>
                <w:sz w:val="19"/>
                <w:szCs w:val="19"/>
              </w:rPr>
              <w:t xml:space="preserve">{"result":"error","error-type":"unsupported-code"}</w:t>
            </w:r>
          </w:p>
        </w:tc>
        <w:tc>
          <w:tcPr>
            <w:tcW w:type="dxa" w:w="4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No. A client that checks only the status code treats this as success. I would expect a 4xx with a machine-readable code; our integration layer must check </w:t>
            </w:r>
            <w:r>
              <w:rPr>
                <w:rFonts w:ascii="Consolas" w:cs="Consolas" w:eastAsia="Consolas" w:hAnsi="Consolas"/>
                <w:sz w:val="19"/>
                <w:szCs w:val="19"/>
              </w:rPr>
              <w:t xml:space="preserve">result</w:t>
            </w:r>
            <w:r>
              <w:rPr>
                <w:sz w:val="19"/>
                <w:szCs w:val="19"/>
              </w:rPr>
              <w:t xml:space="preserve">.</w:t>
            </w:r>
          </w:p>
        </w:tc>
      </w:tr>
      <w:tr>
        <w:trPr>
          <w:cantSplit/>
        </w:trPr>
        <w:tc>
          <w:tcPr>
            <w:tcW w:type="dxa" w:w="2088"/>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rFonts w:ascii="Consolas" w:cs="Consolas" w:eastAsia="Consolas" w:hAnsi="Consolas"/>
                <w:sz w:val="19"/>
                <w:szCs w:val="19"/>
              </w:rPr>
              <w:t xml:space="preserve">123</w:t>
            </w:r>
            <w:r>
              <w:rPr>
                <w:sz w:val="19"/>
                <w:szCs w:val="19"/>
              </w:rPr>
              <w:t xml:space="preserve"> (malformed)</w:t>
            </w:r>
          </w:p>
        </w:tc>
        <w:tc>
          <w:tcPr>
            <w:tcW w:type="dxa" w:w="3212"/>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HTTP 404 with an nginx HTML page, not JSON</w:t>
            </w:r>
          </w:p>
        </w:tc>
        <w:tc>
          <w:tcPr>
            <w:tcW w:type="dxa" w:w="4338"/>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No. Error formats are inconsistent and a JSON parser will throw. The integration layer must handle non-JSON responses.</w:t>
            </w:r>
          </w:p>
        </w:tc>
      </w:tr>
      <w:tr>
        <w:trPr>
          <w:cantSplit/>
        </w:trPr>
        <w:tc>
          <w:tcPr>
            <w:tcW w:type="dxa" w:w="20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rFonts w:ascii="Consolas" w:cs="Consolas" w:eastAsia="Consolas" w:hAnsi="Consolas"/>
                <w:sz w:val="19"/>
                <w:szCs w:val="19"/>
              </w:rPr>
              <w:t xml:space="preserve">GBPUSD</w:t>
            </w:r>
            <w:r>
              <w:rPr>
                <w:sz w:val="19"/>
                <w:szCs w:val="19"/>
              </w:rPr>
              <w:t xml:space="preserve"> (over-length)</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HTTP 200, </w:t>
            </w:r>
            <w:r>
              <w:rPr>
                <w:rFonts w:ascii="Consolas" w:cs="Consolas" w:eastAsia="Consolas" w:hAnsi="Consolas"/>
                <w:sz w:val="19"/>
                <w:szCs w:val="19"/>
              </w:rPr>
              <w:t xml:space="preserve">result</w:t>
            </w:r>
            <w:r>
              <w:rPr>
                <w:sz w:val="19"/>
                <w:szCs w:val="19"/>
              </w:rPr>
              <w:t xml:space="preserve"> = "success", </w:t>
            </w:r>
            <w:r>
              <w:rPr>
                <w:rFonts w:ascii="Consolas" w:cs="Consolas" w:eastAsia="Consolas" w:hAnsi="Consolas"/>
                <w:sz w:val="19"/>
                <w:szCs w:val="19"/>
              </w:rPr>
              <w:t xml:space="preserve">base_code</w:t>
            </w:r>
            <w:r>
              <w:rPr>
                <w:sz w:val="19"/>
                <w:szCs w:val="19"/>
              </w:rPr>
              <w:t xml:space="preserve"> = "GBP": the code is silently cut to its first three letters</w:t>
            </w:r>
          </w:p>
        </w:tc>
        <w:tc>
          <w:tcPr>
            <w:tcW w:type="dxa" w:w="4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b/>
                <w:bCs/>
                <w:sz w:val="19"/>
                <w:szCs w:val="19"/>
              </w:rPr>
              <w:t xml:space="preserve">No, and this is the most dangerous case.</w:t>
            </w:r>
            <w:r>
              <w:rPr>
                <w:sz w:val="19"/>
                <w:szCs w:val="19"/>
              </w:rPr>
              <w:t xml:space="preserve"> A request for one thing returns a valid-looking answer for something else. Our layer must validate </w:t>
            </w:r>
            <w:r>
              <w:rPr>
                <w:rFonts w:ascii="Consolas" w:cs="Consolas" w:eastAsia="Consolas" w:hAnsi="Consolas"/>
                <w:sz w:val="19"/>
                <w:szCs w:val="19"/>
              </w:rPr>
              <w:t xml:space="preserve">^[A-Z]{3}$</w:t>
            </w:r>
            <w:r>
              <w:rPr>
                <w:sz w:val="19"/>
                <w:szCs w:val="19"/>
              </w:rPr>
              <w:t xml:space="preserve"> before calling and confirm </w:t>
            </w:r>
            <w:r>
              <w:rPr>
                <w:rFonts w:ascii="Consolas" w:cs="Consolas" w:eastAsia="Consolas" w:hAnsi="Consolas"/>
                <w:sz w:val="19"/>
                <w:szCs w:val="19"/>
              </w:rPr>
              <w:t xml:space="preserve">base_code</w:t>
            </w:r>
            <w:r>
              <w:rPr>
                <w:sz w:val="19"/>
                <w:szCs w:val="19"/>
              </w:rPr>
              <w:t xml:space="preserve"> afterwards. The collection asserts the behaviour as observed so it will flag any change by the provider.</w:t>
            </w:r>
          </w:p>
        </w:tc>
      </w:tr>
    </w:tbl>
    <w:p>
      <w:pPr>
        <w:spacing w:after="80"/>
      </w:pPr>
    </w:p>
    <w:p>
      <w:r>
        <w:rPr>
          <w:b/>
          <w:bCs/>
        </w:rPr>
        <w:t xml:space="preserve">Result:</w:t>
      </w:r>
      <w:r>
        <w:t xml:space="preserve"> run in the Postman Runner over HTTPS: five iterations, all 85 assertions passed (75 data-driven, 10 negative), with the negative requests skipped after the first iteration (see </w:t>
      </w:r>
      <w:r>
        <w:rPr>
          <w:rFonts w:ascii="Consolas" w:cs="Consolas" w:eastAsia="Consolas" w:hAnsi="Consolas"/>
          <w:sz w:val="19"/>
          <w:szCs w:val="19"/>
        </w:rPr>
        <w:t xml:space="preserve">evidence/postman-run.png</w:t>
      </w:r>
      <w:r>
        <w:t xml:space="preserve">). As a check that the assertions can genuinely fail, I also ran it with an inverted sanity band and a non-existent currency; both produced the expected failures.</w:t>
      </w:r>
    </w:p>
    <w:p>
      <w:pPr>
        <w:pStyle w:val="Heading1"/>
        <w:keepNext/>
      </w:pPr>
      <w:r>
        <w:t xml:space="preserve">Part B – POST /api/v1/payments</w:t>
      </w:r>
    </w:p>
    <w:p>
      <w:pPr>
        <w:pStyle w:val="Heading2"/>
        <w:keepNext/>
      </w:pPr>
      <w:r>
        <w:t xml:space="preserve">3.1 Highest-risk scenarios</w:t>
      </w:r>
    </w:p>
    <w:p>
      <w:pPr>
        <w:keepNext/>
      </w:pPr>
      <w:r>
        <w:rPr>
          <w:b/>
          <w:bCs/>
        </w:rPr>
        <w:t xml:space="preserve">The amount object</w:t>
      </w:r>
    </w:p>
    <w:p>
      <w:pPr>
        <w:pStyle w:val="ListParagraph"/>
        <w:numPr>
          <w:ilvl w:val="0"/>
          <w:numId w:val="2"/>
        </w:numPr>
        <w:spacing w:after="50"/>
      </w:pPr>
      <w:r>
        <w:rPr>
          <w:b/>
          <w:bCs/>
        </w:rPr>
        <w:t xml:space="preserve">Precision by currency (ISO 4217 minor units).</w:t>
      </w:r>
      <w:r>
        <w:t xml:space="preserve"> SAR and USD allow 2 decimals, KWD and BHD 3, JPY none. </w:t>
      </w:r>
      <w:r>
        <w:rPr>
          <w:rFonts w:ascii="Consolas" w:cs="Consolas" w:eastAsia="Consolas" w:hAnsi="Consolas"/>
          <w:sz w:val="19"/>
          <w:szCs w:val="19"/>
        </w:rPr>
        <w:t xml:space="preserve">1500.755</w:t>
      </w:r>
      <w:r>
        <w:t xml:space="preserve"> SAR should be rejected with 400, not silently rounded; 3 decimals in KWD should be accepted.</w:t>
      </w:r>
    </w:p>
    <w:p>
      <w:pPr>
        <w:pStyle w:val="ListParagraph"/>
        <w:numPr>
          <w:ilvl w:val="0"/>
          <w:numId w:val="2"/>
        </w:numPr>
        <w:spacing w:after="50"/>
      </w:pPr>
      <w:r>
        <w:rPr>
          <w:b/>
          <w:bCs/>
        </w:rPr>
        <w:t xml:space="preserve">Exact storage of JSON numbers.</w:t>
      </w:r>
      <w:r>
        <w:t xml:space="preserve"> Confirm </w:t>
      </w:r>
      <w:r>
        <w:rPr>
          <w:rFonts w:ascii="Consolas" w:cs="Consolas" w:eastAsia="Consolas" w:hAnsi="Consolas"/>
          <w:sz w:val="19"/>
          <w:szCs w:val="19"/>
        </w:rPr>
        <w:t xml:space="preserve">1500.75</w:t>
      </w:r>
      <w:r>
        <w:t xml:space="preserve"> is debited exactly (no </w:t>
      </w:r>
      <w:r>
        <w:rPr>
          <w:rFonts w:ascii="Consolas" w:cs="Consolas" w:eastAsia="Consolas" w:hAnsi="Consolas"/>
          <w:sz w:val="19"/>
          <w:szCs w:val="19"/>
        </w:rPr>
        <w:t xml:space="preserve">1500.7499…</w:t>
      </w:r>
      <w:r>
        <w:t xml:space="preserve">). Also try </w:t>
      </w:r>
      <w:r>
        <w:rPr>
          <w:rFonts w:ascii="Consolas" w:cs="Consolas" w:eastAsia="Consolas" w:hAnsi="Consolas"/>
          <w:sz w:val="19"/>
          <w:szCs w:val="19"/>
        </w:rPr>
        <w:t xml:space="preserve">1e3</w:t>
      </w:r>
      <w:r>
        <w:t xml:space="preserve">, the amount as a string, and </w:t>
      </w:r>
      <w:r>
        <w:rPr>
          <w:rFonts w:ascii="Consolas" w:cs="Consolas" w:eastAsia="Consolas" w:hAnsi="Consolas"/>
          <w:sz w:val="19"/>
          <w:szCs w:val="19"/>
        </w:rPr>
        <w:t xml:space="preserve">-0</w:t>
      </w:r>
      <w:r>
        <w:t xml:space="preserve">.</w:t>
      </w:r>
    </w:p>
    <w:p>
      <w:pPr>
        <w:pStyle w:val="ListParagraph"/>
        <w:numPr>
          <w:ilvl w:val="0"/>
          <w:numId w:val="2"/>
        </w:numPr>
        <w:spacing w:after="50"/>
      </w:pPr>
      <w:r>
        <w:rPr>
          <w:b/>
          <w:bCs/>
        </w:rPr>
        <w:t xml:space="preserve">Partitions:</w:t>
      </w:r>
      <w:r>
        <w:t xml:space="preserve"> zero, negative, below minimum, very large, null, missing, non-numeric. Each returns 400 with no side effects.</w:t>
      </w:r>
    </w:p>
    <w:p>
      <w:pPr>
        <w:pStyle w:val="ListParagraph"/>
        <w:numPr>
          <w:ilvl w:val="0"/>
          <w:numId w:val="2"/>
        </w:numPr>
        <w:spacing w:after="50"/>
      </w:pPr>
      <w:r>
        <w:rPr>
          <w:b/>
          <w:bCs/>
        </w:rPr>
        <w:t xml:space="preserve">Currency:</w:t>
      </w:r>
      <w:r>
        <w:t xml:space="preserve"> lowercase, unsupported, or different from the source account currency without an </w:t>
      </w:r>
      <w:r>
        <w:rPr>
          <w:rFonts w:ascii="Consolas" w:cs="Consolas" w:eastAsia="Consolas" w:hAnsi="Consolas"/>
          <w:sz w:val="19"/>
          <w:szCs w:val="19"/>
        </w:rPr>
        <w:t xml:space="preserve">fxQuoteId</w:t>
      </w:r>
      <w:r>
        <w:t xml:space="preserve">. The last must be rejected, never converted at an unknown rate.</w:t>
      </w:r>
    </w:p>
    <w:p>
      <w:pPr>
        <w:pStyle w:val="ListParagraph"/>
        <w:numPr>
          <w:ilvl w:val="0"/>
          <w:numId w:val="2"/>
        </w:numPr>
        <w:spacing w:after="50"/>
      </w:pPr>
      <w:r>
        <w:rPr>
          <w:b/>
          <w:bCs/>
        </w:rPr>
        <w:t xml:space="preserve">fxQuoteId:</w:t>
      </w:r>
      <w:r>
        <w:t xml:space="preserve"> expired, reused, issued for a different amount or currency pair, or issued to another customer. All rejected; a valid quote is honoured exactly.</w:t>
      </w:r>
    </w:p>
    <w:p>
      <w:pPr>
        <w:keepNext/>
      </w:pPr>
      <w:r>
        <w:rPr>
          <w:b/>
          <w:bCs/>
        </w:rPr>
        <w:t xml:space="preserve">Limit (422) and insufficient funds (402)</w:t>
      </w:r>
    </w:p>
    <w:p>
      <w:pPr>
        <w:pStyle w:val="ListParagraph"/>
        <w:numPr>
          <w:ilvl w:val="0"/>
          <w:numId w:val="2"/>
        </w:numPr>
        <w:spacing w:after="50"/>
      </w:pPr>
      <w:r>
        <w:t xml:space="preserve">Boundaries at the limit, limit + 0.01 and limit − 0.01, and the same for the balance check with the fee included.</w:t>
      </w:r>
    </w:p>
    <w:p>
      <w:pPr>
        <w:pStyle w:val="ListParagraph"/>
        <w:numPr>
          <w:ilvl w:val="0"/>
          <w:numId w:val="2"/>
        </w:numPr>
        <w:spacing w:after="50"/>
      </w:pPr>
      <w:r>
        <w:t xml:space="preserve">Daily limit counted across completed </w:t>
      </w:r>
      <w:r>
        <w:rPr>
          <w:b/>
          <w:bCs/>
        </w:rPr>
        <w:t xml:space="preserve">and pending</w:t>
      </w:r>
      <w:r>
        <w:t xml:space="preserve"> payments.</w:t>
      </w:r>
    </w:p>
    <w:p>
      <w:pPr>
        <w:pStyle w:val="ListParagraph"/>
        <w:numPr>
          <w:ilvl w:val="0"/>
          <w:numId w:val="2"/>
        </w:numPr>
        <w:spacing w:after="50"/>
      </w:pPr>
      <w:r>
        <w:t xml:space="preserve">Two parallel requests (different idempotency keys) that each fit but together exceed the limit: exactly one succeeds.</w:t>
      </w:r>
    </w:p>
    <w:p>
      <w:pPr>
        <w:pStyle w:val="ListParagraph"/>
        <w:numPr>
          <w:ilvl w:val="0"/>
          <w:numId w:val="2"/>
        </w:numPr>
        <w:spacing w:after="50"/>
      </w:pPr>
      <w:r>
        <w:rPr>
          <w:b/>
          <w:bCs/>
        </w:rPr>
        <w:t xml:space="preserve">No side effects on rejection:</w:t>
      </w:r>
      <w:r>
        <w:t xml:space="preserve"> after a 402 or 422 there is no ledger entry, no funds hold and no limit usage consumed.</w:t>
      </w:r>
    </w:p>
    <w:p>
      <w:pPr>
        <w:pStyle w:val="ListParagraph"/>
        <w:numPr>
          <w:ilvl w:val="0"/>
          <w:numId w:val="2"/>
        </w:numPr>
        <w:spacing w:after="50"/>
      </w:pPr>
      <w:r>
        <w:t xml:space="preserve">Consistent precedence: when an amount breaks both the limit and the balance, the same documented code is returned every time.</w:t>
      </w:r>
    </w:p>
    <w:p>
      <w:pPr>
        <w:keepNext/>
      </w:pPr>
      <w:r>
        <w:rPr>
          <w:b/>
          <w:bCs/>
        </w:rPr>
        <w:t xml:space="preserve">Authorisation and integrity</w:t>
      </w:r>
    </w:p>
    <w:p>
      <w:pPr>
        <w:pStyle w:val="ListParagraph"/>
        <w:numPr>
          <w:ilvl w:val="0"/>
          <w:numId w:val="2"/>
        </w:numPr>
        <w:spacing w:after="50"/>
      </w:pPr>
      <w:r>
        <w:rPr>
          <w:rFonts w:ascii="Consolas" w:cs="Consolas" w:eastAsia="Consolas" w:hAnsi="Consolas"/>
          <w:sz w:val="19"/>
          <w:szCs w:val="19"/>
        </w:rPr>
        <w:t xml:space="preserve">sourceAccountId</w:t>
      </w:r>
      <w:r>
        <w:t xml:space="preserve"> and </w:t>
      </w:r>
      <w:r>
        <w:rPr>
          <w:rFonts w:ascii="Consolas" w:cs="Consolas" w:eastAsia="Consolas" w:hAnsi="Consolas"/>
          <w:sz w:val="19"/>
          <w:szCs w:val="19"/>
        </w:rPr>
        <w:t xml:space="preserve">beneficiaryId</w:t>
      </w:r>
      <w:r>
        <w:t xml:space="preserve"> must belong to the authenticated customer; anything else is rejected and nothing moves.</w:t>
      </w:r>
    </w:p>
    <w:p>
      <w:pPr>
        <w:pStyle w:val="ListParagraph"/>
        <w:numPr>
          <w:ilvl w:val="0"/>
          <w:numId w:val="2"/>
        </w:numPr>
        <w:spacing w:after="50"/>
      </w:pPr>
      <w:r>
        <w:t xml:space="preserve">Channel-specific limits and fees are taken from the authenticated session, not trusted from the </w:t>
      </w:r>
      <w:r>
        <w:rPr>
          <w:rFonts w:ascii="Consolas" w:cs="Consolas" w:eastAsia="Consolas" w:hAnsi="Consolas"/>
          <w:sz w:val="19"/>
          <w:szCs w:val="19"/>
        </w:rPr>
        <w:t xml:space="preserve">X-Channel</w:t>
      </w:r>
      <w:r>
        <w:t xml:space="preserve"> header.</w:t>
      </w:r>
    </w:p>
    <w:p>
      <w:pPr>
        <w:pStyle w:val="ListParagraph"/>
        <w:numPr>
          <w:ilvl w:val="0"/>
          <w:numId w:val="2"/>
        </w:numPr>
        <w:spacing w:after="50"/>
      </w:pPr>
      <w:r>
        <w:rPr>
          <w:rFonts w:ascii="Consolas" w:cs="Consolas" w:eastAsia="Consolas" w:hAnsi="Consolas"/>
          <w:sz w:val="19"/>
          <w:szCs w:val="19"/>
        </w:rPr>
        <w:t xml:space="preserve">PENDING</w:t>
      </w:r>
      <w:r>
        <w:t xml:space="preserve"> versus </w:t>
      </w:r>
      <w:r>
        <w:rPr>
          <w:rFonts w:ascii="Consolas" w:cs="Consolas" w:eastAsia="Consolas" w:hAnsi="Consolas"/>
          <w:sz w:val="19"/>
          <w:szCs w:val="19"/>
        </w:rPr>
        <w:t xml:space="preserve">COMPLETED</w:t>
      </w:r>
      <w:r>
        <w:t xml:space="preserve"> is reflected correctly to the customer; the returned </w:t>
      </w:r>
      <w:r>
        <w:rPr>
          <w:rFonts w:ascii="Consolas" w:cs="Consolas" w:eastAsia="Consolas" w:hAnsi="Consolas"/>
          <w:sz w:val="19"/>
          <w:szCs w:val="19"/>
        </w:rPr>
        <w:t xml:space="preserve">fee</w:t>
      </w:r>
      <w:r>
        <w:t xml:space="preserve"> matches configuration; </w:t>
      </w:r>
      <w:r>
        <w:rPr>
          <w:rFonts w:ascii="Consolas" w:cs="Consolas" w:eastAsia="Consolas" w:hAnsi="Consolas"/>
          <w:sz w:val="19"/>
          <w:szCs w:val="19"/>
        </w:rPr>
        <w:t xml:space="preserve">valueDate</w:t>
      </w:r>
      <w:r>
        <w:t xml:space="preserve"> is correct around weekends and holidays.</w:t>
      </w:r>
    </w:p>
    <w:p>
      <w:pPr>
        <w:pStyle w:val="ListParagraph"/>
        <w:numPr>
          <w:ilvl w:val="0"/>
          <w:numId w:val="2"/>
        </w:numPr>
        <w:spacing w:after="50"/>
      </w:pPr>
      <w:r>
        <w:t xml:space="preserve">A 503 response means nothing was debited (see 3.2).</w:t>
      </w:r>
    </w:p>
    <w:p>
      <w:pPr>
        <w:pStyle w:val="Heading2"/>
        <w:keepNext/>
      </w:pPr>
      <w:r>
        <w:t xml:space="preserve">3.2 Idempotency-Key</w:t>
      </w:r>
    </w:p>
    <w:p>
      <w:r>
        <w:t xml:space="preserve">The key makes retries safe: the same key with the same request produces </w:t>
      </w:r>
      <w:r>
        <w:rPr>
          <w:b/>
          <w:bCs/>
        </w:rPr>
        <w:t xml:space="preserve">at most one payment</w:t>
      </w:r>
      <w:r>
        <w:t xml:space="preserve">, and a repeat returns the original result instead of executing again. This matters because a client cannot tell "the request never arrived" from "it executed but the response was lost".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Scenario</w:t>
            </w:r>
          </w:p>
        </w:tc>
        <w:tc>
          <w:tcPr>
            <w:tcW w:type="dxa" w:w="57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2"/>
            </w:pPr>
            <w:r>
              <w:rPr>
                <w:b/>
                <w:bCs/>
                <w:color w:val="FFFFFF"/>
                <w:sz w:val="19"/>
                <w:szCs w:val="19"/>
              </w:rPr>
              <w:t xml:space="preserve">Expected result</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Same key, same body, sent twice</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One payment. The second call returns the same </w:t>
            </w:r>
            <w:r>
              <w:rPr>
                <w:rFonts w:ascii="Consolas" w:cs="Consolas" w:eastAsia="Consolas" w:hAnsi="Consolas"/>
                <w:sz w:val="19"/>
                <w:szCs w:val="19"/>
              </w:rPr>
              <w:t xml:space="preserve">paymentId</w:t>
            </w:r>
            <w:r>
              <w:rPr>
                <w:sz w:val="19"/>
                <w:szCs w:val="19"/>
              </w:rPr>
              <w:t xml:space="preserve"> and </w:t>
            </w:r>
            <w:r>
              <w:rPr>
                <w:rFonts w:ascii="Consolas" w:cs="Consolas" w:eastAsia="Consolas" w:hAnsi="Consolas"/>
                <w:sz w:val="19"/>
                <w:szCs w:val="19"/>
              </w:rPr>
              <w:t xml:space="preserve">reference</w:t>
            </w:r>
            <w:r>
              <w:rPr>
                <w:sz w:val="19"/>
                <w:szCs w:val="19"/>
              </w:rPr>
              <w:t xml:space="preserve">. One ledger debit.</w:t>
            </w:r>
          </w:p>
        </w:tc>
      </w:tr>
      <w:tr>
        <w:trPr>
          <w:cantSplit/>
        </w:trPr>
        <w:tc>
          <w:tcPr>
            <w:tcW w:type="dxa" w:w="3855"/>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Same key, different body</w:t>
            </w:r>
          </w:p>
        </w:tc>
        <w:tc>
          <w:tcPr>
            <w:tcW w:type="dxa" w:w="5783"/>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Rejected (409 or 422). The new body is never executed and the old result is never returned as if it matched.</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Same key sent concurrently</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Exactly one payment; the other request waits for the same result or receives 409 "in progress".</w:t>
            </w:r>
          </w:p>
        </w:tc>
      </w:tr>
      <w:tr>
        <w:trPr>
          <w:cantSplit/>
        </w:trPr>
        <w:tc>
          <w:tcPr>
            <w:tcW w:type="dxa" w:w="3855"/>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Missing or malformed key</w:t>
            </w:r>
          </w:p>
        </w:tc>
        <w:tc>
          <w:tcPr>
            <w:tcW w:type="dxa" w:w="5783"/>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400. No payment is created without a key.</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Same key used by another customer</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Handled independently; one customer never receives another’s payment.</w:t>
            </w:r>
          </w:p>
        </w:tc>
      </w:tr>
      <w:tr>
        <w:trPr>
          <w:cantSplit/>
        </w:trPr>
        <w:tc>
          <w:tcPr>
            <w:tcW w:type="dxa" w:w="3855"/>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Same key after the retention window</w:t>
            </w:r>
          </w:p>
        </w:tc>
        <w:tc>
          <w:tcPr>
            <w:tcW w:type="dxa" w:w="5783"/>
            <w:tcBorders>
              <w:top w:val="single" w:color="BFBFBF" w:sz="4"/>
              <w:left w:val="single" w:color="BFBFBF" w:sz="4"/>
              <w:bottom w:val="single" w:color="BFBFBF" w:sz="4"/>
              <w:right w:val="single" w:color="BFBFBF" w:sz="4"/>
            </w:tcBorders>
            <w:shd w:fill="F3F6FA" w:color="auto" w:val="clear"/>
            <w:tcMar>
              <w:top w:type="dxa" w:w="50"/>
              <w:left w:type="dxa" w:w="90"/>
              <w:bottom w:type="dxa" w:w="50"/>
              <w:right w:type="dxa" w:w="90"/>
            </w:tcMar>
          </w:tcPr>
          <w:p>
            <w:pPr>
              <w:spacing w:after="20" w:line="252"/>
            </w:pPr>
            <w:r>
              <w:rPr>
                <w:sz w:val="19"/>
                <w:szCs w:val="19"/>
              </w:rPr>
              <w:t xml:space="preserve">Behaves as documented (e.g. treated as new after 24 hours). To confirm with the team.</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Original attempt returned 402, retried with the same key</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2"/>
            </w:pPr>
            <w:r>
              <w:rPr>
                <w:sz w:val="19"/>
                <w:szCs w:val="19"/>
              </w:rPr>
              <w:t xml:space="preserve">Open question: return the stored 402, or re-check the balance? This decides whether "top up and retry" works.</w:t>
            </w:r>
          </w:p>
        </w:tc>
      </w:tr>
    </w:tbl>
    <w:p>
      <w:pPr>
        <w:spacing w:after="80"/>
      </w:pPr>
    </w:p>
    <w:p>
      <w:r>
        <w:rPr>
          <w:b/>
          <w:bCs/>
        </w:rPr>
        <w:t xml:space="preserve">Retry after a timeout or a 503:</w:t>
      </w:r>
      <w:r>
        <w:t xml:space="preserve"> the client retries with </w:t>
      </w:r>
      <w:r>
        <w:rPr>
          <w:b/>
          <w:bCs/>
        </w:rPr>
        <w:t xml:space="preserve">the same key</w:t>
      </w:r>
      <w:r>
        <w:t xml:space="preserve">, using exponential backoff and a maximum attempt count, and never generates a new key for a retry. After a timeout, the replay returns the original outcome if the payment executed, or executes once if it never arrived. A 503 must mean nothing was processed: I would force a 503 with a stubbed core system, confirm there is no ledger entry, then retry with the same key and confirm exactly one payment. While the outcome is unknown the app should show "processing", not "failed", because "failed" leads customers to pay twice.</w:t>
      </w:r>
    </w:p>
    <w:p>
      <w:pPr>
        <w:pStyle w:val="Heading2"/>
        <w:keepNext/>
      </w:pPr>
      <w:r>
        <w:t xml:space="preserve">3.3 Verifying that the money actually moved</w:t>
      </w:r>
    </w:p>
    <w:p>
      <w:r>
        <w:t xml:space="preserve">A 201 only shows that the API accepted the request. The evidence that money moved is:</w:t>
      </w:r>
    </w:p>
    <w:p>
      <w:pPr>
        <w:pStyle w:val="ListParagraph"/>
        <w:numPr>
          <w:ilvl w:val="0"/>
          <w:numId w:val="3"/>
        </w:numPr>
        <w:spacing w:after="50"/>
      </w:pPr>
      <w:r>
        <w:rPr>
          <w:b/>
          <w:bCs/>
        </w:rPr>
        <w:t xml:space="preserve">Source account ledger</w:t>
      </w:r>
      <w:r>
        <w:t xml:space="preserve"> before and after: a debit equal to the amount and a separate fee entry equal to the returned </w:t>
      </w:r>
      <w:r>
        <w:rPr>
          <w:rFonts w:ascii="Consolas" w:cs="Consolas" w:eastAsia="Consolas" w:hAnsi="Consolas"/>
          <w:sz w:val="19"/>
          <w:szCs w:val="19"/>
        </w:rPr>
        <w:t xml:space="preserve">fee</w:t>
      </w:r>
      <w:r>
        <w:t xml:space="preserve">, both carrying the </w:t>
      </w:r>
      <w:r>
        <w:rPr>
          <w:rFonts w:ascii="Consolas" w:cs="Consolas" w:eastAsia="Consolas" w:hAnsi="Consolas"/>
          <w:sz w:val="19"/>
          <w:szCs w:val="19"/>
        </w:rPr>
        <w:t xml:space="preserve">reference</w:t>
      </w:r>
      <w:r>
        <w:t xml:space="preserve">. Available balance and holds are correct.</w:t>
      </w:r>
    </w:p>
    <w:p>
      <w:pPr>
        <w:pStyle w:val="ListParagraph"/>
        <w:numPr>
          <w:ilvl w:val="0"/>
          <w:numId w:val="3"/>
        </w:numPr>
        <w:spacing w:after="50"/>
      </w:pPr>
      <w:r>
        <w:rPr>
          <w:b/>
          <w:bCs/>
        </w:rPr>
        <w:t xml:space="preserve">Beneficiary side:</w:t>
      </w:r>
      <w:r>
        <w:t xml:space="preserve"> for a same-bank transfer, a credit of exactly the amount; for an interbank transfer, the outbound payment message with matching amount and reference.</w:t>
      </w:r>
    </w:p>
    <w:p>
      <w:pPr>
        <w:pStyle w:val="ListParagraph"/>
        <w:numPr>
          <w:ilvl w:val="0"/>
          <w:numId w:val="3"/>
        </w:numPr>
        <w:spacing w:after="50"/>
      </w:pPr>
      <w:r>
        <w:rPr>
          <w:b/>
          <w:bCs/>
        </w:rPr>
        <w:t xml:space="preserve">Status lifecycle:</w:t>
      </w:r>
      <w:r>
        <w:t xml:space="preserve"> </w:t>
      </w:r>
      <w:r>
        <w:rPr>
          <w:rFonts w:ascii="Consolas" w:cs="Consolas" w:eastAsia="Consolas" w:hAnsi="Consolas"/>
          <w:sz w:val="19"/>
          <w:szCs w:val="19"/>
        </w:rPr>
        <w:t xml:space="preserve">GET /payments/{id}</w:t>
      </w:r>
      <w:r>
        <w:t xml:space="preserve"> moves from </w:t>
      </w:r>
      <w:r>
        <w:rPr>
          <w:rFonts w:ascii="Consolas" w:cs="Consolas" w:eastAsia="Consolas" w:hAnsi="Consolas"/>
          <w:sz w:val="19"/>
          <w:szCs w:val="19"/>
        </w:rPr>
        <w:t xml:space="preserve">PENDING</w:t>
      </w:r>
      <w:r>
        <w:t xml:space="preserve"> to </w:t>
      </w:r>
      <w:r>
        <w:rPr>
          <w:rFonts w:ascii="Consolas" w:cs="Consolas" w:eastAsia="Consolas" w:hAnsi="Consolas"/>
          <w:sz w:val="19"/>
          <w:szCs w:val="19"/>
        </w:rPr>
        <w:t xml:space="preserve">COMPLETED</w:t>
      </w:r>
      <w:r>
        <w:t xml:space="preserve"> (or </w:t>
      </w:r>
      <w:r>
        <w:rPr>
          <w:rFonts w:ascii="Consolas" w:cs="Consolas" w:eastAsia="Consolas" w:hAnsi="Consolas"/>
          <w:sz w:val="19"/>
          <w:szCs w:val="19"/>
        </w:rPr>
        <w:t xml:space="preserve">FAILED</w:t>
      </w:r>
      <w:r>
        <w:t xml:space="preserve"> with a reversal) within the agreed time, checked by polling with a timeout rather than a fixed wait.</w:t>
      </w:r>
    </w:p>
    <w:p>
      <w:pPr>
        <w:pStyle w:val="ListParagraph"/>
        <w:numPr>
          <w:ilvl w:val="0"/>
          <w:numId w:val="3"/>
        </w:numPr>
        <w:spacing w:after="50"/>
      </w:pPr>
      <w:r>
        <w:rPr>
          <w:b/>
          <w:bCs/>
        </w:rPr>
        <w:t xml:space="preserve">Reconciliation across the test run:</w:t>
      </w:r>
      <w:r>
        <w:t xml:space="preserve"> total debits equal total credits plus fees, with nothing left in suspense.</w:t>
      </w:r>
    </w:p>
    <w:p>
      <w:pPr>
        <w:pStyle w:val="ListParagraph"/>
        <w:numPr>
          <w:ilvl w:val="0"/>
          <w:numId w:val="3"/>
        </w:numPr>
        <w:spacing w:after="50"/>
      </w:pPr>
      <w:r>
        <w:rPr>
          <w:b/>
          <w:bCs/>
        </w:rPr>
        <w:t xml:space="preserve">Side records:</w:t>
      </w:r>
      <w:r>
        <w:t xml:space="preserve"> daily-limit usage increased by exactly the amount, an audit-log entry, and one notification event.</w:t>
      </w:r>
    </w:p>
    <w:p>
      <w:pPr>
        <w:pStyle w:val="ListParagraph"/>
        <w:numPr>
          <w:ilvl w:val="0"/>
          <w:numId w:val="3"/>
        </w:numPr>
        <w:spacing w:after="50"/>
      </w:pPr>
      <w:r>
        <w:rPr>
          <w:b/>
          <w:bCs/>
        </w:rPr>
        <w:t xml:space="preserve">Nothing moves on failure:</w:t>
      </w:r>
      <w:r>
        <w:t xml:space="preserve"> for 402, 422, 503 and rejected replays, none of the above has happened.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08080"/>
        <w:sz w:val="16"/>
        <w:szCs w:val="16"/>
      </w:rPr>
      <w:t xml:space="preserve">QA Technical Assessment – Saleh Desouky</w:t>
    </w:r>
    <w:r>
      <w:rPr>
        <w:color w:val="808080"/>
        <w:sz w:val="16"/>
        <w:szCs w:val="16"/>
      </w:rPr>
      <w:t xml:space="preserve">	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pPr>
    <w:r>
      <w:rPr>
        <w:color w:val="808080"/>
        <w:sz w:val="16"/>
        <w:szCs w:val="16"/>
      </w:rPr>
      <w:t xml:space="preserve">Task 3 – API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abstractNum w:abstractNumId="6" w15:restartNumberingAfterBreak="0">
    <w:multiLevelType w:val="hybridMultilevel"/>
    <w:lvl w:ilvl="0" w:tentative="1">
      <w:start w:val="1"/>
      <w:numFmt w:val="decimal"/>
      <w:lvlText w:val="%1."/>
      <w:lvlJc w:val="left"/>
      <w:pPr>
        <w:ind w:left="360" w:hanging="300"/>
      </w:pPr>
    </w:lvl>
  </w:abstractNum>
  <w:abstractNum w:abstractNumId="7" w15:restartNumberingAfterBreak="0">
    <w:multiLevelType w:val="hybridMultilevel"/>
    <w:lvl w:ilvl="0" w:tentative="1">
      <w:start w:val="1"/>
      <w:numFmt w:val="decimal"/>
      <w:lvlText w:val="%1."/>
      <w:lvlJc w:val="left"/>
      <w:pPr>
        <w:ind w:left="360" w:hanging="300"/>
      </w:pPr>
    </w:lvl>
  </w:abstractNum>
  <w:abstractNum w:abstractNumId="8" w15:restartNumberingAfterBreak="0">
    <w:multiLevelType w:val="hybridMultilevel"/>
    <w:lvl w:ilvl="0" w:tentative="1">
      <w:start w:val="1"/>
      <w:numFmt w:val="decimal"/>
      <w:lvlText w:val="%1."/>
      <w:lvlJc w:val="left"/>
      <w:pPr>
        <w:ind w:left="360" w:hanging="300"/>
      </w:pPr>
    </w:lvl>
  </w:abstractNum>
  <w:abstractNum w:abstractNumId="9" w15:restartNumberingAfterBreak="0">
    <w:multiLevelType w:val="hybridMultilevel"/>
    <w:lvl w:ilvl="0" w:tentative="1">
      <w:start w:val="1"/>
      <w:numFmt w:val="decimal"/>
      <w:lvlText w:val="%1."/>
      <w:lvlJc w:val="left"/>
      <w:pPr>
        <w:ind w:left="360" w:hanging="300"/>
      </w:pPr>
    </w:lvl>
  </w:abstractNum>
  <w:abstractNum w:abstractNumId="10" w15:restartNumberingAfterBreak="0">
    <w:multiLevelType w:val="hybridMultilevel"/>
    <w:lvl w:ilvl="0" w:tentative="1">
      <w:start w:val="1"/>
      <w:numFmt w:val="decimal"/>
      <w:lvlText w:val="%1."/>
      <w:lvlJc w:val="left"/>
      <w:pPr>
        <w:ind w:left="360" w:hanging="300"/>
      </w:pPr>
    </w:lvl>
  </w:abstractNum>
  <w:abstractNum w:abstractNumId="11" w15:restartNumberingAfterBreak="0">
    <w:multiLevelType w:val="hybridMultilevel"/>
    <w:lvl w:ilvl="0" w:tentative="1">
      <w:start w:val="1"/>
      <w:numFmt w:val="decimal"/>
      <w:lvlText w:val="%1."/>
      <w:lvlJc w:val="left"/>
      <w:pPr>
        <w:ind w:left="360" w:hanging="300"/>
      </w:pPr>
    </w:lvl>
  </w:abstractNum>
  <w:abstractNum w:abstractNumId="12" w15:restartNumberingAfterBreak="0">
    <w:multiLevelType w:val="hybridMultilevel"/>
    <w:lvl w:ilvl="0" w:tentative="1">
      <w:start w:val="1"/>
      <w:numFmt w:val="decimal"/>
      <w:lvlText w:val="%1."/>
      <w:lvlJc w:val="left"/>
      <w:pPr>
        <w:ind w:left="360" w:hanging="300"/>
      </w:pPr>
    </w:lvl>
  </w:abstractNum>
  <w:abstractNum w:abstractNumId="13" w15:restartNumberingAfterBreak="0">
    <w:multiLevelType w:val="hybridMultilevel"/>
    <w:lvl w:ilvl="0" w:tentative="1">
      <w:start w:val="1"/>
      <w:numFmt w:val="decimal"/>
      <w:lvlText w:val="%1."/>
      <w:lvlJc w:val="left"/>
      <w:pPr>
        <w:ind w:left="360" w:hanging="300"/>
      </w:pPr>
    </w:lvl>
  </w:abstractNum>
  <w:abstractNum w:abstractNumId="1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3864"/>
      <w:sz w:val="36"/>
      <w:szCs w:val="36"/>
    </w:rPr>
  </w:style>
  <w:style w:type="paragraph" w:styleId="Heading1">
    <w:name w:val="Heading 1"/>
    <w:basedOn w:val="Normal"/>
    <w:next w:val="Normal"/>
    <w:qFormat/>
    <w:pPr>
      <w:spacing w:after="100" w:before="260"/>
      <w:outlineLvl w:val="0"/>
    </w:pPr>
    <w:rPr>
      <w:b/>
      <w:bCs/>
      <w:color w:val="1F3864"/>
      <w:sz w:val="26"/>
      <w:szCs w:val="26"/>
    </w:rPr>
  </w:style>
  <w:style w:type="paragraph" w:styleId="Heading2">
    <w:name w:val="Heading 2"/>
    <w:basedOn w:val="Normal"/>
    <w:next w:val="Normal"/>
    <w:qFormat/>
    <w:pPr>
      <w:spacing w:after="80" w:before="180"/>
      <w:outlineLvl w:val="1"/>
    </w:pPr>
    <w:rPr>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 API Testing</dc:title>
  <dc:creator>Saleh Desouky</dc:creator>
  <cp:lastModifiedBy>Un-named</cp:lastModifiedBy>
  <cp:revision>1</cp:revision>
  <dcterms:created xsi:type="dcterms:W3CDTF">2026-10-21T19:40:39.612Z</dcterms:created>
  <dcterms:modified xsi:type="dcterms:W3CDTF">2026-10-21T19:40:39.613Z</dcterms:modified>
</cp:coreProperties>
</file>

<file path=docProps/custom.xml><?xml version="1.0" encoding="utf-8"?>
<Properties xmlns="http://schemas.openxmlformats.org/officeDocument/2006/custom-properties" xmlns:vt="http://schemas.openxmlformats.org/officeDocument/2006/docPropsVTypes"/>
</file>