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bidi/>
        <w:spacing w:after="60"/>
        <w:jc w:val="center"/>
      </w:pPr>
      <w:r>
        <w:rPr>
          <w:b/>
          <w:bCs/>
          <w:rFonts w:ascii="Arial" w:hAnsi="Arial" w:cs="Arial"/>
          <w:rtl/>
          <w:sz w:val="34"/>
          <w:szCs w:val="34"/>
        </w:rPr>
        <w:t xml:space="preserve">الشركات والمشاريع</w:t>
      </w:r>
    </w:p>
    <w:p>
      <w:pPr>
        <w:bidi/>
        <w:spacing w:after="200"/>
        <w:jc w:val="center"/>
      </w:pPr>
      <w:r>
        <w:rPr>
          <w:rFonts w:ascii="Arial" w:hAnsi="Arial" w:cs="Arial"/>
          <w:rtl/>
          <w:sz w:val="18"/>
          <w:szCs w:val="18"/>
        </w:rPr>
        <w:t xml:space="preserve">آخر تحديث: 25 أكتوبر 2026</w:t>
      </w:r>
    </w:p>
    <w:tbl>
      <w:tblPr>
        <w:bidiVisual/>
        <w:tblW w:w="5000" w:type="pct"/>
        <w:tblBorders>
          <w:top w:val="single" w:sz="4" w:color="BBBBBB"/>
          <w:left w:val="single" w:sz="4" w:color="BBBBBB"/>
          <w:bottom w:val="single" w:sz="4" w:color="BBBBBB"/>
          <w:right w:val="single" w:sz="4" w:color="BBBBBB"/>
          <w:insideH w:val="single" w:sz="4" w:color="BBBBBB"/>
          <w:insideV w:val="single" w:sz="4" w:color="BBBBBB"/>
        </w:tblBorders>
      </w:tblPr>
      <w:tblGrid>
        <w:gridCol w:w="2400"/>
        <w:gridCol w:w="1700"/>
        <w:gridCol w:w="1900"/>
        <w:gridCol w:w="1300"/>
        <w:gridCol w:w="3600"/>
        <w:gridCol w:w="4100"/>
      </w:tblGrid>
      <w:tr>
        <w:trPr>
          <w:tblHeader/>
        </w:trPr>
        <w:tc>
          <w:tcPr>
            <w:tcW w:w="2400" w:type="dxa"/>
            <w:shd w:val="clear" w:color="auto" w:fill="D9E2F3"/>
          </w:tcPr>
          <w:p>
            <w:pPr>
              <w:bidi/>
              <w:spacing w:after="40"/>
              <w:jc w:val="right"/>
            </w:pPr>
            <w:r>
              <w:rPr>
                <w:b/>
                <w:bCs/>
                <w:rFonts w:ascii="Arial" w:hAnsi="Arial" w:cs="Arial"/>
                <w:rtl/>
                <w:sz w:val="20"/>
                <w:szCs w:val="20"/>
              </w:rPr>
              <w:t xml:space="preserve">الشركة</w:t>
            </w:r>
          </w:p>
        </w:tc>
        <w:tc>
          <w:tcPr>
            <w:tcW w:w="1700" w:type="dxa"/>
            <w:shd w:val="clear" w:color="auto" w:fill="D9E2F3"/>
          </w:tcPr>
          <w:p>
            <w:pPr>
              <w:bidi/>
              <w:spacing w:after="40"/>
              <w:jc w:val="right"/>
            </w:pPr>
            <w:r>
              <w:rPr>
                <w:b/>
                <w:bCs/>
                <w:rFonts w:ascii="Arial" w:hAnsi="Arial" w:cs="Arial"/>
                <w:rtl/>
                <w:sz w:val="20"/>
                <w:szCs w:val="20"/>
              </w:rPr>
              <w:t xml:space="preserve">الاسم بالإنجليزي</w:t>
            </w:r>
          </w:p>
        </w:tc>
        <w:tc>
          <w:tcPr>
            <w:tcW w:w="1900" w:type="dxa"/>
            <w:shd w:val="clear" w:color="auto" w:fill="D9E2F3"/>
          </w:tcPr>
          <w:p>
            <w:pPr>
              <w:bidi/>
              <w:spacing w:after="40"/>
              <w:jc w:val="right"/>
            </w:pPr>
            <w:r>
              <w:rPr>
                <w:b/>
                <w:bCs/>
                <w:rFonts w:ascii="Arial" w:hAnsi="Arial" w:cs="Arial"/>
                <w:rtl/>
                <w:sz w:val="20"/>
                <w:szCs w:val="20"/>
              </w:rPr>
              <w:t xml:space="preserve">الموقع الإلكتروني</w:t>
            </w:r>
          </w:p>
        </w:tc>
        <w:tc>
          <w:tcPr>
            <w:tcW w:w="1300" w:type="dxa"/>
            <w:shd w:val="clear" w:color="auto" w:fill="D9E2F3"/>
          </w:tcPr>
          <w:p>
            <w:pPr>
              <w:bidi/>
              <w:spacing w:after="40"/>
              <w:jc w:val="right"/>
            </w:pPr>
            <w:r>
              <w:rPr>
                <w:b/>
                <w:bCs/>
                <w:rFonts w:ascii="Arial" w:hAnsi="Arial" w:cs="Arial"/>
                <w:rtl/>
                <w:sz w:val="20"/>
                <w:szCs w:val="20"/>
              </w:rPr>
              <w:t xml:space="preserve">المقر</w:t>
            </w:r>
          </w:p>
        </w:tc>
        <w:tc>
          <w:tcPr>
            <w:tcW w:w="3600" w:type="dxa"/>
            <w:shd w:val="clear" w:color="auto" w:fill="D9E2F3"/>
          </w:tcPr>
          <w:p>
            <w:pPr>
              <w:bidi/>
              <w:spacing w:after="40"/>
              <w:jc w:val="right"/>
            </w:pPr>
            <w:r>
              <w:rPr>
                <w:b/>
                <w:bCs/>
                <w:rFonts w:ascii="Arial" w:hAnsi="Arial" w:cs="Arial"/>
                <w:rtl/>
                <w:sz w:val="20"/>
                <w:szCs w:val="20"/>
              </w:rPr>
              <w:t xml:space="preserve">الوصف</w:t>
            </w:r>
          </w:p>
        </w:tc>
        <w:tc>
          <w:tcPr>
            <w:tcW w:w="4100" w:type="dxa"/>
            <w:shd w:val="clear" w:color="auto" w:fill="D9E2F3"/>
          </w:tcPr>
          <w:p>
            <w:pPr>
              <w:bidi/>
              <w:spacing w:after="40"/>
              <w:jc w:val="right"/>
            </w:pPr>
            <w:r>
              <w:rPr>
                <w:b/>
                <w:bCs/>
                <w:rFonts w:ascii="Arial" w:hAnsi="Arial" w:cs="Arial"/>
                <w:rtl/>
                <w:sz w:val="20"/>
                <w:szCs w:val="20"/>
              </w:rPr>
              <w:t xml:space="preserve">وين وصلت</w:t>
            </w:r>
          </w:p>
        </w:tc>
      </w:tr>
      <w:tr>
        <w:tc>
          <w:tcPr>
            <w:tcW w:w="2400" w:type="dxa"/>
          </w:tcPr>
          <w:p>
            <w:pPr>
              <w:bidi/>
              <w:spacing w:after="40"/>
              <w:jc w:val="right"/>
            </w:pPr>
            <w:r>
              <w:rPr>
                <w:b/>
                <w:bCs/>
                <w:rFonts w:ascii="Arial" w:hAnsi="Arial" w:cs="Arial"/>
                <w:rtl/>
                <w:sz w:val="19"/>
                <w:szCs w:val="19"/>
              </w:rPr>
              <w:t xml:space="preserve">نكستا</w:t>
            </w:r>
          </w:p>
        </w:tc>
        <w:tc>
          <w:tcPr>
            <w:tcW w:w="1700" w:type="dxa"/>
          </w:tcPr>
          <w:p>
            <w:pPr>
              <w:bidi/>
              <w:spacing w:after="40"/>
              <w:jc w:val="right"/>
            </w:pPr>
            <w:r>
              <w:rPr>
                <w:rFonts w:ascii="Arial" w:hAnsi="Arial" w:cs="Arial"/>
                <w:rtl/>
                <w:sz w:val="19"/>
                <w:szCs w:val="19"/>
              </w:rPr>
              <w:t xml:space="preserve">Nexta</w:t>
            </w:r>
          </w:p>
        </w:tc>
        <w:tc>
          <w:tcPr>
            <w:tcW w:w="1900" w:type="dxa"/>
          </w:tcPr>
          <w:p>
            <w:pPr>
              <w:bidi/>
              <w:spacing w:after="40"/>
              <w:jc w:val="right"/>
            </w:pPr>
            <w:r>
              <w:rPr>
                <w:rFonts w:ascii="Arial" w:hAnsi="Arial" w:cs="Arial"/>
                <w:rtl/>
                <w:sz w:val="19"/>
                <w:szCs w:val="19"/>
              </w:rPr>
              <w:t xml:space="preserve">nexta.sa</w:t>
            </w:r>
          </w:p>
        </w:tc>
        <w:tc>
          <w:tcPr>
            <w:tcW w:w="1300" w:type="dxa"/>
          </w:tcPr>
          <w:p>
            <w:pPr>
              <w:bidi/>
              <w:spacing w:after="40"/>
              <w:jc w:val="right"/>
            </w:pPr>
            <w:r>
              <w:rPr>
                <w:rFonts w:ascii="Arial" w:hAnsi="Arial" w:cs="Arial"/>
                <w:rtl/>
                <w:sz w:val="19"/>
                <w:szCs w:val="19"/>
              </w:rPr>
              <w:t xml:space="preserve">الخبر</w:t>
            </w:r>
          </w:p>
        </w:tc>
        <w:tc>
          <w:tcPr>
            <w:tcW w:w="3600" w:type="dxa"/>
          </w:tcPr>
          <w:p>
            <w:pPr>
              <w:bidi/>
              <w:spacing w:after="40"/>
              <w:jc w:val="right"/>
            </w:pPr>
            <w:r>
              <w:rPr>
                <w:rFonts w:ascii="Arial" w:hAnsi="Arial" w:cs="Arial"/>
                <w:rtl/>
                <w:sz w:val="19"/>
                <w:szCs w:val="19"/>
              </w:rPr>
              <w:t xml:space="preserve">حلول تقنية وذكاء اصطناعي مخصصة للشركات</w:t>
            </w:r>
          </w:p>
        </w:tc>
        <w:tc>
          <w:tcPr>
            <w:tcW w:w="4100" w:type="dxa"/>
          </w:tcPr>
          <w:p>
            <w:pPr>
              <w:bidi/>
              <w:spacing w:after="40"/>
              <w:jc w:val="right"/>
            </w:pPr>
            <w:r>
              <w:rPr>
                <w:rFonts w:ascii="Arial" w:hAnsi="Arial" w:cs="Arial"/>
                <w:rtl/>
                <w:sz w:val="19"/>
                <w:szCs w:val="19"/>
              </w:rPr>
              <w:t xml:space="preserve">نشطة مع عملاء (نورا، تسوية، فيوز، التاجر)؛ خرجت منها Boynt في سبتمبر 2026</w:t>
            </w:r>
          </w:p>
        </w:tc>
      </w:tr>
      <w:tr>
        <w:tc>
          <w:tcPr>
            <w:tcW w:w="2400" w:type="dxa"/>
          </w:tcPr>
          <w:p>
            <w:pPr>
              <w:bidi/>
              <w:spacing w:after="40"/>
              <w:jc w:val="right"/>
            </w:pPr>
            <w:r>
              <w:rPr>
                <w:b/>
                <w:bCs/>
                <w:rFonts w:ascii="Arial" w:hAnsi="Arial" w:cs="Arial"/>
                <w:rtl/>
                <w:sz w:val="19"/>
                <w:szCs w:val="19"/>
              </w:rPr>
              <w:t xml:space="preserve">فيونكس</w:t>
            </w:r>
          </w:p>
        </w:tc>
        <w:tc>
          <w:tcPr>
            <w:tcW w:w="1700" w:type="dxa"/>
          </w:tcPr>
          <w:p>
            <w:pPr>
              <w:bidi/>
              <w:spacing w:after="40"/>
              <w:jc w:val="right"/>
            </w:pPr>
            <w:r>
              <w:rPr>
                <w:rFonts w:ascii="Arial" w:hAnsi="Arial" w:cs="Arial"/>
                <w:rtl/>
                <w:sz w:val="19"/>
                <w:szCs w:val="19"/>
              </w:rPr>
              <w:t xml:space="preserve">Vionx</w:t>
            </w:r>
          </w:p>
        </w:tc>
        <w:tc>
          <w:tcPr>
            <w:tcW w:w="1900" w:type="dxa"/>
          </w:tcPr>
          <w:p>
            <w:pPr>
              <w:bidi/>
              <w:spacing w:after="40"/>
              <w:jc w:val="right"/>
            </w:pPr>
            <w:r>
              <w:rPr>
                <w:rFonts w:ascii="Arial" w:hAnsi="Arial" w:cs="Arial"/>
                <w:rtl/>
                <w:sz w:val="19"/>
                <w:szCs w:val="19"/>
              </w:rPr>
              <w:t xml:space="preserve">لا يوجد بعد</w:t>
            </w:r>
          </w:p>
        </w:tc>
        <w:tc>
          <w:tcPr>
            <w:tcW w:w="1300" w:type="dxa"/>
          </w:tcPr>
          <w:p>
            <w:pPr>
              <w:bidi/>
              <w:spacing w:after="40"/>
              <w:jc w:val="right"/>
            </w:pPr>
            <w:r>
              <w:rPr>
                <w:rFonts w:ascii="Arial" w:hAnsi="Arial" w:cs="Arial"/>
                <w:rtl/>
                <w:sz w:val="19"/>
                <w:szCs w:val="19"/>
              </w:rPr>
              <w:t xml:space="preserve">غير محدد</w:t>
            </w:r>
          </w:p>
        </w:tc>
        <w:tc>
          <w:tcPr>
            <w:tcW w:w="3600" w:type="dxa"/>
          </w:tcPr>
          <w:p>
            <w:pPr>
              <w:bidi/>
              <w:spacing w:after="40"/>
              <w:jc w:val="right"/>
            </w:pPr>
            <w:r>
              <w:rPr>
                <w:rFonts w:ascii="Arial" w:hAnsi="Arial" w:cs="Arial"/>
                <w:rtl/>
                <w:sz w:val="19"/>
                <w:szCs w:val="19"/>
              </w:rPr>
              <w:t xml:space="preserve">الشركة المالكة لمنتج مورفو</w:t>
            </w:r>
          </w:p>
        </w:tc>
        <w:tc>
          <w:tcPr>
            <w:tcW w:w="4100" w:type="dxa"/>
          </w:tcPr>
          <w:p>
            <w:pPr>
              <w:bidi/>
              <w:spacing w:after="40"/>
              <w:jc w:val="right"/>
            </w:pPr>
            <w:r>
              <w:rPr>
                <w:rFonts w:ascii="Arial" w:hAnsi="Arial" w:cs="Arial"/>
                <w:rtl/>
                <w:sz w:val="19"/>
                <w:szCs w:val="19"/>
              </w:rPr>
              <w:t xml:space="preserve">كل العمل على مورفو؛ الشعار والموقع والسجل التجاري معلقة</w:t>
            </w:r>
          </w:p>
        </w:tc>
      </w:tr>
      <w:tr>
        <w:tc>
          <w:tcPr>
            <w:tcW w:w="2400" w:type="dxa"/>
          </w:tcPr>
          <w:p>
            <w:pPr>
              <w:bidi/>
              <w:spacing w:after="40"/>
              <w:jc w:val="right"/>
            </w:pPr>
            <w:r>
              <w:rPr>
                <w:b/>
                <w:bCs/>
                <w:rFonts w:ascii="Arial" w:hAnsi="Arial" w:cs="Arial"/>
                <w:rtl/>
                <w:sz w:val="19"/>
                <w:szCs w:val="19"/>
              </w:rPr>
              <w:t xml:space="preserve">مورفو</w:t>
            </w:r>
          </w:p>
        </w:tc>
        <w:tc>
          <w:tcPr>
            <w:tcW w:w="1700" w:type="dxa"/>
          </w:tcPr>
          <w:p>
            <w:pPr>
              <w:bidi/>
              <w:spacing w:after="40"/>
              <w:jc w:val="right"/>
            </w:pPr>
            <w:r>
              <w:rPr>
                <w:rFonts w:ascii="Arial" w:hAnsi="Arial" w:cs="Arial"/>
                <w:rtl/>
                <w:sz w:val="19"/>
                <w:szCs w:val="19"/>
              </w:rPr>
              <w:t xml:space="preserve">Morvo</w:t>
            </w:r>
          </w:p>
        </w:tc>
        <w:tc>
          <w:tcPr>
            <w:tcW w:w="1900" w:type="dxa"/>
          </w:tcPr>
          <w:p>
            <w:pPr>
              <w:bidi/>
              <w:spacing w:after="40"/>
              <w:jc w:val="right"/>
            </w:pPr>
            <w:r>
              <w:rPr>
                <w:rFonts w:ascii="Arial" w:hAnsi="Arial" w:cs="Arial"/>
                <w:rtl/>
                <w:sz w:val="19"/>
                <w:szCs w:val="19"/>
              </w:rPr>
              <w:t xml:space="preserve">morvo.ai</w:t>
            </w:r>
          </w:p>
        </w:tc>
        <w:tc>
          <w:tcPr>
            <w:tcW w:w="1300" w:type="dxa"/>
          </w:tcPr>
          <w:p>
            <w:pPr>
              <w:bidi/>
              <w:spacing w:after="40"/>
              <w:jc w:val="right"/>
            </w:pPr>
            <w:r>
              <w:rPr>
                <w:rFonts w:ascii="Arial" w:hAnsi="Arial" w:cs="Arial"/>
                <w:rtl/>
                <w:sz w:val="19"/>
                <w:szCs w:val="19"/>
              </w:rPr>
              <w:t xml:space="preserve">أونلاين</w:t>
            </w:r>
          </w:p>
        </w:tc>
        <w:tc>
          <w:tcPr>
            <w:tcW w:w="3600" w:type="dxa"/>
          </w:tcPr>
          <w:p>
            <w:pPr>
              <w:bidi/>
              <w:spacing w:after="40"/>
              <w:jc w:val="right"/>
            </w:pPr>
            <w:r>
              <w:rPr>
                <w:rFonts w:ascii="Arial" w:hAnsi="Arial" w:cs="Arial"/>
                <w:rtl/>
                <w:sz w:val="19"/>
                <w:szCs w:val="19"/>
              </w:rPr>
              <w:t xml:space="preserve">منصة معلومات سوق للمتاجر الإلكترونية السعودية (منتج من فيونكس)</w:t>
            </w:r>
          </w:p>
        </w:tc>
        <w:tc>
          <w:tcPr>
            <w:tcW w:w="4100" w:type="dxa"/>
          </w:tcPr>
          <w:p>
            <w:pPr>
              <w:bidi/>
              <w:spacing w:after="40"/>
              <w:jc w:val="right"/>
            </w:pPr>
            <w:r>
              <w:rPr>
                <w:rFonts w:ascii="Arial" w:hAnsi="Arial" w:cs="Arial"/>
                <w:rtl/>
                <w:sz w:val="19"/>
                <w:szCs w:val="19"/>
              </w:rPr>
              <w:t xml:space="preserve">منشور تجريبياً؛ الدفع عبر سلة آخر خطوة قبل الإطلاق</w:t>
            </w:r>
          </w:p>
        </w:tc>
      </w:tr>
      <w:tr>
        <w:tc>
          <w:tcPr>
            <w:tcW w:w="2400" w:type="dxa"/>
          </w:tcPr>
          <w:p>
            <w:pPr>
              <w:bidi/>
              <w:spacing w:after="40"/>
              <w:jc w:val="right"/>
            </w:pPr>
            <w:r>
              <w:rPr>
                <w:b/>
                <w:bCs/>
                <w:rFonts w:ascii="Arial" w:hAnsi="Arial" w:cs="Arial"/>
                <w:rtl/>
                <w:sz w:val="19"/>
                <w:szCs w:val="19"/>
              </w:rPr>
              <w:t xml:space="preserve">بوينت</w:t>
            </w:r>
          </w:p>
        </w:tc>
        <w:tc>
          <w:tcPr>
            <w:tcW w:w="1700" w:type="dxa"/>
          </w:tcPr>
          <w:p>
            <w:pPr>
              <w:bidi/>
              <w:spacing w:after="40"/>
              <w:jc w:val="right"/>
            </w:pPr>
            <w:r>
              <w:rPr>
                <w:rFonts w:ascii="Arial" w:hAnsi="Arial" w:cs="Arial"/>
                <w:rtl/>
                <w:sz w:val="19"/>
                <w:szCs w:val="19"/>
              </w:rPr>
              <w:t xml:space="preserve">Boynt</w:t>
            </w:r>
          </w:p>
        </w:tc>
        <w:tc>
          <w:tcPr>
            <w:tcW w:w="1900" w:type="dxa"/>
          </w:tcPr>
          <w:p>
            <w:pPr>
              <w:bidi/>
              <w:spacing w:after="40"/>
              <w:jc w:val="right"/>
            </w:pPr>
            <w:r>
              <w:rPr>
                <w:rFonts w:ascii="Arial" w:hAnsi="Arial" w:cs="Arial"/>
                <w:rtl/>
                <w:sz w:val="19"/>
                <w:szCs w:val="19"/>
              </w:rPr>
              <w:t xml:space="preserve">لا يوجد بعد (Keeper سابقاً: keprx.com)</w:t>
            </w:r>
          </w:p>
        </w:tc>
        <w:tc>
          <w:tcPr>
            <w:tcW w:w="1300" w:type="dxa"/>
          </w:tcPr>
          <w:p>
            <w:pPr>
              <w:bidi/>
              <w:spacing w:after="40"/>
              <w:jc w:val="right"/>
            </w:pPr>
            <w:r>
              <w:rPr>
                <w:rFonts w:ascii="Arial" w:hAnsi="Arial" w:cs="Arial"/>
                <w:rtl/>
                <w:sz w:val="19"/>
                <w:szCs w:val="19"/>
              </w:rPr>
              <w:t xml:space="preserve">غير محدد</w:t>
            </w:r>
          </w:p>
        </w:tc>
        <w:tc>
          <w:tcPr>
            <w:tcW w:w="3600" w:type="dxa"/>
          </w:tcPr>
          <w:p>
            <w:pPr>
              <w:bidi/>
              <w:spacing w:after="40"/>
              <w:jc w:val="right"/>
            </w:pPr>
            <w:r>
              <w:rPr>
                <w:rFonts w:ascii="Arial" w:hAnsi="Arial" w:cs="Arial"/>
                <w:rtl/>
                <w:sz w:val="19"/>
                <w:szCs w:val="19"/>
              </w:rPr>
              <w:t xml:space="preserve">شركة مستقلة يملكها صالح: منصة سلسلة إمداد بوكلاء ذكاء اصطناعي</w:t>
            </w:r>
          </w:p>
        </w:tc>
        <w:tc>
          <w:tcPr>
            <w:tcW w:w="4100" w:type="dxa"/>
          </w:tcPr>
          <w:p>
            <w:pPr>
              <w:bidi/>
              <w:spacing w:after="40"/>
              <w:jc w:val="right"/>
            </w:pPr>
            <w:r>
              <w:rPr>
                <w:rFonts w:ascii="Arial" w:hAnsi="Arial" w:cs="Arial"/>
                <w:rtl/>
                <w:sz w:val="19"/>
                <w:szCs w:val="19"/>
              </w:rPr>
              <w:t xml:space="preserve">تغيّر الاسم من Keeper في 17 أكتوبر 2026؛ التوجه الجديد لم يُحدد</w:t>
            </w:r>
          </w:p>
        </w:tc>
      </w:tr>
      <w:tr>
        <w:tc>
          <w:tcPr>
            <w:tcW w:w="2400" w:type="dxa"/>
          </w:tcPr>
          <w:p>
            <w:pPr>
              <w:bidi/>
              <w:spacing w:after="40"/>
              <w:jc w:val="right"/>
            </w:pPr>
            <w:r>
              <w:rPr>
                <w:b/>
                <w:bCs/>
                <w:rFonts w:ascii="Arial" w:hAnsi="Arial" w:cs="Arial"/>
                <w:rtl/>
                <w:sz w:val="19"/>
                <w:szCs w:val="19"/>
              </w:rPr>
              <w:t xml:space="preserve">شركة ماتس للتطوير والاستثمار الزراعي</w:t>
            </w:r>
          </w:p>
        </w:tc>
        <w:tc>
          <w:tcPr>
            <w:tcW w:w="1700" w:type="dxa"/>
          </w:tcPr>
          <w:p>
            <w:pPr>
              <w:bidi/>
              <w:spacing w:after="40"/>
              <w:jc w:val="right"/>
            </w:pPr>
            <w:r>
              <w:rPr>
                <w:rFonts w:ascii="Arial" w:hAnsi="Arial" w:cs="Arial"/>
                <w:rtl/>
                <w:sz w:val="19"/>
                <w:szCs w:val="19"/>
              </w:rPr>
              <w:t xml:space="preserve">MATS Agricultural Development and Investment</w:t>
            </w:r>
          </w:p>
        </w:tc>
        <w:tc>
          <w:tcPr>
            <w:tcW w:w="1900" w:type="dxa"/>
          </w:tcPr>
          <w:p>
            <w:pPr>
              <w:bidi/>
              <w:spacing w:after="40"/>
              <w:jc w:val="right"/>
            </w:pPr>
            <w:r>
              <w:rPr>
                <w:rFonts w:ascii="Arial" w:hAnsi="Arial" w:cs="Arial"/>
                <w:rtl/>
                <w:sz w:val="19"/>
                <w:szCs w:val="19"/>
              </w:rPr>
              <w:t xml:space="preserve">لا يوجد</w:t>
            </w:r>
          </w:p>
        </w:tc>
        <w:tc>
          <w:tcPr>
            <w:tcW w:w="1300" w:type="dxa"/>
          </w:tcPr>
          <w:p>
            <w:pPr>
              <w:bidi/>
              <w:spacing w:after="40"/>
              <w:jc w:val="right"/>
            </w:pPr>
            <w:r>
              <w:rPr>
                <w:rFonts w:ascii="Arial" w:hAnsi="Arial" w:cs="Arial"/>
                <w:rtl/>
                <w:sz w:val="19"/>
                <w:szCs w:val="19"/>
              </w:rPr>
              <w:t xml:space="preserve">غير محدد</w:t>
            </w:r>
          </w:p>
        </w:tc>
        <w:tc>
          <w:tcPr>
            <w:tcW w:w="3600" w:type="dxa"/>
          </w:tcPr>
          <w:p>
            <w:pPr>
              <w:bidi/>
              <w:spacing w:after="40"/>
              <w:jc w:val="right"/>
            </w:pPr>
            <w:r>
              <w:rPr>
                <w:rFonts w:ascii="Arial" w:hAnsi="Arial" w:cs="Arial"/>
                <w:rtl/>
                <w:sz w:val="19"/>
                <w:szCs w:val="19"/>
              </w:rPr>
              <w:t xml:space="preserve">حاوية لزراعة الشعير المستنبت (علف أخضر)</w:t>
            </w:r>
          </w:p>
        </w:tc>
        <w:tc>
          <w:tcPr>
            <w:tcW w:w="4100" w:type="dxa"/>
          </w:tcPr>
          <w:p>
            <w:pPr>
              <w:bidi/>
              <w:spacing w:after="40"/>
              <w:jc w:val="right"/>
            </w:pPr>
            <w:r>
              <w:rPr>
                <w:rFonts w:ascii="Arial" w:hAnsi="Arial" w:cs="Arial"/>
                <w:rtl/>
                <w:sz w:val="19"/>
                <w:szCs w:val="19"/>
              </w:rPr>
              <w:t xml:space="preserve">تجربة صغيرة يدوية؛ عرض سعر لحاوية من الصين؛ لا قرار بعد</w:t>
            </w:r>
          </w:p>
        </w:tc>
      </w:tr>
      <w:tr>
        <w:tc>
          <w:tcPr>
            <w:tcW w:w="2400" w:type="dxa"/>
          </w:tcPr>
          <w:p>
            <w:pPr>
              <w:bidi/>
              <w:spacing w:after="40"/>
              <w:jc w:val="right"/>
            </w:pPr>
            <w:r>
              <w:rPr>
                <w:b/>
                <w:bCs/>
                <w:rFonts w:ascii="Arial" w:hAnsi="Arial" w:cs="Arial"/>
                <w:rtl/>
                <w:sz w:val="19"/>
                <w:szCs w:val="19"/>
              </w:rPr>
              <w:t xml:space="preserve">السدة</w:t>
            </w:r>
          </w:p>
        </w:tc>
        <w:tc>
          <w:tcPr>
            <w:tcW w:w="1700" w:type="dxa"/>
          </w:tcPr>
          <w:p>
            <w:pPr>
              <w:bidi/>
              <w:spacing w:after="40"/>
              <w:jc w:val="right"/>
            </w:pPr>
            <w:r>
              <w:rPr>
                <w:rFonts w:ascii="Arial" w:hAnsi="Arial" w:cs="Arial"/>
                <w:rtl/>
                <w:sz w:val="19"/>
                <w:szCs w:val="19"/>
              </w:rPr>
              <w:t xml:space="preserve">AlSeddah</w:t>
            </w:r>
          </w:p>
        </w:tc>
        <w:tc>
          <w:tcPr>
            <w:tcW w:w="1900" w:type="dxa"/>
          </w:tcPr>
          <w:p>
            <w:pPr>
              <w:bidi/>
              <w:spacing w:after="40"/>
              <w:jc w:val="right"/>
            </w:pPr>
            <w:r>
              <w:rPr>
                <w:rFonts w:ascii="Arial" w:hAnsi="Arial" w:cs="Arial"/>
                <w:rtl/>
                <w:sz w:val="19"/>
                <w:szCs w:val="19"/>
              </w:rPr>
              <w:t xml:space="preserve">alseddah.org</w:t>
            </w:r>
          </w:p>
        </w:tc>
        <w:tc>
          <w:tcPr>
            <w:tcW w:w="1300" w:type="dxa"/>
          </w:tcPr>
          <w:p>
            <w:pPr>
              <w:bidi/>
              <w:spacing w:after="40"/>
              <w:jc w:val="right"/>
            </w:pPr>
            <w:r>
              <w:rPr>
                <w:rFonts w:ascii="Arial" w:hAnsi="Arial" w:cs="Arial"/>
                <w:rtl/>
                <w:sz w:val="19"/>
                <w:szCs w:val="19"/>
              </w:rPr>
              <w:t xml:space="preserve">المنطقة الشرقية</w:t>
            </w:r>
          </w:p>
        </w:tc>
        <w:tc>
          <w:tcPr>
            <w:tcW w:w="3600" w:type="dxa"/>
          </w:tcPr>
          <w:p>
            <w:pPr>
              <w:bidi/>
              <w:spacing w:after="40"/>
              <w:jc w:val="right"/>
            </w:pPr>
            <w:r>
              <w:rPr>
                <w:rFonts w:ascii="Arial" w:hAnsi="Arial" w:cs="Arial"/>
                <w:rtl/>
                <w:sz w:val="19"/>
                <w:szCs w:val="19"/>
              </w:rPr>
              <w:t xml:space="preserve">الأرشيف الحي للذاكرة والمكان، مع د. سارة الغامدي</w:t>
            </w:r>
          </w:p>
        </w:tc>
        <w:tc>
          <w:tcPr>
            <w:tcW w:w="4100" w:type="dxa"/>
          </w:tcPr>
          <w:p>
            <w:pPr>
              <w:bidi/>
              <w:spacing w:after="40"/>
              <w:jc w:val="right"/>
            </w:pPr>
            <w:r>
              <w:rPr>
                <w:rFonts w:ascii="Arial" w:hAnsi="Arial" w:cs="Arial"/>
                <w:rtl/>
                <w:sz w:val="19"/>
                <w:szCs w:val="19"/>
              </w:rPr>
              <w:t xml:space="preserve">مرحلة اقتراح؛ تمويل «نماء» مستهدف حتى 500 ألف ريال؛ لا عقد بعد</w:t>
            </w:r>
          </w:p>
        </w:tc>
      </w:tr>
      <w:tr>
        <w:tc>
          <w:tcPr>
            <w:tcW w:w="2400" w:type="dxa"/>
          </w:tcPr>
          <w:p>
            <w:pPr>
              <w:bidi/>
              <w:spacing w:after="40"/>
              <w:jc w:val="right"/>
            </w:pPr>
            <w:r>
              <w:rPr>
                <w:b/>
                <w:bCs/>
                <w:rFonts w:ascii="Arial" w:hAnsi="Arial" w:cs="Arial"/>
                <w:rtl/>
                <w:sz w:val="19"/>
                <w:szCs w:val="19"/>
              </w:rPr>
              <w:t xml:space="preserve">الهيدروجيل الزراعي</w:t>
            </w:r>
          </w:p>
        </w:tc>
        <w:tc>
          <w:tcPr>
            <w:tcW w:w="1700" w:type="dxa"/>
          </w:tcPr>
          <w:p>
            <w:pPr>
              <w:bidi/>
              <w:spacing w:after="40"/>
              <w:jc w:val="right"/>
            </w:pPr>
            <w:r>
              <w:rPr>
                <w:rFonts w:ascii="Arial" w:hAnsi="Arial" w:cs="Arial"/>
                <w:rtl/>
                <w:sz w:val="19"/>
                <w:szCs w:val="19"/>
              </w:rPr>
              <w:t xml:space="preserve">Agricultural Hydrogel</w:t>
            </w:r>
          </w:p>
        </w:tc>
        <w:tc>
          <w:tcPr>
            <w:tcW w:w="1900" w:type="dxa"/>
          </w:tcPr>
          <w:p>
            <w:pPr>
              <w:bidi/>
              <w:spacing w:after="40"/>
              <w:jc w:val="right"/>
            </w:pPr>
            <w:r>
              <w:rPr>
                <w:rFonts w:ascii="Arial" w:hAnsi="Arial" w:cs="Arial"/>
                <w:rtl/>
                <w:sz w:val="19"/>
                <w:szCs w:val="19"/>
              </w:rPr>
              <w:t xml:space="preserve">لا يوجد</w:t>
            </w:r>
          </w:p>
        </w:tc>
        <w:tc>
          <w:tcPr>
            <w:tcW w:w="1300" w:type="dxa"/>
          </w:tcPr>
          <w:p>
            <w:pPr>
              <w:bidi/>
              <w:spacing w:after="40"/>
              <w:jc w:val="right"/>
            </w:pPr>
            <w:r>
              <w:rPr>
                <w:rFonts w:ascii="Arial" w:hAnsi="Arial" w:cs="Arial"/>
                <w:rtl/>
                <w:sz w:val="19"/>
                <w:szCs w:val="19"/>
              </w:rPr>
              <w:t xml:space="preserve">غير محدد</w:t>
            </w:r>
          </w:p>
        </w:tc>
        <w:tc>
          <w:tcPr>
            <w:tcW w:w="3600" w:type="dxa"/>
          </w:tcPr>
          <w:p>
            <w:pPr>
              <w:bidi/>
              <w:spacing w:after="40"/>
              <w:jc w:val="right"/>
            </w:pPr>
            <w:r>
              <w:rPr>
                <w:rFonts w:ascii="Arial" w:hAnsi="Arial" w:cs="Arial"/>
                <w:rtl/>
                <w:sz w:val="19"/>
                <w:szCs w:val="19"/>
              </w:rPr>
              <w:t xml:space="preserve">حبيبات تحفظ ماء التربة للنباتات المنزلية والنخيل</w:t>
            </w:r>
          </w:p>
        </w:tc>
        <w:tc>
          <w:tcPr>
            <w:tcW w:w="4100" w:type="dxa"/>
          </w:tcPr>
          <w:p>
            <w:pPr>
              <w:bidi/>
              <w:spacing w:after="40"/>
              <w:jc w:val="right"/>
            </w:pPr>
            <w:r>
              <w:rPr>
                <w:rFonts w:ascii="Arial" w:hAnsi="Arial" w:cs="Arial"/>
                <w:rtl/>
                <w:sz w:val="19"/>
                <w:szCs w:val="19"/>
              </w:rPr>
              <w:t xml:space="preserve">الأبحاث انتهت 2 أكتوبر 2026؛ متوقف بانتظار قرار</w:t>
            </w:r>
          </w:p>
        </w:tc>
      </w:tr>
    </w:tbl>
    <w:sectPr>
      <w:pgSz w:w="16838" w:h="11906" w:orient="landscape"/>
      <w:pgMar w:top="900" w:right="800" w:bottom="900" w:left="800" w:header="500" w:footer="500" w:gutter="0"/>
    </w:sectPr>
  </w:body>
</w:document>
</file>