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spacing w:after="40"/>
        <w:jc w:val="center"/>
      </w:pPr>
      <w:r>
        <w:rPr>
          <w:b/>
          <w:bCs/>
          <w:rFonts w:ascii="Arial" w:hAnsi="Arial" w:cs="Arial"/>
          <w:rtl/>
          <w:sz w:val="40"/>
          <w:szCs w:val="40"/>
        </w:rPr>
        <w:t xml:space="preserve">السدة</w:t>
      </w:r>
    </w:p>
    <w:p>
      <w:pPr>
        <w:bidi/>
        <w:spacing w:after="60"/>
        <w:jc w:val="center"/>
      </w:pPr>
      <w:r>
        <w:rPr>
          <w:b/>
          <w:bCs/>
          <w:rFonts w:ascii="Arial" w:hAnsi="Arial" w:cs="Arial"/>
          <w:color w:val="555555"/>
          <w:rtl/>
          <w:sz w:val="28"/>
          <w:szCs w:val="28"/>
        </w:rPr>
        <w:t xml:space="preserve">AlSeddah</w:t>
      </w:r>
    </w:p>
    <w:p>
      <w:pPr>
        <w:bidi/>
        <w:spacing w:after="240"/>
        <w:jc w:val="center"/>
      </w:pPr>
      <w:r>
        <w:rPr>
          <w:rFonts w:ascii="Arial" w:hAnsi="Arial" w:cs="Arial"/>
          <w:color w:val="777777"/>
          <w:rtl/>
          <w:sz w:val="18"/>
          <w:szCs w:val="18"/>
        </w:rPr>
        <w:t xml:space="preserve">آخر تحديث: 25 أكتوبر 2026</w:t>
      </w:r>
    </w:p>
    <w:tbl>
      <w:tblPr>
        <w:bidiVisual/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00"/>
        <w:gridCol w:w="7300"/>
      </w:tblGrid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الاسم بالعربي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السدة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الاسم بالإنجليزي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AlSeddah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الموقع الإلكتروني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alseddah.org (مذكور في وثيقة المشروع ولم يُفحص)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المقر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المنطقة الشرقية (البداية)، ثم السعودية ثم الخليج</w:t>
            </w:r>
          </w:p>
        </w:tc>
      </w:tr>
    </w:tbl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/>
      </w:r>
    </w:p>
    <w:p>
      <w:pPr>
        <w:bidi/>
        <w:spacing w:after="120"/>
        <w:jc w:val="right"/>
      </w:pPr>
      <w:r>
        <w:rPr>
          <w:b/>
          <w:bCs/>
          <w:rFonts w:ascii="Arial" w:hAnsi="Arial" w:cs="Arial"/>
          <w:color w:val="1F3864"/>
          <w:rtl/>
          <w:sz w:val="28"/>
          <w:szCs w:val="28"/>
        </w:rPr>
        <w:t xml:space="preserve">نبذة مختصرة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«الأرشيف الحي للذاكرة والمكان»: منصة رقمية تشاركية لتوثيق الذاكرة العمرانية والمكانية: المباني والأحياء، والروايات الشفهية، والحِرف، والأسماء. صاحبة المشروع د. سارة الغامدي، ونكستا مرشحة لتطوير المنصة.</w:t>
      </w:r>
    </w:p>
    <w:p>
      <w:pPr>
        <w:bidi/>
        <w:spacing w:after="120"/>
        <w:jc w:val="right"/>
      </w:pPr>
      <w:r>
        <w:rPr>
          <w:b/>
          <w:bCs/>
          <w:rFonts w:ascii="Arial" w:hAnsi="Arial" w:cs="Arial"/>
          <w:color w:val="1F3864"/>
          <w:rtl/>
          <w:sz w:val="28"/>
          <w:szCs w:val="28"/>
        </w:rPr>
        <w:t xml:space="preserve">وين وصلت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مرحلة اقتراح، لا عقد بعد.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المرحلة الأولى (بحث ونموذج أولي) مكتملة حسب ملف الميزانية.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التمويل المستهدف: حافز «نماء» من الصندوق الثقافي حتى 500 ألف ريال، ولا قرار موثق بعد.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نطاق البداية: ترميم الصور التاريخية والمتاحف الشخصية وتاريخ العائلات (13 أكتوبر 2026).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نكستا تنتظر من صالح نطاق المرحلة التجريبية قبل التمويل.</w:t>
      </w:r>
    </w:p>
    <w:sectPr>
      <w:pgSz w:w="11906" w:h="16838"/>
      <w:pgMar w:top="1200" w:right="1000" w:bottom="1200" w:left="1000" w:header="708" w:footer="708" w:gutter="0"/>
    </w:sectPr>
  </w:body>
</w:document>
</file>