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spacing w:after="60"/>
        <w:jc w:val="center"/>
      </w:pPr>
      <w:r>
        <w:rPr>
          <w:b/>
          <w:bCs/>
          <w:rFonts w:ascii="Arial" w:hAnsi="Arial" w:cs="Arial"/>
          <w:rtl/>
          <w:sz w:val="34"/>
          <w:szCs w:val="34"/>
        </w:rPr>
        <w:t xml:space="preserve">الشركات والمشاريع</w:t>
      </w:r>
    </w:p>
    <w:p>
      <w:pPr>
        <w:bidi/>
        <w:spacing w:after="200"/>
        <w:jc w:val="center"/>
      </w:pPr>
      <w:r>
        <w:rPr>
          <w:rFonts w:ascii="Arial" w:hAnsi="Arial" w:cs="Arial"/>
          <w:rtl/>
          <w:sz w:val="18"/>
          <w:szCs w:val="18"/>
        </w:rPr>
        <w:t xml:space="preserve">آخر تحديث: 26 أكتوبر 2026. الإيميلات بصيغة saleh@النطاق ولم يُتحقق من وجود الصناديق.</w:t>
      </w:r>
    </w:p>
    <w:tbl>
      <w:tblPr>
        <w:bidiVisual/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200"/>
        <w:gridCol w:w="1500"/>
        <w:gridCol w:w="1900"/>
        <w:gridCol w:w="2400"/>
        <w:gridCol w:w="1900"/>
        <w:gridCol w:w="6000"/>
      </w:tblGrid>
      <w:tr>
        <w:trPr>
          <w:tblHeader/>
        </w:trPr>
        <w:tc>
          <w:tcPr>
            <w:tcW w:w="2200" w:type="dxa"/>
            <w:shd w:val="clear" w:color="auto" w:fill="D9E2F3"/>
          </w:tcPr>
          <w:p>
            <w:pPr>
              <w:bidi/>
              <w:spacing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الشركة</w:t>
            </w:r>
          </w:p>
        </w:tc>
        <w:tc>
          <w:tcPr>
            <w:tcW w:w="1500" w:type="dxa"/>
            <w:shd w:val="clear" w:color="auto" w:fill="D9E2F3"/>
          </w:tcPr>
          <w:p>
            <w:pPr>
              <w:bidi/>
              <w:spacing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الاسم بالإنجليزي</w:t>
            </w:r>
          </w:p>
        </w:tc>
        <w:tc>
          <w:tcPr>
            <w:tcW w:w="1900" w:type="dxa"/>
            <w:shd w:val="clear" w:color="auto" w:fill="D9E2F3"/>
          </w:tcPr>
          <w:p>
            <w:pPr>
              <w:bidi/>
              <w:spacing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الموقع</w:t>
            </w:r>
          </w:p>
        </w:tc>
        <w:tc>
          <w:tcPr>
            <w:tcW w:w="2400" w:type="dxa"/>
            <w:shd w:val="clear" w:color="auto" w:fill="D9E2F3"/>
          </w:tcPr>
          <w:p>
            <w:pPr>
              <w:bidi/>
              <w:spacing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الإيميل</w:t>
            </w:r>
          </w:p>
        </w:tc>
        <w:tc>
          <w:tcPr>
            <w:tcW w:w="1900" w:type="dxa"/>
            <w:shd w:val="clear" w:color="auto" w:fill="D9E2F3"/>
          </w:tcPr>
          <w:p>
            <w:pPr>
              <w:bidi/>
              <w:spacing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المقر</w:t>
            </w:r>
          </w:p>
        </w:tc>
        <w:tc>
          <w:tcPr>
            <w:tcW w:w="6000" w:type="dxa"/>
            <w:shd w:val="clear" w:color="auto" w:fill="D9E2F3"/>
          </w:tcPr>
          <w:p>
            <w:pPr>
              <w:bidi/>
              <w:spacing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الوضع الآن</w:t>
            </w:r>
          </w:p>
        </w:tc>
      </w:tr>
      <w:tr>
        <w:tc>
          <w:tcPr>
            <w:tcW w:w="2200" w:type="dxa"/>
          </w:tcPr>
          <w:p>
            <w:pPr>
              <w:bidi/>
              <w:spacing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19"/>
                <w:szCs w:val="19"/>
              </w:rPr>
              <w:t xml:space="preserve">نكستا</w:t>
            </w:r>
          </w:p>
        </w:tc>
        <w:tc>
          <w:tcPr>
            <w:tcW w:w="15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Nexta</w:t>
            </w:r>
          </w:p>
        </w:tc>
        <w:tc>
          <w:tcPr>
            <w:tcW w:w="19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nexta.sa</w:t>
            </w:r>
          </w:p>
        </w:tc>
        <w:tc>
          <w:tcPr>
            <w:tcW w:w="24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saleh@nexta.sa</w:t>
            </w:r>
          </w:p>
        </w:tc>
        <w:tc>
          <w:tcPr>
            <w:tcW w:w="19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الخبر</w:t>
            </w:r>
          </w:p>
        </w:tc>
        <w:tc>
          <w:tcPr>
            <w:tcW w:w="60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حلول تقنية وذكاء اصطناعي للشركات. تكتفي الآن بالمشاريع التي يجلبها الشركاء. الفريق 10 أشخاص. الملكية: صالح 55%، وUptUrn 30%، والهنوف 10%، وجمانة 5%.</w:t>
            </w:r>
          </w:p>
        </w:tc>
      </w:tr>
      <w:tr>
        <w:tc>
          <w:tcPr>
            <w:tcW w:w="2200" w:type="dxa"/>
          </w:tcPr>
          <w:p>
            <w:pPr>
              <w:bidi/>
              <w:spacing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19"/>
                <w:szCs w:val="19"/>
              </w:rPr>
              <w:t xml:space="preserve">فيونكس</w:t>
            </w:r>
          </w:p>
        </w:tc>
        <w:tc>
          <w:tcPr>
            <w:tcW w:w="15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Vionx</w:t>
            </w:r>
          </w:p>
        </w:tc>
        <w:tc>
          <w:tcPr>
            <w:tcW w:w="19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vionx.ai</w:t>
            </w:r>
          </w:p>
        </w:tc>
        <w:tc>
          <w:tcPr>
            <w:tcW w:w="24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saleh@vionx.ai</w:t>
            </w:r>
          </w:p>
        </w:tc>
        <w:tc>
          <w:tcPr>
            <w:tcW w:w="19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غير محدد</w:t>
            </w:r>
          </w:p>
        </w:tc>
        <w:tc>
          <w:tcPr>
            <w:tcW w:w="60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مختبر شركات ناشئة يملكه صالح، ويبني المشاريع الناشئة (مورفو والسدة). مسجلة رسمياً باسم «فيونكس».</w:t>
            </w:r>
          </w:p>
        </w:tc>
      </w:tr>
      <w:tr>
        <w:tc>
          <w:tcPr>
            <w:tcW w:w="2200" w:type="dxa"/>
          </w:tcPr>
          <w:p>
            <w:pPr>
              <w:bidi/>
              <w:spacing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19"/>
                <w:szCs w:val="19"/>
              </w:rPr>
              <w:t xml:space="preserve">مورفو</w:t>
            </w:r>
          </w:p>
        </w:tc>
        <w:tc>
          <w:tcPr>
            <w:tcW w:w="15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Morvo</w:t>
            </w:r>
          </w:p>
        </w:tc>
        <w:tc>
          <w:tcPr>
            <w:tcW w:w="19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morvo.ai</w:t>
            </w:r>
          </w:p>
        </w:tc>
        <w:tc>
          <w:tcPr>
            <w:tcW w:w="24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saleh@morvo.ai</w:t>
            </w:r>
          </w:p>
        </w:tc>
        <w:tc>
          <w:tcPr>
            <w:tcW w:w="19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أونلاين</w:t>
            </w:r>
          </w:p>
        </w:tc>
        <w:tc>
          <w:tcPr>
            <w:tcW w:w="60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منتج من فيونكس: معلومات سوق للمتاجر الإلكترونية. منشور تجريبياً؛ المنتج الأول المقترح فحص صفحة العباية وإعلانها بـ49 ريالاً، والدفع لم يُفعّل بعد.</w:t>
            </w:r>
          </w:p>
        </w:tc>
      </w:tr>
      <w:tr>
        <w:tc>
          <w:tcPr>
            <w:tcW w:w="2200" w:type="dxa"/>
          </w:tcPr>
          <w:p>
            <w:pPr>
              <w:bidi/>
              <w:spacing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19"/>
                <w:szCs w:val="19"/>
              </w:rPr>
              <w:t xml:space="preserve">بوينت</w:t>
            </w:r>
          </w:p>
        </w:tc>
        <w:tc>
          <w:tcPr>
            <w:tcW w:w="15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Boynt</w:t>
            </w:r>
          </w:p>
        </w:tc>
        <w:tc>
          <w:tcPr>
            <w:tcW w:w="19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boynt.io</w:t>
            </w:r>
          </w:p>
        </w:tc>
        <w:tc>
          <w:tcPr>
            <w:tcW w:w="24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saleh@boynt.io</w:t>
            </w:r>
          </w:p>
        </w:tc>
        <w:tc>
          <w:tcPr>
            <w:tcW w:w="19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غير محدد</w:t>
            </w:r>
          </w:p>
        </w:tc>
        <w:tc>
          <w:tcPr>
            <w:tcW w:w="60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شركة مستقلة يملكها صالح (Keeper سابقاً): منصة سلسلة إمداد بوكلاء ذكاء اصطناعي. نفس المنتج، والتجربة مع الحاجري أُقفلت. الهدف: 5 عملاء من المستودعات ثم البحث عن تمويل.</w:t>
            </w:r>
          </w:p>
        </w:tc>
      </w:tr>
      <w:tr>
        <w:tc>
          <w:tcPr>
            <w:tcW w:w="2200" w:type="dxa"/>
          </w:tcPr>
          <w:p>
            <w:pPr>
              <w:bidi/>
              <w:spacing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19"/>
                <w:szCs w:val="19"/>
              </w:rPr>
              <w:t xml:space="preserve">شركة ماتس للتطوير والاستثمار الزراعي</w:t>
            </w:r>
          </w:p>
        </w:tc>
        <w:tc>
          <w:tcPr>
            <w:tcW w:w="15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MATS</w:t>
            </w:r>
          </w:p>
        </w:tc>
        <w:tc>
          <w:tcPr>
            <w:tcW w:w="19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matsfeed.com</w:t>
            </w:r>
          </w:p>
        </w:tc>
        <w:tc>
          <w:tcPr>
            <w:tcW w:w="24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saleh@matsfeed.com</w:t>
            </w:r>
          </w:p>
        </w:tc>
        <w:tc>
          <w:tcPr>
            <w:tcW w:w="19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حاضنة الغرفة التجارية، المنطقة الشرقية</w:t>
            </w:r>
          </w:p>
        </w:tc>
        <w:tc>
          <w:tcPr>
            <w:tcW w:w="60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مسجلة رسمياً، وحصة صالح 20%. حاوية شعير مستنبت محلية تعمل وبدأت الزراعة. الهدف بيع الحاويات لمربي المواشي، والمرحلة إثبات الجدوى وحساب العائد. صالح يبني نظام الحساسات والتحكم.</w:t>
            </w:r>
          </w:p>
        </w:tc>
      </w:tr>
      <w:tr>
        <w:tc>
          <w:tcPr>
            <w:tcW w:w="2200" w:type="dxa"/>
          </w:tcPr>
          <w:p>
            <w:pPr>
              <w:bidi/>
              <w:spacing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19"/>
                <w:szCs w:val="19"/>
              </w:rPr>
              <w:t xml:space="preserve">السدة</w:t>
            </w:r>
          </w:p>
        </w:tc>
        <w:tc>
          <w:tcPr>
            <w:tcW w:w="15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AlSeddah</w:t>
            </w:r>
          </w:p>
        </w:tc>
        <w:tc>
          <w:tcPr>
            <w:tcW w:w="19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alseddah.org (لم يُفحص)</w:t>
            </w:r>
          </w:p>
        </w:tc>
        <w:tc>
          <w:tcPr>
            <w:tcW w:w="24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saleh@alseddah.org (افتراض)</w:t>
            </w:r>
          </w:p>
        </w:tc>
        <w:tc>
          <w:tcPr>
            <w:tcW w:w="19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المنطقة الشرقية</w:t>
            </w:r>
          </w:p>
        </w:tc>
        <w:tc>
          <w:tcPr>
            <w:tcW w:w="60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الأرشيف الحي للذاكرة والمكان، مع د. سارة الغامدي. قرار البدء بلا تمويل كمنصة نبحث لها عن عملاء؛ تبنيها فيونكس. الملكية: صالح 40% والفريق 60%. التطبيق قيد التطوير والهوية البصرية خلال 2–3 أسابيع.</w:t>
            </w:r>
          </w:p>
        </w:tc>
      </w:tr>
      <w:tr>
        <w:tc>
          <w:tcPr>
            <w:tcW w:w="2200" w:type="dxa"/>
          </w:tcPr>
          <w:p>
            <w:pPr>
              <w:bidi/>
              <w:spacing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19"/>
                <w:szCs w:val="19"/>
              </w:rPr>
              <w:t xml:space="preserve">الهيدروجيل الزراعي</w:t>
            </w:r>
          </w:p>
        </w:tc>
        <w:tc>
          <w:tcPr>
            <w:tcW w:w="15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Agricultural Hydrogel</w:t>
            </w:r>
          </w:p>
        </w:tc>
        <w:tc>
          <w:tcPr>
            <w:tcW w:w="19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لا يوجد بعد</w:t>
            </w:r>
          </w:p>
        </w:tc>
        <w:tc>
          <w:tcPr>
            <w:tcW w:w="24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لا يوجد بعد</w:t>
            </w:r>
          </w:p>
        </w:tc>
        <w:tc>
          <w:tcPr>
            <w:tcW w:w="19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البحرين (مخطط)</w:t>
            </w:r>
          </w:p>
        </w:tc>
        <w:tc>
          <w:tcPr>
            <w:tcW w:w="6000" w:type="dxa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rtl/>
                <w:sz w:val="19"/>
                <w:szCs w:val="19"/>
              </w:rPr>
              <w:t xml:space="preserve">شركة ستُفتح في البحرين مع محمد القصاص لبيع الهيدروجيل لشتلات ونباتات المنازل. لم يبدأ التأسيس.</w:t>
            </w:r>
          </w:p>
        </w:tc>
      </w:tr>
    </w:tbl>
    <w:sectPr>
      <w:pgSz w:w="16838" w:h="11906" w:orient="landscape"/>
      <w:pgMar w:top="900" w:right="800" w:bottom="900" w:left="800" w:header="500" w:footer="500" w:gutter="0"/>
    </w:sectPr>
  </w:body>
</w:document>
</file>