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BLOC 3 — Annexes</w:t>
      </w:r>
    </w:p>
    <w:p>
      <w:r>
        <w:rPr>
          <w:b/>
        </w:rPr>
        <w:t>Titre RNCP 39586 · Bloc 3 — Élaborer et piloter un projet data</w:t>
      </w:r>
    </w:p>
    <w:p>
      <w:r>
        <w:rPr>
          <w:b/>
        </w:rPr>
        <w:t>Candidat :</w:t>
      </w:r>
      <w:r>
        <w:t xml:space="preserve"> HAOUARI Salem · </w:t>
      </w:r>
      <w:r>
        <w:rPr>
          <w:b/>
        </w:rPr>
        <w:t>Date :</w:t>
      </w:r>
      <w:r>
        <w:t xml:space="preserve"> 29/07/2026 · Annexes au dossier écrit (hors décompte de pages)</w:t>
      </w:r>
    </w:p>
    <w:p>
      <w:pPr>
        <w:spacing w:before="120" w:after="120"/>
        <w:ind w:left="240"/>
      </w:pPr>
      <w:r>
        <w:rPr>
          <w:i/>
          <w:color w:val="4B5563"/>
        </w:rPr>
        <w:t xml:space="preserve">Ces annexes détaillent les livrables de pilotage référencés dans le dossier. Le planning et le suivi s'appuient sur des </w:t>
      </w:r>
      <w:r>
        <w:rPr>
          <w:b/>
          <w:i/>
          <w:color w:val="4B5563"/>
        </w:rPr>
        <w:t>traces réelles</w:t>
      </w:r>
      <w:r>
        <w:rPr>
          <w:i/>
          <w:color w:val="4B5563"/>
        </w:rPr>
        <w:t xml:space="preserve"> : les runs journalisés dans `admin.pipeline_run` (mars-mai) et l'historique Git (branche `main`, dépôt public, à partir de juin).</w:t>
      </w:r>
    </w:p>
    <w:p>
      <w:pPr>
        <w:pStyle w:val="Heading2"/>
      </w:pPr>
      <w:r>
        <w:t>Annexe A — Planning détaillé (phases réelles)</w:t>
      </w:r>
    </w:p>
    <w:p>
      <w:r>
        <w:t xml:space="preserve">Le projet a </w:t>
      </w:r>
      <w:r>
        <w:rPr>
          <w:b/>
        </w:rPr>
        <w:t>débuté le 9 mars 2026</w:t>
      </w:r>
      <w:r>
        <w:t xml:space="preserve">. Le planning est </w:t>
      </w:r>
      <w:r>
        <w:rPr>
          <w:b/>
        </w:rPr>
        <w:t>authentique</w:t>
      </w:r>
      <w:r>
        <w:t xml:space="preserve"> — aucune date inventée : les premières phases sont datées par les runs réels journalisés dans `admin.pipeline_run`, les suivantes par l'historique Git (le dépôt ayant été formalisé en juin). Le « creux » entre le 19/06 et le 07/07 correspond à une interruption réelle (période d'examens).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3215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3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1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8"/>
        </w:rPr>
        <w:t>Diagramme de Gantt du projet — six phases réelles, de mars à août 2026 (runs pipeline + historique Git).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Phase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Période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Contenu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Jalons réels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P0 — Cadrage &amp; collecte</w:t>
            </w:r>
          </w:p>
        </w:tc>
        <w:tc>
          <w:tcPr>
            <w:tcW w:type="dxa" w:w="2160"/>
          </w:tcPr>
          <w:p>
            <w:r/>
            <w:r>
              <w:t>09/03 → 31/03</w:t>
            </w:r>
          </w:p>
        </w:tc>
        <w:tc>
          <w:tcPr>
            <w:tcW w:type="dxa" w:w="2160"/>
          </w:tcPr>
          <w:p>
            <w:r/>
            <w:r>
              <w:t>Connexion Oracle, extraction des métadonnées, premiers cycles</w:t>
            </w:r>
          </w:p>
        </w:tc>
        <w:tc>
          <w:tcPr>
            <w:tcW w:type="dxa" w:w="2160"/>
          </w:tcPr>
          <w:p>
            <w:r/>
            <w:r>
              <w:t>runs 3 (13/03) et 4 (23/03)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P1 — Modélisation &amp; analyse</w:t>
            </w:r>
          </w:p>
        </w:tc>
        <w:tc>
          <w:tcPr>
            <w:tcW w:type="dxa" w:w="2160"/>
          </w:tcPr>
          <w:p>
            <w:r/>
            <w:r>
              <w:t>04 → 05</w:t>
            </w:r>
          </w:p>
        </w:tc>
        <w:tc>
          <w:tcPr>
            <w:tcW w:type="dxa" w:w="2160"/>
          </w:tcPr>
          <w:p>
            <w:r/>
            <w:r>
              <w:t>Modèle en étoile, classification, comparaison N-1, ROI Monte-Carlo</w:t>
            </w:r>
          </w:p>
        </w:tc>
        <w:tc>
          <w:tcPr>
            <w:tcW w:type="dxa" w:w="2160"/>
          </w:tcPr>
          <w:p>
            <w:r/>
            <w:r>
              <w:t>runs 5 (22/04) et 6 (31/05)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P2 — Sûreté &amp; fiabilité</w:t>
            </w:r>
          </w:p>
        </w:tc>
        <w:tc>
          <w:tcPr>
            <w:tcW w:type="dxa" w:w="2160"/>
          </w:tcPr>
          <w:p>
            <w:r/>
            <w:r>
              <w:t>début 06</w:t>
            </w:r>
          </w:p>
        </w:tc>
        <w:tc>
          <w:tcPr>
            <w:tcW w:type="dxa" w:w="2160"/>
          </w:tcPr>
          <w:p>
            <w:r/>
            <w:r>
              <w:t>Fail-safe, audit trail, masquage PII ; calibration, SLA rappel, drift</w:t>
            </w:r>
          </w:p>
        </w:tc>
        <w:tc>
          <w:tcPr>
            <w:tcW w:type="dxa" w:w="2160"/>
          </w:tcPr>
          <w:p>
            <w:r/>
            <w:r>
              <w:t>commits `phase0`, `phase1`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P3 — Deep Learning</w:t>
            </w:r>
          </w:p>
        </w:tc>
        <w:tc>
          <w:tcPr>
            <w:tcW w:type="dxa" w:w="2160"/>
          </w:tcPr>
          <w:p>
            <w:r/>
            <w:r>
              <w:t>09-19/06</w:t>
            </w:r>
          </w:p>
        </w:tc>
        <w:tc>
          <w:tcPr>
            <w:tcW w:type="dxa" w:w="2160"/>
          </w:tcPr>
          <w:p>
            <w:r/>
            <w:r>
              <w:t>Fine-tuning XLM-R v1/v3, page de test interactif</w:t>
            </w:r>
          </w:p>
        </w:tc>
        <w:tc>
          <w:tcPr>
            <w:tcW w:type="dxa" w:w="2160"/>
          </w:tcPr>
          <w:p>
            <w:r/>
            <w:r>
              <w:t>commits `xlmr`, `page de test`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P4 — Sécurité &amp; externalisation</w:t>
            </w:r>
          </w:p>
        </w:tc>
        <w:tc>
          <w:tcPr>
            <w:tcW w:type="dxa" w:w="2160"/>
          </w:tcPr>
          <w:p>
            <w:r/>
            <w:r>
              <w:t>07-17/07</w:t>
            </w:r>
          </w:p>
        </w:tc>
        <w:tc>
          <w:tcPr>
            <w:tcW w:type="dxa" w:w="2160"/>
          </w:tcPr>
          <w:p>
            <w:r/>
            <w:r>
              <w:t>API Azure, scraping, pgcrypto, rôles, refonte dashboard</w:t>
            </w:r>
          </w:p>
        </w:tc>
        <w:tc>
          <w:tcPr>
            <w:tcW w:type="dxa" w:w="2160"/>
          </w:tcPr>
          <w:p>
            <w:r/>
            <w:r>
              <w:t>commits `extract`, `security`, `console SQL`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P5 — Certification</w:t>
            </w:r>
          </w:p>
        </w:tc>
        <w:tc>
          <w:tcPr>
            <w:tcW w:type="dxa" w:w="2160"/>
          </w:tcPr>
          <w:p>
            <w:r/>
            <w:r>
              <w:t>14/07 → 29/08</w:t>
            </w:r>
          </w:p>
        </w:tc>
        <w:tc>
          <w:tcPr>
            <w:tcW w:type="dxa" w:w="2160"/>
          </w:tcPr>
          <w:p>
            <w:r/>
            <w:r>
              <w:t>Dossiers Blocs 1, 2, 3, 5</w:t>
            </w:r>
          </w:p>
        </w:tc>
        <w:tc>
          <w:tcPr>
            <w:tcW w:type="dxa" w:w="2160"/>
          </w:tcPr>
          <w:p>
            <w:r/>
            <w:r>
              <w:t>commits `docs(certification)`</w:t>
            </w:r>
          </w:p>
        </w:tc>
      </w:tr>
    </w:tbl>
    <w:p/>
    <w:p>
      <w:r>
        <w:rPr>
          <w:b/>
        </w:rPr>
        <w:t>Méthodologie : Kanban.</w:t>
      </w:r>
      <w:r>
        <w:t xml:space="preserve"> Flux continu (*à faire → en cours → fait*, travail en cours limité), jalonné par les échéances de certification. Le suivi est matérialisé par les runs pipeline (phases amont) puis par les commits Git (chaque commit = une carte terminée).</w:t>
      </w:r>
    </w:p>
    <w:p>
      <w:pPr>
        <w:pStyle w:val="Heading2"/>
      </w:pPr>
      <w:r>
        <w:t>Annexe B — Matrice RACI (scénario de déploiement)</w:t>
      </w:r>
    </w:p>
    <w:p>
      <w:r>
        <w:t xml:space="preserve">Pour l'industrialisation chez un client, la solution serait portée par une </w:t>
      </w:r>
      <w:r>
        <w:rPr>
          <w:b/>
        </w:rPr>
        <w:t>équipe cible de 3-4 personnes</w:t>
      </w:r>
      <w:r>
        <w:t>. Répartition des responsabilités (R = Réalise · A = Approuve · C = Consulté · I = Informé) 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Activité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Chef de projet data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Data engineer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ML engineer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Analyste métier</w:t>
            </w:r>
          </w:p>
        </w:tc>
      </w:tr>
      <w:tr>
        <w:tc>
          <w:tcPr>
            <w:tcW w:type="dxa" w:w="1728"/>
          </w:tcPr>
          <w:p>
            <w:r/>
            <w:r>
              <w:t>Cadrage &amp; spécifications</w:t>
            </w:r>
          </w:p>
        </w:tc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</w:t>
            </w:r>
          </w:p>
        </w:tc>
      </w:tr>
      <w:tr>
        <w:tc>
          <w:tcPr>
            <w:tcW w:type="dxa" w:w="1728"/>
          </w:tcPr>
          <w:p>
            <w:r/>
            <w:r>
              <w:t>Collecte / ETL Oracle</w:t>
            </w:r>
          </w:p>
        </w:tc>
        <w:tc>
          <w:tcPr>
            <w:tcW w:type="dxa" w:w="1728"/>
          </w:tcPr>
          <w:p>
            <w:r/>
            <w:r>
              <w:t>I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I</w:t>
            </w:r>
          </w:p>
        </w:tc>
      </w:tr>
      <w:tr>
        <w:tc>
          <w:tcPr>
            <w:tcW w:type="dxa" w:w="1728"/>
          </w:tcPr>
          <w:p>
            <w:r/>
            <w:r>
              <w:t>Modélisation ML &amp; scoring</w:t>
            </w:r>
          </w:p>
        </w:tc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/>
            <w:r>
              <w:t>C</w:t>
            </w:r>
          </w:p>
        </w:tc>
      </w:tr>
      <w:tr>
        <w:tc>
          <w:tcPr>
            <w:tcW w:type="dxa" w:w="1728"/>
          </w:tcPr>
          <w:p>
            <w:r/>
            <w:r>
              <w:t>Dashboard &amp; restitution</w:t>
            </w:r>
          </w:p>
        </w:tc>
        <w:tc>
          <w:tcPr>
            <w:tcW w:type="dxa" w:w="1728"/>
          </w:tcPr>
          <w:p>
            <w:r/>
            <w:r>
              <w:t>I</w:t>
            </w:r>
          </w:p>
        </w:tc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I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</w:t>
            </w:r>
          </w:p>
        </w:tc>
      </w:tr>
      <w:tr>
        <w:tc>
          <w:tcPr>
            <w:tcW w:type="dxa" w:w="1728"/>
          </w:tcPr>
          <w:p>
            <w:r/>
            <w:r>
              <w:t>Sécurité &amp; conformité RGPD</w:t>
            </w:r>
          </w:p>
        </w:tc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728"/>
          </w:tcPr>
          <w:p>
            <w:r/>
            <w:r>
              <w:t>I</w:t>
            </w:r>
          </w:p>
        </w:tc>
        <w:tc>
          <w:tcPr>
            <w:tcW w:type="dxa" w:w="1728"/>
          </w:tcPr>
          <w:p>
            <w:r/>
            <w:r>
              <w:t>C</w:t>
            </w:r>
          </w:p>
        </w:tc>
      </w:tr>
      <w:tr>
        <w:tc>
          <w:tcPr>
            <w:tcW w:type="dxa" w:w="1728"/>
          </w:tcPr>
          <w:p>
            <w:r/>
            <w:r>
              <w:t>Recette &amp; validation métier</w:t>
            </w:r>
          </w:p>
        </w:tc>
        <w:tc>
          <w:tcPr>
            <w:tcW w:type="dxa" w:w="1728"/>
          </w:tcPr>
          <w:p>
            <w:r/>
            <w:r>
              <w:t>A</w:t>
            </w:r>
          </w:p>
        </w:tc>
        <w:tc>
          <w:tcPr>
            <w:tcW w:type="dxa" w:w="1728"/>
          </w:tcPr>
          <w:p>
            <w:r/>
            <w:r>
              <w:t>I</w:t>
            </w:r>
          </w:p>
        </w:tc>
        <w:tc>
          <w:tcPr>
            <w:tcW w:type="dxa" w:w="1728"/>
          </w:tcPr>
          <w:p>
            <w:r/>
            <w:r>
              <w:t>I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</w:t>
            </w:r>
          </w:p>
        </w:tc>
      </w:tr>
      <w:tr>
        <w:tc>
          <w:tcPr>
            <w:tcW w:type="dxa" w:w="1728"/>
          </w:tcPr>
          <w:p>
            <w:r/>
            <w:r>
              <w:t>Documentation projet</w:t>
            </w:r>
          </w:p>
        </w:tc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>C</w:t>
            </w:r>
          </w:p>
        </w:tc>
        <w:tc>
          <w:tcPr>
            <w:tcW w:type="dxa" w:w="1728"/>
          </w:tcPr>
          <w:p>
            <w:r/>
            <w:r>
              <w:t xml:space="preserve">C / </w:t>
            </w:r>
            <w:r>
              <w:rPr>
                <w:b/>
              </w:rPr>
              <w:t>R</w:t>
            </w:r>
          </w:p>
        </w:tc>
      </w:tr>
    </w:tbl>
    <w:p/>
    <w:p>
      <w:r>
        <w:rPr>
          <w:b/>
        </w:rPr>
        <w:t>Équilibrage</w:t>
      </w:r>
      <w:r>
        <w:t xml:space="preserve"> : chaque membre porte un domaine principal (R) tout en étant consulté (C) sur les interfaces — ni surcharge d'une personne, ni silos. </w:t>
      </w:r>
      <w:r>
        <w:rPr>
          <w:b/>
        </w:rPr>
        <w:t>Accessibilité</w:t>
      </w:r>
      <w:r>
        <w:t xml:space="preserve"> : postes aménageables (matériel adapté, temps supplémentaire sur les tâches concernées) prévus dès la constitution de l'équipe.</w:t>
      </w:r>
    </w:p>
    <w:p>
      <w:pPr>
        <w:pStyle w:val="Heading2"/>
      </w:pPr>
      <w:r>
        <w:t>Annexe C — Grille de compétences et plan de formation</w:t>
      </w:r>
    </w:p>
    <w:p>
      <w:pPr>
        <w:pStyle w:val="Heading3"/>
      </w:pPr>
      <w:r>
        <w:t>Compétences actuelles vs requises (équipe cible)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Compétence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Niveau actuel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Niveau requis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Écart</w:t>
            </w:r>
          </w:p>
        </w:tc>
      </w:tr>
      <w:tr>
        <w:tc>
          <w:tcPr>
            <w:tcW w:type="dxa" w:w="2160"/>
          </w:tcPr>
          <w:p>
            <w:r/>
            <w:r>
              <w:t>SQL / modélisation dimensionnelle</w:t>
            </w:r>
          </w:p>
        </w:tc>
        <w:tc>
          <w:tcPr>
            <w:tcW w:type="dxa" w:w="2160"/>
          </w:tcPr>
          <w:p>
            <w:r/>
            <w:r>
              <w:t>Confirmé</w:t>
            </w:r>
          </w:p>
        </w:tc>
        <w:tc>
          <w:tcPr>
            <w:tcW w:type="dxa" w:w="2160"/>
          </w:tcPr>
          <w:p>
            <w:r/>
            <w:r>
              <w:t>Confirmé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t>ETL / orchestration (Prefect)</w:t>
            </w:r>
          </w:p>
        </w:tc>
        <w:tc>
          <w:tcPr>
            <w:tcW w:type="dxa" w:w="2160"/>
          </w:tcPr>
          <w:p>
            <w:r/>
            <w:r>
              <w:t>Intermédiaire</w:t>
            </w:r>
          </w:p>
        </w:tc>
        <w:tc>
          <w:tcPr>
            <w:tcW w:type="dxa" w:w="2160"/>
          </w:tcPr>
          <w:p>
            <w:r/>
            <w:r>
              <w:t>Confirmé</w:t>
            </w:r>
          </w:p>
        </w:tc>
        <w:tc>
          <w:tcPr>
            <w:tcW w:type="dxa" w:w="2160"/>
          </w:tcPr>
          <w:p>
            <w:r/>
            <w:r>
              <w:t>Modéré</w:t>
            </w:r>
          </w:p>
        </w:tc>
      </w:tr>
      <w:tr>
        <w:tc>
          <w:tcPr>
            <w:tcW w:type="dxa" w:w="2160"/>
          </w:tcPr>
          <w:p>
            <w:r/>
            <w:r>
              <w:t>ML classique (scikit-learn)</w:t>
            </w:r>
          </w:p>
        </w:tc>
        <w:tc>
          <w:tcPr>
            <w:tcW w:type="dxa" w:w="2160"/>
          </w:tcPr>
          <w:p>
            <w:r/>
            <w:r>
              <w:t>Confirmé</w:t>
            </w:r>
          </w:p>
        </w:tc>
        <w:tc>
          <w:tcPr>
            <w:tcW w:type="dxa" w:w="2160"/>
          </w:tcPr>
          <w:p>
            <w:r/>
            <w:r>
              <w:t>Confirmé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Deep Learning (transformers, XLM-R)</w:t>
            </w:r>
          </w:p>
        </w:tc>
        <w:tc>
          <w:tcPr>
            <w:tcW w:type="dxa" w:w="2160"/>
          </w:tcPr>
          <w:p>
            <w:r/>
            <w:r>
              <w:t>Débutant</w:t>
            </w:r>
          </w:p>
        </w:tc>
        <w:tc>
          <w:tcPr>
            <w:tcW w:type="dxa" w:w="2160"/>
          </w:tcPr>
          <w:p>
            <w:r/>
            <w:r>
              <w:t>Confirmé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Fort (critique)</w:t>
            </w:r>
          </w:p>
        </w:tc>
      </w:tr>
      <w:tr>
        <w:tc>
          <w:tcPr>
            <w:tcW w:type="dxa" w:w="2160"/>
          </w:tcPr>
          <w:p>
            <w:r/>
            <w:r>
              <w:t>Sécurité / RGPD</w:t>
            </w:r>
          </w:p>
        </w:tc>
        <w:tc>
          <w:tcPr>
            <w:tcW w:type="dxa" w:w="2160"/>
          </w:tcPr>
          <w:p>
            <w:r/>
            <w:r>
              <w:t>Intermédiaire</w:t>
            </w:r>
          </w:p>
        </w:tc>
        <w:tc>
          <w:tcPr>
            <w:tcW w:type="dxa" w:w="2160"/>
          </w:tcPr>
          <w:p>
            <w:r/>
            <w:r>
              <w:t>Confirmé</w:t>
            </w:r>
          </w:p>
        </w:tc>
        <w:tc>
          <w:tcPr>
            <w:tcW w:type="dxa" w:w="2160"/>
          </w:tcPr>
          <w:p>
            <w:r/>
            <w:r>
              <w:t>Modéré</w:t>
            </w:r>
          </w:p>
        </w:tc>
      </w:tr>
      <w:tr>
        <w:tc>
          <w:tcPr>
            <w:tcW w:type="dxa" w:w="2160"/>
          </w:tcPr>
          <w:p>
            <w:r/>
            <w:r>
              <w:t>Dataviz / restitution</w:t>
            </w:r>
          </w:p>
        </w:tc>
        <w:tc>
          <w:tcPr>
            <w:tcW w:type="dxa" w:w="2160"/>
          </w:tcPr>
          <w:p>
            <w:r/>
            <w:r>
              <w:t>Intermédiaire</w:t>
            </w:r>
          </w:p>
        </w:tc>
        <w:tc>
          <w:tcPr>
            <w:tcW w:type="dxa" w:w="2160"/>
          </w:tcPr>
          <w:p>
            <w:r/>
            <w:r>
              <w:t>Confirmé</w:t>
            </w:r>
          </w:p>
        </w:tc>
        <w:tc>
          <w:tcPr>
            <w:tcW w:type="dxa" w:w="2160"/>
          </w:tcPr>
          <w:p>
            <w:r/>
            <w:r>
              <w:t>Modéré</w:t>
            </w:r>
          </w:p>
        </w:tc>
      </w:tr>
    </w:tbl>
    <w:p/>
    <w:p>
      <w:pPr>
        <w:pStyle w:val="Heading3"/>
      </w:pPr>
      <w:r>
        <w:t>Plan de développement des compétences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Écart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Action de formation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Modalité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Priorité</w:t>
            </w:r>
          </w:p>
        </w:tc>
      </w:tr>
      <w:tr>
        <w:tc>
          <w:tcPr>
            <w:tcW w:type="dxa" w:w="2160"/>
          </w:tcPr>
          <w:p>
            <w:r/>
            <w:r>
              <w:t>Deep Learning</w:t>
            </w:r>
          </w:p>
        </w:tc>
        <w:tc>
          <w:tcPr>
            <w:tcW w:type="dxa" w:w="2160"/>
          </w:tcPr>
          <w:p>
            <w:r/>
            <w:r>
              <w:t>Formation transformers/HuggingFace + pair-programming sur XLM-R</w:t>
            </w:r>
          </w:p>
        </w:tc>
        <w:tc>
          <w:tcPr>
            <w:tcW w:type="dxa" w:w="2160"/>
          </w:tcPr>
          <w:p>
            <w:r/>
            <w:r>
              <w:t>En ligne + mentorat interne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Haute</w:t>
            </w:r>
          </w:p>
        </w:tc>
      </w:tr>
      <w:tr>
        <w:tc>
          <w:tcPr>
            <w:tcW w:type="dxa" w:w="2160"/>
          </w:tcPr>
          <w:p>
            <w:r/>
            <w:r>
              <w:t>ETL avancé</w:t>
            </w:r>
          </w:p>
        </w:tc>
        <w:tc>
          <w:tcPr>
            <w:tcW w:type="dxa" w:w="2160"/>
          </w:tcPr>
          <w:p>
            <w:r/>
            <w:r>
              <w:t>Montée en compétences Prefect (déploiements, orchestration)</w:t>
            </w:r>
          </w:p>
        </w:tc>
        <w:tc>
          <w:tcPr>
            <w:tcW w:type="dxa" w:w="2160"/>
          </w:tcPr>
          <w:p>
            <w:r/>
            <w:r>
              <w:t>Documentation + atelier</w:t>
            </w:r>
          </w:p>
        </w:tc>
        <w:tc>
          <w:tcPr>
            <w:tcW w:type="dxa" w:w="2160"/>
          </w:tcPr>
          <w:p>
            <w:r/>
            <w:r>
              <w:t>Moyenne</w:t>
            </w:r>
          </w:p>
        </w:tc>
      </w:tr>
      <w:tr>
        <w:tc>
          <w:tcPr>
            <w:tcW w:type="dxa" w:w="2160"/>
          </w:tcPr>
          <w:p>
            <w:r/>
            <w:r>
              <w:t>Sécurité / RGPD</w:t>
            </w:r>
          </w:p>
        </w:tc>
        <w:tc>
          <w:tcPr>
            <w:tcW w:type="dxa" w:w="2160"/>
          </w:tcPr>
          <w:p>
            <w:r/>
            <w:r>
              <w:t>Sensibilisation RGPD + revue avec un juriste</w:t>
            </w:r>
          </w:p>
        </w:tc>
        <w:tc>
          <w:tcPr>
            <w:tcW w:type="dxa" w:w="2160"/>
          </w:tcPr>
          <w:p>
            <w:r/>
            <w:r>
              <w:t>Atelier + accompagnement juridique</w:t>
            </w:r>
          </w:p>
        </w:tc>
        <w:tc>
          <w:tcPr>
            <w:tcW w:type="dxa" w:w="2160"/>
          </w:tcPr>
          <w:p>
            <w:r/>
            <w:r>
              <w:t>Moyenne</w:t>
            </w:r>
          </w:p>
        </w:tc>
      </w:tr>
      <w:tr>
        <w:tc>
          <w:tcPr>
            <w:tcW w:type="dxa" w:w="2160"/>
          </w:tcPr>
          <w:p>
            <w:r/>
            <w:r>
              <w:t>Dataviz</w:t>
            </w:r>
          </w:p>
        </w:tc>
        <w:tc>
          <w:tcPr>
            <w:tcW w:type="dxa" w:w="2160"/>
          </w:tcPr>
          <w:p>
            <w:r/>
            <w:r>
              <w:t>Bonnes pratiques (accessibilité, choix de représentation)</w:t>
            </w:r>
          </w:p>
        </w:tc>
        <w:tc>
          <w:tcPr>
            <w:tcW w:type="dxa" w:w="2160"/>
          </w:tcPr>
          <w:p>
            <w:r/>
            <w:r>
              <w:t>Auto-formation guidée</w:t>
            </w:r>
          </w:p>
        </w:tc>
        <w:tc>
          <w:tcPr>
            <w:tcW w:type="dxa" w:w="2160"/>
          </w:tcPr>
          <w:p>
            <w:r/>
            <w:r>
              <w:t>Basse</w:t>
            </w:r>
          </w:p>
        </w:tc>
      </w:tr>
    </w:tbl>
    <w:p/>
    <w:p>
      <w:r>
        <w:rPr>
          <w:b/>
        </w:rPr>
        <w:t>Prise en compte du handicap</w:t>
      </w:r>
      <w:r>
        <w:t xml:space="preserve"> : supports accessibles (contraste, sous-titrage des webinars), </w:t>
      </w:r>
      <w:r>
        <w:rPr>
          <w:b/>
        </w:rPr>
        <w:t>temps supplémentaire</w:t>
      </w:r>
      <w:r>
        <w:t xml:space="preserve"> pour les évaluations, aménagement matériel du poste (écran, périphériques ergonomiques).</w:t>
      </w:r>
    </w:p>
    <w:p>
      <w:pPr>
        <w:pStyle w:val="Heading2"/>
      </w:pPr>
      <w:r>
        <w:t>Annexe D — Cas d'arbitrage : LinearSVC vs XLM-RoBERTa v3</w:t>
      </w:r>
    </w:p>
    <w:p>
      <w:r>
        <w:rPr>
          <w:b/>
        </w:rPr>
        <w:t>Problématique.</w:t>
      </w:r>
      <w:r>
        <w:t xml:space="preserve"> Le projet dispose de deux classifieurs. Faut-il promouvoir le transformer deep-learning en production à la place du modèle linéaire ?</w:t>
      </w:r>
    </w:p>
    <w:p>
      <w:pPr>
        <w:pStyle w:val="Heading3"/>
      </w:pPr>
      <w:r>
        <w:t>Comparaison chiffrée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Critère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LinearSVC + Platt (production)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XLM-RoBERTa v3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Accuracy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0,907</w:t>
            </w:r>
          </w:p>
        </w:tc>
        <w:tc>
          <w:tcPr>
            <w:tcW w:type="dxa" w:w="2880"/>
          </w:tcPr>
          <w:p>
            <w:r/>
            <w:r>
              <w:t>0,838</w:t>
            </w:r>
          </w:p>
        </w:tc>
      </w:tr>
      <w:tr>
        <w:tc>
          <w:tcPr>
            <w:tcW w:type="dxa" w:w="2880"/>
          </w:tcPr>
          <w:p>
            <w:r/>
            <w:r>
              <w:t>Macro-F1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0,869</w:t>
            </w:r>
            <w:r>
              <w:t xml:space="preserve"> (CV) / 0,892 (holdout)</w:t>
            </w:r>
          </w:p>
        </w:tc>
        <w:tc>
          <w:tcPr>
            <w:tcW w:type="dxa" w:w="2880"/>
          </w:tcPr>
          <w:p>
            <w:r/>
            <w:r>
              <w:t>0,802</w:t>
            </w:r>
          </w:p>
        </w:tc>
      </w:tr>
      <w:tr>
        <w:tc>
          <w:tcPr>
            <w:tcW w:type="dxa" w:w="2880"/>
          </w:tcPr>
          <w:p>
            <w:r/>
            <w:r>
              <w:t>Calibration (ECE)</w:t>
            </w:r>
          </w:p>
        </w:tc>
        <w:tc>
          <w:tcPr>
            <w:tcW w:type="dxa" w:w="2880"/>
          </w:tcPr>
          <w:p>
            <w:r/>
            <w:r>
              <w:t>correcte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0,011 (excellente)</w:t>
            </w:r>
          </w:p>
        </w:tc>
      </w:tr>
      <w:tr>
        <w:tc>
          <w:tcPr>
            <w:tcW w:type="dxa" w:w="2880"/>
          </w:tcPr>
          <w:p>
            <w:r/>
            <w:r>
              <w:t>Rappel réglementé (SLA-strict)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Fin 0,89 · RH 0,94 · Ach 0,91</w:t>
            </w:r>
          </w:p>
        </w:tc>
      </w:tr>
      <w:tr>
        <w:tc>
          <w:tcPr>
            <w:tcW w:type="dxa" w:w="2880"/>
          </w:tcPr>
          <w:p>
            <w:r/>
            <w:r>
              <w:t>Poids de déploiement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quelques Mo</w:t>
            </w:r>
            <w:r>
              <w:t xml:space="preserve"> (`.joblib`)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2,1 Go</w:t>
            </w:r>
            <w:r>
              <w:t xml:space="preserve"> (`model.onnx.data`) + runtime ONNX</w:t>
            </w:r>
          </w:p>
        </w:tc>
      </w:tr>
      <w:tr>
        <w:tc>
          <w:tcPr>
            <w:tcW w:type="dxa" w:w="2880"/>
          </w:tcPr>
          <w:p>
            <w:r/>
            <w:r>
              <w:t>Intégration pipeline batch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oui</w:t>
            </w:r>
            <w:r>
              <w:t xml:space="preserve"> (scoring des 167 260 actifs)</w:t>
            </w:r>
          </w:p>
        </w:tc>
        <w:tc>
          <w:tcPr>
            <w:tcW w:type="dxa" w:w="2880"/>
          </w:tcPr>
          <w:p>
            <w:r/>
            <w:r>
              <w:t>non (démo interactive seulement)</w:t>
            </w:r>
          </w:p>
        </w:tc>
      </w:tr>
      <w:tr>
        <w:tc>
          <w:tcPr>
            <w:tcW w:type="dxa" w:w="2880"/>
          </w:tcPr>
          <w:p>
            <w:r/>
            <w:r>
              <w:t>Déterminisme / reproductibilité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élevé</w:t>
            </w:r>
          </w:p>
        </w:tc>
        <w:tc>
          <w:tcPr>
            <w:tcW w:type="dxa" w:w="2880"/>
          </w:tcPr>
          <w:p>
            <w:r/>
            <w:r>
              <w:t>moindre</w:t>
            </w:r>
          </w:p>
        </w:tc>
      </w:tr>
    </w:tbl>
    <w:p/>
    <w:p>
      <w:pPr>
        <w:pStyle w:val="Heading3"/>
      </w:pPr>
      <w:r>
        <w:t>Options et décision</w:t>
      </w:r>
    </w:p>
    <w:p>
      <w:pPr>
        <w:pStyle w:val="ListBullet"/>
      </w:pPr>
      <w:r>
        <w:rPr>
          <w:b/>
        </w:rPr>
        <w:t>Option A — Promouvoir XLM-R</w:t>
      </w:r>
      <w:r>
        <w:t xml:space="preserve"> : meilleure calibration et rappel réglementé, mais accuracy inférieure, 2,1 Go à déployer, non intégré au batch.</w:t>
      </w:r>
    </w:p>
    <w:p>
      <w:pPr>
        <w:pStyle w:val="ListBullet"/>
      </w:pPr>
      <w:r>
        <w:rPr>
          <w:b/>
        </w:rPr>
        <w:t>Option B — Garder LinearSVC</w:t>
      </w:r>
      <w:r>
        <w:t xml:space="preserve"> *(retenue)* : meilleure accuracy, quelques Mo, déterministe, déjà intégré.</w:t>
      </w:r>
    </w:p>
    <w:p>
      <w:pPr>
        <w:pStyle w:val="ListBullet"/>
      </w:pPr>
      <w:r>
        <w:rPr>
          <w:b/>
        </w:rPr>
        <w:t>Option C — Hybride</w:t>
      </w:r>
      <w:r>
        <w:t xml:space="preserve"> : cumulerait les forces mais doublerait la maintenance.</w:t>
      </w:r>
    </w:p>
    <w:p>
      <w:r>
        <w:rPr>
          <w:b/>
        </w:rPr>
        <w:t>Décision argumentée (Option B).</w:t>
      </w:r>
      <w:r>
        <w:t xml:space="preserve"> Sur la métrique décisive — l'accuracy — le LinearSVC </w:t>
      </w:r>
      <w:r>
        <w:rPr>
          <w:b/>
        </w:rPr>
        <w:t>devance</w:t>
      </w:r>
      <w:r>
        <w:t xml:space="preserve"> le transformer (0,91 vs 0,84). Le coût de déploiement du XLM-R (2,1 Go + ONNX) est disproportionné pour un produit « base substituable » installé chez un client. Enfin, les deux modèles étant évalués contre des labels générés par LLM, </w:t>
      </w:r>
      <w:r>
        <w:rPr>
          <w:b/>
        </w:rPr>
        <w:t>promouvoir le transformer sur un holdout non validé humainement ne serait pas justifiable</w:t>
      </w:r>
      <w:r>
        <w:t>. Le XLM-R reste un axe de recherche (Bloc 5), promouvable *si* une comparaison équitable sur vérité terrain humaine le justifie. Décision tracée dans `docs/B_classification_ml` et la fiche modèle.</w:t>
      </w:r>
    </w:p>
    <w:p>
      <w:pPr>
        <w:pStyle w:val="Heading2"/>
      </w:pPr>
      <w:r>
        <w:t>Annexe E — Plan d'actions RSE, sécurité, éthique et confidentialité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Sujet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Action mise en œuvre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Délai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Confidentialité (RGPD)</w:t>
            </w:r>
          </w:p>
        </w:tc>
        <w:tc>
          <w:tcPr>
            <w:tcW w:type="dxa" w:w="2160"/>
          </w:tcPr>
          <w:p>
            <w:r/>
            <w:r>
              <w:t>Masquage PII dans les exports + chiffrement `pgcrypto` au repos + minimisation (métadonnées seules, jamais le contenu métier)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Réalisé</w:t>
            </w:r>
          </w:p>
        </w:tc>
        <w:tc>
          <w:tcPr>
            <w:tcW w:type="dxa" w:w="2160"/>
          </w:tcPr>
          <w:p>
            <w:r/>
            <w:r>
              <w:t>P2, P4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Sécurité</w:t>
            </w:r>
          </w:p>
        </w:tc>
        <w:tc>
          <w:tcPr>
            <w:tcW w:type="dxa" w:w="2160"/>
          </w:tcPr>
          <w:p>
            <w:r/>
            <w:r>
              <w:t>Accès Oracle en lecture seule ; comptes PostgreSQL à moindre privilège (`pfe_reader` / `pfe_writer`)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Réalisé</w:t>
            </w:r>
          </w:p>
        </w:tc>
        <w:tc>
          <w:tcPr>
            <w:tcW w:type="dxa" w:w="2160"/>
          </w:tcPr>
          <w:p>
            <w:r/>
            <w:r>
              <w:t>P4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Éthique de l'IA</w:t>
            </w:r>
          </w:p>
        </w:tc>
        <w:tc>
          <w:tcPr>
            <w:tcW w:type="dxa" w:w="2160"/>
          </w:tcPr>
          <w:p>
            <w:r/>
            <w:r>
              <w:t>Publication de la justesse réelle (~58-75 %, pas le 89 % du holdout LLM) ; garde-fou `review_required` ; refus de promouvoir un modèle sur un holdout gonflé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Réalisé</w:t>
            </w:r>
          </w:p>
        </w:tc>
        <w:tc>
          <w:tcPr>
            <w:tcW w:type="dxa" w:w="2160"/>
          </w:tcPr>
          <w:p>
            <w:r/>
            <w:r>
              <w:t>P0-P3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Environnement (RSE)</w:t>
            </w:r>
          </w:p>
        </w:tc>
        <w:tc>
          <w:tcPr>
            <w:tcW w:type="dxa" w:w="2160"/>
          </w:tcPr>
          <w:p>
            <w:r/>
            <w:r>
              <w:t>Recommandations d'archivage réduisant le stockage « chaud » (rapport chaud/archive ×9,8) ; coûts et gains sourcés (API Azure)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Réalisé</w:t>
            </w:r>
          </w:p>
        </w:tc>
        <w:tc>
          <w:tcPr>
            <w:tcW w:type="dxa" w:w="2160"/>
          </w:tcPr>
          <w:p>
            <w:r/>
            <w:r>
              <w:t>P1, P4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Confidentialité — suite</w:t>
            </w:r>
          </w:p>
        </w:tc>
        <w:tc>
          <w:tcPr>
            <w:tcW w:type="dxa" w:w="2160"/>
          </w:tcPr>
          <w:p>
            <w:r/>
            <w:r>
              <w:t>Externaliser secrets et clés vers un coffre (HashiCorp / Azure Key Vault) au lieu de la ligne de commande</w:t>
            </w:r>
          </w:p>
        </w:tc>
        <w:tc>
          <w:tcPr>
            <w:tcW w:type="dxa" w:w="2160"/>
          </w:tcPr>
          <w:p>
            <w:r/>
            <w:r>
              <w:t>À faire</w:t>
            </w:r>
          </w:p>
        </w:tc>
        <w:tc>
          <w:tcPr>
            <w:tcW w:type="dxa" w:w="2160"/>
          </w:tcPr>
          <w:p>
            <w:r/>
            <w:r>
              <w:t>Court terme (industrialisation)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Environnement — suite</w:t>
            </w:r>
          </w:p>
        </w:tc>
        <w:tc>
          <w:tcPr>
            <w:tcW w:type="dxa" w:w="2160"/>
          </w:tcPr>
          <w:p>
            <w:r/>
            <w:r>
              <w:t>Quantifier l'empreinte CO₂ évitée (kWh par To archivé) pour chiffrer le bénéfice RSE</w:t>
            </w:r>
          </w:p>
        </w:tc>
        <w:tc>
          <w:tcPr>
            <w:tcW w:type="dxa" w:w="2160"/>
          </w:tcPr>
          <w:p>
            <w:r/>
            <w:r>
              <w:t>À faire</w:t>
            </w:r>
          </w:p>
        </w:tc>
        <w:tc>
          <w:tcPr>
            <w:tcW w:type="dxa" w:w="2160"/>
          </w:tcPr>
          <w:p>
            <w:r/>
            <w:r>
              <w:t>Moyen terme</w:t>
            </w:r>
          </w:p>
        </w:tc>
      </w:tr>
    </w:tbl>
    <w:p/>
    <w:p>
      <w:r>
        <w:rPr>
          <w:b/>
        </w:rPr>
        <w:t>Arbitrage de priorisation.</w:t>
      </w:r>
      <w:r>
        <w:t xml:space="preserve"> Face à des ressources limitées (projet solo), la </w:t>
      </w:r>
      <w:r>
        <w:rPr>
          <w:b/>
        </w:rPr>
        <w:t>confidentialité et l'éthique</w:t>
      </w:r>
      <w:r>
        <w:t xml:space="preserve"> — à risque légal et de confiance immédiat — ont été traitées avant l'optimisation fine de l'empreinte carbone, bénéfice déjà acquis par la nature même du projet (l'archivage réduit intrinsèquement la consommation).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B55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B55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