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520"/>
        <w:jc w:val="center"/>
      </w:pPr>
      <w:r>
        <w:rPr>
          <w:color w:val="5A6470"/>
          <w:sz w:val="22"/>
          <w:szCs w:val="22"/>
          <w:caps/>
          <w:spacing w:val="40"/>
        </w:rPr>
        <w:t xml:space="preserve">Annexes au dossier de certification</w:t>
      </w:r>
    </w:p>
    <w:p>
      <w:pPr>
        <w:spacing w:after="400"/>
        <w:jc w:val="center"/>
      </w:pPr>
      <w:r>
        <w:rPr>
          <w:b/>
          <w:color w:val="1F4E79"/>
          <w:sz w:val="52"/>
          <w:szCs w:val="52"/>
        </w:rPr>
        <w:t xml:space="preserve">Annexes</w:t>
      </w:r>
    </w:p>
    <w:p>
      <w:pPr>
        <w:jc w:val="center"/>
      </w:pPr>
      <w:r>
        <w:rPr>
          <w:color w:val="333333"/>
          <w:sz w:val="24"/>
          <w:szCs w:val="24"/>
        </w:rPr>
        <w:t xml:space="preserve">Titre visé : Ingénieur en science des données spécialisé en infrastructure data ou en apprentissage automatique — RNCP 39586 (niveau 7)</w:t>
      </w:r>
    </w:p>
    <w:p>
      <w:pPr>
        <w:jc w:val="center"/>
      </w:pPr>
      <w:r>
        <w:rPr>
          <w:color w:val="333333"/>
          <w:sz w:val="24"/>
          <w:szCs w:val="24"/>
        </w:rPr>
        <w:t xml:space="preserve">Projet : Solution de gouvernance et d’archivage intelligent des données d’un ERP PeopleSoft (Oracle EP92U038)</w:t>
      </w:r>
    </w:p>
    <w:p>
      <w:pPr>
        <w:spacing w:after="0"/>
        <w:jc w:val="center"/>
      </w:pPr>
      <w:r>
        <w:rPr>
          <w:color w:val="5A6470"/>
        </w:rPr>
        <w:t xml:space="preserve">Annexes A à I — livrables de pilotage du Bloc 3</w:t>
      </w:r>
    </w:p>
    <w:p>
      <w:pPr>
        <w:spacing w:after="0"/>
        <w:jc w:val="center"/>
      </w:pPr>
      <w:r>
        <w:rPr>
          <w:color w:val="5A6470"/>
        </w:rPr>
        <w:t xml:space="preserve">Pièce jointe au dossier « Bloc 3 — Élaborer et piloter un projet data »</w:t>
      </w:r>
    </w:p>
    <w:p>
      <w:pPr>
        <w:spacing w:after="0"/>
        <w:jc w:val="center"/>
      </w:pPr>
      <w:r>
        <w:rPr>
          <w:color w:val="5A6470"/>
        </w:rPr>
        <w:t xml:space="preserve">Exécution de référence : run_id = 9 — entrepôt PostgreSQL pfe_data_ia</w:t>
      </w:r>
    </w:p>
    <w:p>
      <w:pPr>
        <w:spacing w:before="2600" w:after="160"/>
        <w:jc w:val="center"/>
      </w:pPr>
      <w:r>
        <w:rPr>
          <w:b/>
          <w:color w:val="333333"/>
          <w:sz w:val="28"/>
          <w:szCs w:val="28"/>
        </w:rPr>
        <w:t xml:space="preserve">Candidat : HAOUARI Salem</w:t>
      </w:r>
    </w:p>
    <w:p>
      <w:pPr>
        <w:spacing w:after="160"/>
        <w:jc w:val="center"/>
      </w:pPr>
      <w:r>
        <w:rPr>
          <w:color w:val="333333"/>
          <w:sz w:val="24"/>
          <w:szCs w:val="24"/>
        </w:rPr>
        <w:t xml:space="preserve">Mastère 2 — filière IA &amp; Data · YNOV</w:t>
      </w:r>
    </w:p>
    <w:p>
      <w:pPr>
        <w:spacing w:after="0"/>
        <w:jc w:val="center"/>
      </w:pPr>
      <w:r>
        <w:rPr>
          <w:color w:val="5A6470"/>
          <w:sz w:val="24"/>
          <w:szCs w:val="24"/>
        </w:rPr>
        <w:t xml:space="preserve">Date : 29/07/2026</w:t>
      </w:r>
    </w:p>
    <w:p>
      <w:pPr>
        <w:pStyle w:val="Titre2"/>
      </w:pPr>
      <w:bookmarkStart w:id="900" w:name="_Toc_b900"/>
      <w:bookmarkEnd w:id="900"/>
      <w:r>
        <w:t xml:space="preserve">Annexe A — Planning détaillé</w:t>
      </w:r>
    </w:p>
    <w:p>
      <w:r>
        <w:t xml:space="preserve">Le projet a débuté le 9 mars 2026. Les dates de phase ne sont pas reconstruites : les premières sont établies par les runs journalisés dans </w:t>
      </w:r>
      <w:r>
        <w:rPr>
          <w:rFonts w:ascii="Consolas" w:hAnsi="Consolas"/>
          <w:sz w:val="18"/>
        </w:rPr>
        <w:t xml:space="preserve">admin.pipeline_run</w:t>
      </w:r>
      <w:r>
        <w:t xml:space="preserve">, les suivantes par l’historique Git, le dépôt ayant été formalisé en juin. La charge de l’annexe A.3, en revanche, est une estimation reconstituée, signalée comme telle.</w:t>
      </w:r>
    </w:p>
    <w:p>
      <w:pPr>
        <w:spacing w:before="120" w:after="60"/>
        <w:jc w:val="center"/>
      </w:pPr>
      <w:r>
        <w:drawing>
          <wp:inline distT="0" distB="0" distL="0" distR="0">
            <wp:extent cx="5486400" cy="2282608"/>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loc3_gantt.png"/>
                    <pic:cNvPicPr/>
                  </pic:nvPicPr>
                  <pic:blipFill>
                    <a:blip r:embed="rIdImg1"/>
                    <a:stretch>
                      <a:fillRect/>
                    </a:stretch>
                  </pic:blipFill>
                  <pic:spPr>
                    <a:xfrm>
                      <a:off x="0" y="0"/>
                      <a:ext cx="5486400" cy="2282608"/>
                    </a:xfrm>
                    <a:prstGeom prst="rect">
                      <a:avLst/>
                    </a:prstGeom>
                  </pic:spPr>
                </pic:pic>
              </a:graphicData>
            </a:graphic>
          </wp:inline>
        </w:drawing>
      </w:r>
    </w:p>
    <w:p>
      <w:pPr>
        <w:spacing w:after="200"/>
        <w:jc w:val="center"/>
        <w:ind w:left="480" w:right="480"/>
      </w:pPr>
      <w:r>
        <w:rPr>
          <w:i/>
          <w:color w:val="4B5563"/>
          <w:sz w:val="17"/>
          <w:szCs w:val="17"/>
        </w:rPr>
        <w:t xml:space="preserve">Diagramme de Gantt du projet : six phases réelles de mars à août 2026, datées par les runs du pipeline et l’historique Git.</w:t>
      </w:r>
    </w:p>
    <w:p>
      <w:pPr>
        <w:pStyle w:val="Titre3"/>
      </w:pPr>
      <w:bookmarkStart w:id="901" w:name="_Toc_b901"/>
      <w:bookmarkEnd w:id="901"/>
      <w:r>
        <w:t xml:space="preserve">A.1 Phases et lots de travail</w:t>
      </w:r>
    </w:p>
    <w:tbl>
      <w:tblPr>
        <w:tblStyle w:val="Grilleclaire-Accent1"/>
        <w:tblW w:w="8640" w:type="dxa"/>
        <w:jc w:val="center"/>
        <w:tblLayout w:type="fixed"/>
        <w:tblLook w:val="04A0" w:firstRow="1" w:lastRow="0" w:firstColumn="1" w:lastColumn="0" w:noHBand="0" w:noVBand="1"/>
      </w:tblPr>
      <w:tblGrid>
        <w:gridCol w:w="2359"/>
        <w:gridCol w:w="1264"/>
        <w:gridCol w:w="2685"/>
        <w:gridCol w:w="233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59" w:type="dxa"/>
          </w:tcPr>
          <w:p>
            <w:pPr>
              <w:spacing w:after="0" w:line="240" w:lineRule="auto"/>
              <w:jc w:val="left"/>
            </w:pPr>
            <w:r>
              <w:t xml:space="preserve">Phase</w:t>
            </w:r>
          </w:p>
        </w:tc>
        <w:tc>
          <w:tcPr>
            <w:tcW w:w="1264" w:type="dxa"/>
          </w:tcPr>
          <w:p>
            <w:pPr>
              <w:spacing w:after="0" w:line="240" w:lineRule="auto"/>
              <w:jc w:val="left"/>
            </w:pPr>
            <w:r>
              <w:t xml:space="preserve">Période</w:t>
            </w:r>
          </w:p>
        </w:tc>
        <w:tc>
          <w:tcPr>
            <w:tcW w:w="2685" w:type="dxa"/>
          </w:tcPr>
          <w:p>
            <w:pPr>
              <w:spacing w:after="0" w:line="240" w:lineRule="auto"/>
              <w:jc w:val="left"/>
            </w:pPr>
            <w:r>
              <w:t xml:space="preserve">Lots de travail</w:t>
            </w:r>
          </w:p>
        </w:tc>
        <w:tc>
          <w:tcPr>
            <w:tcW w:w="2332" w:type="dxa"/>
          </w:tcPr>
          <w:p>
            <w:pPr>
              <w:spacing w:after="0" w:line="240" w:lineRule="auto"/>
              <w:jc w:val="left"/>
            </w:pPr>
            <w:r>
              <w:t xml:space="preserve">Jalon de vérification</w:t>
            </w:r>
          </w:p>
        </w:tc>
      </w:tr>
      <w:tr>
        <w:trPr>
          <w:cantSplit/>
        </w:trPr>
        <w:tc>
          <w:tcPr>
            <w:cnfStyle w:val="001000000000" w:firstRow="0" w:lastRow="0" w:firstColumn="1" w:lastColumn="0" w:oddVBand="0" w:evenVBand="0" w:oddHBand="0" w:evenHBand="0" w:firstRowFirstColumn="0" w:firstRowLastColumn="0" w:lastRowFirstColumn="0" w:lastRowLastColumn="0"/>
            <w:tcW w:w="2359" w:type="dxa"/>
          </w:tcPr>
          <w:p>
            <w:pPr>
              <w:spacing w:after="0" w:line="240" w:lineRule="auto"/>
              <w:jc w:val="left"/>
            </w:pPr>
            <w:r>
              <w:rPr>
                <w:b/>
              </w:rPr>
              <w:t xml:space="preserve">P0</w:t>
            </w:r>
            <w:r>
              <w:t xml:space="preserve"> — Cadrage et collecte</w:t>
            </w:r>
          </w:p>
        </w:tc>
        <w:tc>
          <w:tcPr>
            <w:tcW w:w="1264" w:type="dxa"/>
          </w:tcPr>
          <w:p>
            <w:pPr>
              <w:spacing w:after="0" w:line="240" w:lineRule="auto"/>
              <w:jc w:val="left"/>
            </w:pPr>
            <w:r>
              <w:t xml:space="preserve">09/03 → 31/03</w:t>
            </w:r>
          </w:p>
        </w:tc>
        <w:tc>
          <w:tcPr>
            <w:tcW w:w="2685" w:type="dxa"/>
          </w:tcPr>
          <w:p>
            <w:pPr>
              <w:spacing w:after="0" w:line="240" w:lineRule="auto"/>
              <w:jc w:val="left"/>
            </w:pPr>
            <w:r>
              <w:t xml:space="preserve">Entretiens de cadrage · connexion Oracle · extraction du dictionnaire de données · premiers cycles de chargement</w:t>
            </w:r>
          </w:p>
        </w:tc>
        <w:tc>
          <w:tcPr>
            <w:tcW w:w="2332" w:type="dxa"/>
          </w:tcPr>
          <w:p>
            <w:pPr>
              <w:spacing w:after="0" w:line="240" w:lineRule="auto"/>
              <w:jc w:val="left"/>
            </w:pPr>
            <w:r>
              <w:t xml:space="preserve">Runs 3 (13/03) et 4 (23/03)</w:t>
            </w:r>
          </w:p>
        </w:tc>
      </w:tr>
      <w:tr>
        <w:trPr>
          <w:cantSplit/>
        </w:trPr>
        <w:tc>
          <w:tcPr>
            <w:cnfStyle w:val="001000000000" w:firstRow="0" w:lastRow="0" w:firstColumn="1" w:lastColumn="0" w:oddVBand="0" w:evenVBand="0" w:oddHBand="0" w:evenHBand="0" w:firstRowFirstColumn="0" w:firstRowLastColumn="0" w:lastRowFirstColumn="0" w:lastRowLastColumn="0"/>
            <w:tcW w:w="2359" w:type="dxa"/>
          </w:tcPr>
          <w:p>
            <w:pPr>
              <w:spacing w:after="0" w:line="240" w:lineRule="auto"/>
              <w:jc w:val="left"/>
            </w:pPr>
            <w:r>
              <w:rPr>
                <w:b/>
              </w:rPr>
              <w:t xml:space="preserve">P1</w:t>
            </w:r>
            <w:r>
              <w:t xml:space="preserve"> — Modélisation et analyse</w:t>
            </w:r>
          </w:p>
        </w:tc>
        <w:tc>
          <w:tcPr>
            <w:tcW w:w="1264" w:type="dxa"/>
          </w:tcPr>
          <w:p>
            <w:pPr>
              <w:spacing w:after="0" w:line="240" w:lineRule="auto"/>
              <w:jc w:val="left"/>
            </w:pPr>
            <w:r>
              <w:t xml:space="preserve">01/04 → 31/05</w:t>
            </w:r>
          </w:p>
        </w:tc>
        <w:tc>
          <w:tcPr>
            <w:tcW w:w="2685" w:type="dxa"/>
          </w:tcPr>
          <w:p>
            <w:pPr>
              <w:spacing w:after="0" w:line="240" w:lineRule="auto"/>
              <w:jc w:val="left"/>
            </w:pPr>
            <w:r>
              <w:t xml:space="preserve">Modèle en étoile · classification par domaine · comparaison inter-runs · projection de ROI</w:t>
            </w:r>
          </w:p>
        </w:tc>
        <w:tc>
          <w:tcPr>
            <w:tcW w:w="2332" w:type="dxa"/>
          </w:tcPr>
          <w:p>
            <w:pPr>
              <w:spacing w:after="0" w:line="240" w:lineRule="auto"/>
              <w:jc w:val="left"/>
            </w:pPr>
            <w:r>
              <w:t xml:space="preserve">Runs 5 (22/04) et 6 (31/05)</w:t>
            </w:r>
          </w:p>
        </w:tc>
      </w:tr>
      <w:tr>
        <w:trPr>
          <w:cantSplit/>
        </w:trPr>
        <w:tc>
          <w:tcPr>
            <w:cnfStyle w:val="001000000000" w:firstRow="0" w:lastRow="0" w:firstColumn="1" w:lastColumn="0" w:oddVBand="0" w:evenVBand="0" w:oddHBand="0" w:evenHBand="0" w:firstRowFirstColumn="0" w:firstRowLastColumn="0" w:lastRowFirstColumn="0" w:lastRowLastColumn="0"/>
            <w:tcW w:w="2359" w:type="dxa"/>
          </w:tcPr>
          <w:p>
            <w:pPr>
              <w:spacing w:after="0" w:line="240" w:lineRule="auto"/>
              <w:jc w:val="left"/>
            </w:pPr>
            <w:r>
              <w:rPr>
                <w:b/>
              </w:rPr>
              <w:t xml:space="preserve">P2</w:t>
            </w:r>
            <w:r>
              <w:t xml:space="preserve"> — Sûreté et fiabilité</w:t>
            </w:r>
          </w:p>
        </w:tc>
        <w:tc>
          <w:tcPr>
            <w:tcW w:w="1264" w:type="dxa"/>
          </w:tcPr>
          <w:p>
            <w:pPr>
              <w:spacing w:after="0" w:line="240" w:lineRule="auto"/>
              <w:jc w:val="left"/>
            </w:pPr>
            <w:r>
              <w:t xml:space="preserve">01/06 → 09/06</w:t>
            </w:r>
          </w:p>
        </w:tc>
        <w:tc>
          <w:tcPr>
            <w:tcW w:w="2685" w:type="dxa"/>
          </w:tcPr>
          <w:p>
            <w:pPr>
              <w:spacing w:after="0" w:line="240" w:lineRule="auto"/>
              <w:jc w:val="left"/>
            </w:pPr>
            <w:r>
              <w:t xml:space="preserve">Mécanismes de reprise · journal d’audit · masquage des données personnelles · calibration du modèle</w:t>
            </w:r>
          </w:p>
        </w:tc>
        <w:tc>
          <w:tcPr>
            <w:tcW w:w="2332" w:type="dxa"/>
          </w:tcPr>
          <w:p>
            <w:pPr>
              <w:spacing w:after="0" w:line="240" w:lineRule="auto"/>
              <w:jc w:val="left"/>
            </w:pPr>
            <w:r>
              <w:t xml:space="preserve">Commits </w:t>
            </w:r>
            <w:r>
              <w:rPr>
                <w:rFonts w:ascii="Consolas" w:hAnsi="Consolas"/>
                <w:sz w:val="18"/>
              </w:rPr>
              <w:t xml:space="preserve">phase0</w:t>
            </w:r>
            <w:r>
              <w:t xml:space="preserve">, </w:t>
            </w:r>
            <w:r>
              <w:rPr>
                <w:rFonts w:ascii="Consolas" w:hAnsi="Consolas"/>
                <w:sz w:val="18"/>
              </w:rPr>
              <w:t xml:space="preserve">phase1</w:t>
            </w:r>
          </w:p>
        </w:tc>
      </w:tr>
      <w:tr>
        <w:trPr>
          <w:cantSplit/>
        </w:trPr>
        <w:tc>
          <w:tcPr>
            <w:cnfStyle w:val="001000000000" w:firstRow="0" w:lastRow="0" w:firstColumn="1" w:lastColumn="0" w:oddVBand="0" w:evenVBand="0" w:oddHBand="0" w:evenHBand="0" w:firstRowFirstColumn="0" w:firstRowLastColumn="0" w:lastRowFirstColumn="0" w:lastRowLastColumn="0"/>
            <w:tcW w:w="2359" w:type="dxa"/>
          </w:tcPr>
          <w:p>
            <w:pPr>
              <w:spacing w:after="0" w:line="240" w:lineRule="auto"/>
              <w:jc w:val="left"/>
            </w:pPr>
            <w:r>
              <w:rPr>
                <w:b/>
              </w:rPr>
              <w:t xml:space="preserve">P3</w:t>
            </w:r>
            <w:r>
              <w:t xml:space="preserve"> — Apprentissage profond</w:t>
            </w:r>
          </w:p>
        </w:tc>
        <w:tc>
          <w:tcPr>
            <w:tcW w:w="1264" w:type="dxa"/>
          </w:tcPr>
          <w:p>
            <w:pPr>
              <w:spacing w:after="0" w:line="240" w:lineRule="auto"/>
              <w:jc w:val="left"/>
            </w:pPr>
            <w:r>
              <w:t xml:space="preserve">09/06 → 19/06</w:t>
            </w:r>
          </w:p>
        </w:tc>
        <w:tc>
          <w:tcPr>
            <w:tcW w:w="2685" w:type="dxa"/>
          </w:tcPr>
          <w:p>
            <w:pPr>
              <w:spacing w:after="0" w:line="240" w:lineRule="auto"/>
              <w:jc w:val="left"/>
            </w:pPr>
            <w:r>
              <w:t xml:space="preserve">Fine-tuning du transformeur, versions 1 et 3 · page de test interactif</w:t>
            </w:r>
          </w:p>
        </w:tc>
        <w:tc>
          <w:tcPr>
            <w:tcW w:w="2332" w:type="dxa"/>
          </w:tcPr>
          <w:p>
            <w:pPr>
              <w:spacing w:after="0" w:line="240" w:lineRule="auto"/>
              <w:jc w:val="left"/>
            </w:pPr>
            <w:r>
              <w:t xml:space="preserve">Commits </w:t>
            </w:r>
            <w:r>
              <w:rPr>
                <w:rFonts w:ascii="Consolas" w:hAnsi="Consolas"/>
                <w:sz w:val="18"/>
              </w:rPr>
              <w:t xml:space="preserve">xlmr</w:t>
            </w:r>
            <w:r>
              <w:t xml:space="preserve">, </w:t>
            </w:r>
            <w:r>
              <w:rPr>
                <w:rFonts w:ascii="Consolas" w:hAnsi="Consolas"/>
                <w:sz w:val="18"/>
              </w:rPr>
              <w:t xml:space="preserve">page de test</w:t>
            </w:r>
          </w:p>
        </w:tc>
      </w:tr>
      <w:tr>
        <w:trPr>
          <w:cantSplit/>
        </w:trPr>
        <w:tc>
          <w:tcPr>
            <w:cnfStyle w:val="001000000000" w:firstRow="0" w:lastRow="0" w:firstColumn="1" w:lastColumn="0" w:oddVBand="0" w:evenVBand="0" w:oddHBand="0" w:evenHBand="0" w:firstRowFirstColumn="0" w:firstRowLastColumn="0" w:lastRowFirstColumn="0" w:lastRowLastColumn="0"/>
            <w:tcW w:w="2359" w:type="dxa"/>
          </w:tcPr>
          <w:p>
            <w:pPr>
              <w:spacing w:after="0" w:line="240" w:lineRule="auto"/>
              <w:jc w:val="left"/>
            </w:pPr>
            <w:r>
              <w:rPr>
                <w:b/>
              </w:rPr>
              <w:t xml:space="preserve">P4</w:t>
            </w:r>
            <w:r>
              <w:t xml:space="preserve"> — Sécurité et sources externes</w:t>
            </w:r>
          </w:p>
        </w:tc>
        <w:tc>
          <w:tcPr>
            <w:tcW w:w="1264" w:type="dxa"/>
          </w:tcPr>
          <w:p>
            <w:pPr>
              <w:spacing w:after="0" w:line="240" w:lineRule="auto"/>
              <w:jc w:val="left"/>
            </w:pPr>
            <w:r>
              <w:t xml:space="preserve">07/07 → 17/07</w:t>
            </w:r>
          </w:p>
        </w:tc>
        <w:tc>
          <w:tcPr>
            <w:tcW w:w="2685" w:type="dxa"/>
          </w:tcPr>
          <w:p>
            <w:pPr>
              <w:spacing w:after="0" w:line="240" w:lineRule="auto"/>
              <w:jc w:val="left"/>
            </w:pPr>
            <w:r>
              <w:t xml:space="preserve">Tarifs par API · chiffrement </w:t>
            </w:r>
            <w:r>
              <w:rPr>
                <w:rFonts w:ascii="Consolas" w:hAnsi="Consolas"/>
                <w:sz w:val="18"/>
              </w:rPr>
              <w:t xml:space="preserve">pgcrypto</w:t>
            </w:r>
            <w:r>
              <w:t xml:space="preserve"> · rôles séparés · refonte du dashboard · console SQL</w:t>
            </w:r>
          </w:p>
        </w:tc>
        <w:tc>
          <w:tcPr>
            <w:tcW w:w="2332" w:type="dxa"/>
          </w:tcPr>
          <w:p>
            <w:pPr>
              <w:spacing w:after="0" w:line="240" w:lineRule="auto"/>
              <w:jc w:val="left"/>
            </w:pPr>
            <w:r>
              <w:t xml:space="preserve">Commits </w:t>
            </w:r>
            <w:r>
              <w:rPr>
                <w:rFonts w:ascii="Consolas" w:hAnsi="Consolas"/>
                <w:sz w:val="18"/>
              </w:rPr>
              <w:t xml:space="preserve">extract</w:t>
            </w:r>
            <w:r>
              <w:t xml:space="preserve">, </w:t>
            </w:r>
            <w:r>
              <w:rPr>
                <w:rFonts w:ascii="Consolas" w:hAnsi="Consolas"/>
                <w:sz w:val="18"/>
              </w:rPr>
              <w:t xml:space="preserve">security</w:t>
            </w:r>
            <w:r>
              <w:t xml:space="preserve">, </w:t>
            </w:r>
            <w:r>
              <w:rPr>
                <w:rFonts w:ascii="Consolas" w:hAnsi="Consolas"/>
                <w:sz w:val="18"/>
              </w:rPr>
              <w:t xml:space="preserve">console SQL</w:t>
            </w:r>
          </w:p>
        </w:tc>
      </w:tr>
      <w:tr>
        <w:trPr>
          <w:cantSplit/>
        </w:trPr>
        <w:tc>
          <w:tcPr>
            <w:cnfStyle w:val="001000000000" w:firstRow="0" w:lastRow="0" w:firstColumn="1" w:lastColumn="0" w:oddVBand="0" w:evenVBand="0" w:oddHBand="0" w:evenHBand="0" w:firstRowFirstColumn="0" w:firstRowLastColumn="0" w:lastRowFirstColumn="0" w:lastRowLastColumn="0"/>
            <w:tcW w:w="2359" w:type="dxa"/>
          </w:tcPr>
          <w:p>
            <w:pPr>
              <w:spacing w:after="0" w:line="240" w:lineRule="auto"/>
              <w:jc w:val="left"/>
            </w:pPr>
            <w:r>
              <w:rPr>
                <w:b/>
              </w:rPr>
              <w:t xml:space="preserve">P5</w:t>
            </w:r>
            <w:r>
              <w:t xml:space="preserve"> — Certification</w:t>
            </w:r>
          </w:p>
        </w:tc>
        <w:tc>
          <w:tcPr>
            <w:tcW w:w="1264" w:type="dxa"/>
          </w:tcPr>
          <w:p>
            <w:pPr>
              <w:spacing w:after="0" w:line="240" w:lineRule="auto"/>
              <w:jc w:val="left"/>
            </w:pPr>
            <w:r>
              <w:t xml:space="preserve">14/07 → 29/08</w:t>
            </w:r>
          </w:p>
        </w:tc>
        <w:tc>
          <w:tcPr>
            <w:tcW w:w="2685" w:type="dxa"/>
          </w:tcPr>
          <w:p>
            <w:pPr>
              <w:spacing w:after="0" w:line="240" w:lineRule="auto"/>
              <w:jc w:val="left"/>
            </w:pPr>
            <w:r>
              <w:t xml:space="preserve">Dossiers des Blocs 1, 2, 3 et 5 · annexes · préparation de la soutenance</w:t>
            </w:r>
          </w:p>
        </w:tc>
        <w:tc>
          <w:tcPr>
            <w:tcW w:w="2332" w:type="dxa"/>
          </w:tcPr>
          <w:p>
            <w:pPr>
              <w:spacing w:after="0" w:line="240" w:lineRule="auto"/>
              <w:jc w:val="left"/>
            </w:pPr>
            <w:r>
              <w:t xml:space="preserve">Dépôts des semaines 29, 31 et 34</w:t>
            </w:r>
          </w:p>
        </w:tc>
      </w:tr>
    </w:tbl>
    <w:p>
      <w:pPr>
        <w:spacing w:after="0" w:line="120" w:lineRule="exact"/>
      </w:pPr>
    </w:p>
    <w:p>
      <w:pPr>
        <w:pStyle w:val="Titre3"/>
      </w:pPr>
      <w:bookmarkStart w:id="902" w:name="_Toc_b902"/>
      <w:bookmarkEnd w:id="902"/>
      <w:r>
        <w:t xml:space="preserve">A.2 Jalons externes de certification</w:t>
      </w:r>
    </w:p>
    <w:tbl>
      <w:tblPr>
        <w:tblStyle w:val="Grilleclaire-Accent1"/>
        <w:tblW w:w="8640" w:type="dxa"/>
        <w:jc w:val="center"/>
        <w:tblLayout w:type="fixed"/>
        <w:tblLook w:val="04A0" w:firstRow="1" w:lastRow="0" w:firstColumn="1" w:lastColumn="0" w:noHBand="0" w:noVBand="1"/>
      </w:tblPr>
      <w:tblGrid>
        <w:gridCol w:w="3660"/>
        <w:gridCol w:w="3480"/>
        <w:gridCol w:w="150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Jalon</w:t>
            </w:r>
          </w:p>
        </w:tc>
        <w:tc>
          <w:tcPr>
            <w:tcW w:w="3480" w:type="dxa"/>
          </w:tcPr>
          <w:p>
            <w:pPr>
              <w:spacing w:after="0" w:line="240" w:lineRule="auto"/>
              <w:jc w:val="left"/>
            </w:pPr>
            <w:r>
              <w:t xml:space="preserve">Échéance</w:t>
            </w:r>
          </w:p>
        </w:tc>
        <w:tc>
          <w:tcPr>
            <w:tcW w:w="1500" w:type="dxa"/>
          </w:tcPr>
          <w:p>
            <w:pPr>
              <w:spacing w:after="0" w:line="240" w:lineRule="auto"/>
              <w:jc w:val="left"/>
            </w:pPr>
            <w:r>
              <w:t xml:space="preserve">Statut</w:t>
            </w:r>
          </w:p>
        </w:tc>
      </w:tr>
      <w:tr>
        <w:trPr>
          <w:cantSplit/>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Dépôt du Bloc 1, rendu écrit</w:t>
            </w:r>
          </w:p>
        </w:tc>
        <w:tc>
          <w:tcPr>
            <w:tcW w:w="3480" w:type="dxa"/>
          </w:tcPr>
          <w:p>
            <w:pPr>
              <w:spacing w:after="0" w:line="240" w:lineRule="auto"/>
              <w:jc w:val="left"/>
            </w:pPr>
            <w:r>
              <w:t xml:space="preserve">Semaine 29 — 13 au 17/07/2026</w:t>
            </w:r>
          </w:p>
        </w:tc>
        <w:tc>
          <w:tcPr>
            <w:tcW w:w="1500" w:type="dxa"/>
          </w:tcPr>
          <w:p>
            <w:pPr>
              <w:spacing w:after="0" w:line="240" w:lineRule="auto"/>
              <w:jc w:val="left"/>
            </w:pPr>
            <w:r>
              <w:t xml:space="preserve">Tenu</w:t>
            </w:r>
          </w:p>
        </w:tc>
      </w:tr>
      <w:tr>
        <w:trPr>
          <w:cantSplit/>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Dépôt du Bloc 2, rendu écrit</w:t>
            </w:r>
          </w:p>
        </w:tc>
        <w:tc>
          <w:tcPr>
            <w:tcW w:w="3480" w:type="dxa"/>
          </w:tcPr>
          <w:p>
            <w:pPr>
              <w:spacing w:after="0" w:line="240" w:lineRule="auto"/>
              <w:jc w:val="left"/>
            </w:pPr>
            <w:r>
              <w:t xml:space="preserve">Semaine 31 — 27 au 31/07/2026</w:t>
            </w:r>
          </w:p>
        </w:tc>
        <w:tc>
          <w:tcPr>
            <w:tcW w:w="1500" w:type="dxa"/>
          </w:tcPr>
          <w:p>
            <w:pPr>
              <w:spacing w:after="0" w:line="240" w:lineRule="auto"/>
              <w:jc w:val="left"/>
            </w:pPr>
            <w:r>
              <w:t xml:space="preserve">Tenu</w:t>
            </w:r>
          </w:p>
        </w:tc>
      </w:tr>
      <w:tr>
        <w:trPr>
          <w:cantSplit/>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Dépôt du Bloc 3, rendu écrit</w:t>
            </w:r>
          </w:p>
        </w:tc>
        <w:tc>
          <w:tcPr>
            <w:tcW w:w="3480" w:type="dxa"/>
          </w:tcPr>
          <w:p>
            <w:pPr>
              <w:spacing w:after="0" w:line="240" w:lineRule="auto"/>
              <w:jc w:val="left"/>
            </w:pPr>
            <w:r>
              <w:t xml:space="preserve">Semaine 34 — 17 au 21/08/2026</w:t>
            </w:r>
          </w:p>
        </w:tc>
        <w:tc>
          <w:tcPr>
            <w:tcW w:w="1500" w:type="dxa"/>
          </w:tcPr>
          <w:p>
            <w:pPr>
              <w:spacing w:after="0" w:line="240" w:lineRule="auto"/>
              <w:jc w:val="left"/>
            </w:pPr>
            <w:r>
              <w:t xml:space="preserve">En cours</w:t>
            </w:r>
          </w:p>
        </w:tc>
      </w:tr>
      <w:tr>
        <w:trPr>
          <w:cantSplit/>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Soutenance orale du bloc de spécialité</w:t>
            </w:r>
          </w:p>
        </w:tc>
        <w:tc>
          <w:tcPr>
            <w:tcW w:w="3480" w:type="dxa"/>
          </w:tcPr>
          <w:p>
            <w:pPr>
              <w:spacing w:after="0" w:line="240" w:lineRule="auto"/>
              <w:jc w:val="left"/>
            </w:pPr>
            <w:r>
              <w:t xml:space="preserve">Semaines 36 à 40 — 01 au 29/09/2026</w:t>
            </w:r>
          </w:p>
        </w:tc>
        <w:tc>
          <w:tcPr>
            <w:tcW w:w="1500" w:type="dxa"/>
          </w:tcPr>
          <w:p>
            <w:pPr>
              <w:spacing w:after="0" w:line="240" w:lineRule="auto"/>
              <w:jc w:val="left"/>
            </w:pPr>
            <w:r>
              <w:t xml:space="preserve">À venir</w:t>
            </w:r>
          </w:p>
        </w:tc>
      </w:tr>
    </w:tbl>
    <w:p>
      <w:pPr>
        <w:spacing w:after="0" w:line="120" w:lineRule="exact"/>
      </w:pPr>
    </w:p>
    <w:p>
      <w:pPr>
        <w:pStyle w:val="Titre3"/>
      </w:pPr>
      <w:bookmarkStart w:id="903" w:name="_Toc_b903"/>
      <w:bookmarkEnd w:id="903"/>
      <w:r>
        <w:t xml:space="preserve">A.3 Charge estimée par phase</w:t>
      </w:r>
    </w:p>
    <w:p>
      <w:r>
        <w:t xml:space="preserve">Le travail effectif représente </w:t>
      </w:r>
      <w:r>
        <w:rPr>
          <w:b/>
        </w:rPr>
        <w:t xml:space="preserve">quatre semaines, soit environ 20 jours-homme</w:t>
      </w:r>
      <w:r>
        <w:t xml:space="preserve">, réparties de façon discontinue sur les 173 jours calendaires du projet. La ventilation est </w:t>
      </w:r>
      <w:r>
        <w:rPr>
          <w:b/>
        </w:rPr>
        <w:t xml:space="preserve">reconstituée a posteriori</w:t>
      </w:r>
      <w:r>
        <w:t xml:space="preserve"> à partir des dates de phase, des runs journalisés et de la densité de l’historique Git. Il ne s’agit pas d’un relevé de temps.</w:t>
      </w:r>
    </w:p>
    <w:tbl>
      <w:tblPr>
        <w:tblStyle w:val="Grilleclaire-Accent1"/>
        <w:tblW w:w="8640" w:type="dxa"/>
        <w:jc w:val="center"/>
        <w:tblLayout w:type="fixed"/>
        <w:tblLook w:val="04A0" w:firstRow="1" w:lastRow="0" w:firstColumn="1" w:lastColumn="0" w:noHBand="0" w:noVBand="1"/>
      </w:tblPr>
      <w:tblGrid>
        <w:gridCol w:w="4748"/>
        <w:gridCol w:w="2105"/>
        <w:gridCol w:w="17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748" w:type="dxa"/>
          </w:tcPr>
          <w:p>
            <w:pPr>
              <w:spacing w:after="0" w:line="240" w:lineRule="auto"/>
              <w:jc w:val="left"/>
            </w:pPr>
            <w:r>
              <w:t xml:space="preserve">Phase</w:t>
            </w:r>
          </w:p>
        </w:tc>
        <w:tc>
          <w:tcPr>
            <w:tcW w:w="2105" w:type="dxa"/>
          </w:tcPr>
          <w:p>
            <w:pPr>
              <w:spacing w:after="0" w:line="240" w:lineRule="auto"/>
              <w:jc w:val="left"/>
            </w:pPr>
            <w:r>
              <w:t xml:space="preserve">Charge estimée</w:t>
            </w:r>
          </w:p>
        </w:tc>
        <w:tc>
          <w:tcPr>
            <w:tcW w:w="1787" w:type="dxa"/>
          </w:tcPr>
          <w:p>
            <w:pPr>
              <w:spacing w:after="0" w:line="240" w:lineRule="auto"/>
              <w:jc w:val="left"/>
            </w:pPr>
            <w:r>
              <w:t xml:space="preserve">Part du total</w:t>
            </w:r>
          </w:p>
        </w:tc>
      </w:tr>
      <w:tr>
        <w:trPr>
          <w:cantSplit/>
        </w:trPr>
        <w:tc>
          <w:tcPr>
            <w:cnfStyle w:val="001000000000" w:firstRow="0" w:lastRow="0" w:firstColumn="1" w:lastColumn="0" w:oddVBand="0" w:evenVBand="0" w:oddHBand="0" w:evenHBand="0" w:firstRowFirstColumn="0" w:firstRowLastColumn="0" w:lastRowFirstColumn="0" w:lastRowLastColumn="0"/>
            <w:tcW w:w="4748" w:type="dxa"/>
          </w:tcPr>
          <w:p>
            <w:pPr>
              <w:spacing w:after="0" w:line="240" w:lineRule="auto"/>
              <w:jc w:val="left"/>
            </w:pPr>
            <w:r>
              <w:t xml:space="preserve">P0 — Cadrage et collecte</w:t>
            </w:r>
          </w:p>
        </w:tc>
        <w:tc>
          <w:tcPr>
            <w:tcW w:w="2105" w:type="dxa"/>
          </w:tcPr>
          <w:p>
            <w:pPr>
              <w:spacing w:after="0" w:line="240" w:lineRule="auto"/>
              <w:jc w:val="left"/>
            </w:pPr>
            <w:r>
              <w:t xml:space="preserve">3 j·h</w:t>
            </w:r>
          </w:p>
        </w:tc>
        <w:tc>
          <w:tcPr>
            <w:tcW w:w="1787" w:type="dxa"/>
          </w:tcPr>
          <w:p>
            <w:pPr>
              <w:spacing w:after="0" w:line="240" w:lineRule="auto"/>
              <w:jc w:val="left"/>
            </w:pPr>
            <w:r>
              <w:t xml:space="preserve">15 %</w:t>
            </w:r>
          </w:p>
        </w:tc>
      </w:tr>
      <w:tr>
        <w:trPr>
          <w:cantSplit/>
        </w:trPr>
        <w:tc>
          <w:tcPr>
            <w:cnfStyle w:val="001000000000" w:firstRow="0" w:lastRow="0" w:firstColumn="1" w:lastColumn="0" w:oddVBand="0" w:evenVBand="0" w:oddHBand="0" w:evenHBand="0" w:firstRowFirstColumn="0" w:firstRowLastColumn="0" w:lastRowFirstColumn="0" w:lastRowLastColumn="0"/>
            <w:tcW w:w="4748" w:type="dxa"/>
          </w:tcPr>
          <w:p>
            <w:pPr>
              <w:spacing w:after="0" w:line="240" w:lineRule="auto"/>
              <w:jc w:val="left"/>
            </w:pPr>
            <w:r>
              <w:t xml:space="preserve">P1 — Modélisation et analyse</w:t>
            </w:r>
          </w:p>
        </w:tc>
        <w:tc>
          <w:tcPr>
            <w:tcW w:w="2105" w:type="dxa"/>
          </w:tcPr>
          <w:p>
            <w:pPr>
              <w:spacing w:after="0" w:line="240" w:lineRule="auto"/>
              <w:jc w:val="left"/>
            </w:pPr>
            <w:r>
              <w:t xml:space="preserve">7 j·h</w:t>
            </w:r>
          </w:p>
        </w:tc>
        <w:tc>
          <w:tcPr>
            <w:tcW w:w="1787" w:type="dxa"/>
          </w:tcPr>
          <w:p>
            <w:pPr>
              <w:spacing w:after="0" w:line="240" w:lineRule="auto"/>
              <w:jc w:val="left"/>
            </w:pPr>
            <w:r>
              <w:t xml:space="preserve">35 %</w:t>
            </w:r>
          </w:p>
        </w:tc>
      </w:tr>
      <w:tr>
        <w:trPr>
          <w:cantSplit/>
        </w:trPr>
        <w:tc>
          <w:tcPr>
            <w:cnfStyle w:val="001000000000" w:firstRow="0" w:lastRow="0" w:firstColumn="1" w:lastColumn="0" w:oddVBand="0" w:evenVBand="0" w:oddHBand="0" w:evenHBand="0" w:firstRowFirstColumn="0" w:firstRowLastColumn="0" w:lastRowFirstColumn="0" w:lastRowLastColumn="0"/>
            <w:tcW w:w="4748" w:type="dxa"/>
          </w:tcPr>
          <w:p>
            <w:pPr>
              <w:spacing w:after="0" w:line="240" w:lineRule="auto"/>
              <w:jc w:val="left"/>
            </w:pPr>
            <w:r>
              <w:t xml:space="preserve">P2 — Sûreté et fiabilité</w:t>
            </w:r>
          </w:p>
        </w:tc>
        <w:tc>
          <w:tcPr>
            <w:tcW w:w="2105" w:type="dxa"/>
          </w:tcPr>
          <w:p>
            <w:pPr>
              <w:spacing w:after="0" w:line="240" w:lineRule="auto"/>
              <w:jc w:val="left"/>
            </w:pPr>
            <w:r>
              <w:t xml:space="preserve">2 j·h</w:t>
            </w:r>
          </w:p>
        </w:tc>
        <w:tc>
          <w:tcPr>
            <w:tcW w:w="1787" w:type="dxa"/>
          </w:tcPr>
          <w:p>
            <w:pPr>
              <w:spacing w:after="0" w:line="240" w:lineRule="auto"/>
              <w:jc w:val="left"/>
            </w:pPr>
            <w:r>
              <w:t xml:space="preserve">10 %</w:t>
            </w:r>
          </w:p>
        </w:tc>
      </w:tr>
      <w:tr>
        <w:trPr>
          <w:cantSplit/>
        </w:trPr>
        <w:tc>
          <w:tcPr>
            <w:cnfStyle w:val="001000000000" w:firstRow="0" w:lastRow="0" w:firstColumn="1" w:lastColumn="0" w:oddVBand="0" w:evenVBand="0" w:oddHBand="0" w:evenHBand="0" w:firstRowFirstColumn="0" w:firstRowLastColumn="0" w:lastRowFirstColumn="0" w:lastRowLastColumn="0"/>
            <w:tcW w:w="4748" w:type="dxa"/>
          </w:tcPr>
          <w:p>
            <w:pPr>
              <w:spacing w:after="0" w:line="240" w:lineRule="auto"/>
              <w:jc w:val="left"/>
            </w:pPr>
            <w:r>
              <w:t xml:space="preserve">P3 — Apprentissage profond</w:t>
            </w:r>
          </w:p>
        </w:tc>
        <w:tc>
          <w:tcPr>
            <w:tcW w:w="2105" w:type="dxa"/>
          </w:tcPr>
          <w:p>
            <w:pPr>
              <w:spacing w:after="0" w:line="240" w:lineRule="auto"/>
              <w:jc w:val="left"/>
            </w:pPr>
            <w:r>
              <w:t xml:space="preserve">2 j·h</w:t>
            </w:r>
          </w:p>
        </w:tc>
        <w:tc>
          <w:tcPr>
            <w:tcW w:w="1787" w:type="dxa"/>
          </w:tcPr>
          <w:p>
            <w:pPr>
              <w:spacing w:after="0" w:line="240" w:lineRule="auto"/>
              <w:jc w:val="left"/>
            </w:pPr>
            <w:r>
              <w:t xml:space="preserve">10 %</w:t>
            </w:r>
          </w:p>
        </w:tc>
      </w:tr>
      <w:tr>
        <w:trPr>
          <w:cantSplit/>
        </w:trPr>
        <w:tc>
          <w:tcPr>
            <w:cnfStyle w:val="001000000000" w:firstRow="0" w:lastRow="0" w:firstColumn="1" w:lastColumn="0" w:oddVBand="0" w:evenVBand="0" w:oddHBand="0" w:evenHBand="0" w:firstRowFirstColumn="0" w:firstRowLastColumn="0" w:lastRowFirstColumn="0" w:lastRowLastColumn="0"/>
            <w:tcW w:w="4748" w:type="dxa"/>
          </w:tcPr>
          <w:p>
            <w:pPr>
              <w:spacing w:after="0" w:line="240" w:lineRule="auto"/>
              <w:jc w:val="left"/>
            </w:pPr>
            <w:r>
              <w:t xml:space="preserve">P4 — Sécurité et sources externes</w:t>
            </w:r>
          </w:p>
        </w:tc>
        <w:tc>
          <w:tcPr>
            <w:tcW w:w="2105" w:type="dxa"/>
          </w:tcPr>
          <w:p>
            <w:pPr>
              <w:spacing w:after="0" w:line="240" w:lineRule="auto"/>
              <w:jc w:val="left"/>
            </w:pPr>
            <w:r>
              <w:t xml:space="preserve">2 j·h</w:t>
            </w:r>
          </w:p>
        </w:tc>
        <w:tc>
          <w:tcPr>
            <w:tcW w:w="1787" w:type="dxa"/>
          </w:tcPr>
          <w:p>
            <w:pPr>
              <w:spacing w:after="0" w:line="240" w:lineRule="auto"/>
              <w:jc w:val="left"/>
            </w:pPr>
            <w:r>
              <w:t xml:space="preserve">10 %</w:t>
            </w:r>
          </w:p>
        </w:tc>
      </w:tr>
      <w:tr>
        <w:trPr>
          <w:cantSplit/>
        </w:trPr>
        <w:tc>
          <w:tcPr>
            <w:cnfStyle w:val="001000000000" w:firstRow="0" w:lastRow="0" w:firstColumn="1" w:lastColumn="0" w:oddVBand="0" w:evenVBand="0" w:oddHBand="0" w:evenHBand="0" w:firstRowFirstColumn="0" w:firstRowLastColumn="0" w:lastRowFirstColumn="0" w:lastRowLastColumn="0"/>
            <w:tcW w:w="4748" w:type="dxa"/>
          </w:tcPr>
          <w:p>
            <w:pPr>
              <w:spacing w:after="0" w:line="240" w:lineRule="auto"/>
              <w:jc w:val="left"/>
            </w:pPr>
            <w:r>
              <w:t xml:space="preserve">P5 — Certification</w:t>
            </w:r>
          </w:p>
        </w:tc>
        <w:tc>
          <w:tcPr>
            <w:tcW w:w="2105" w:type="dxa"/>
          </w:tcPr>
          <w:p>
            <w:pPr>
              <w:spacing w:after="0" w:line="240" w:lineRule="auto"/>
              <w:jc w:val="left"/>
            </w:pPr>
            <w:r>
              <w:t xml:space="preserve">4 j·h</w:t>
            </w:r>
          </w:p>
        </w:tc>
        <w:tc>
          <w:tcPr>
            <w:tcW w:w="1787" w:type="dxa"/>
          </w:tcPr>
          <w:p>
            <w:pPr>
              <w:spacing w:after="0" w:line="240" w:lineRule="auto"/>
              <w:jc w:val="left"/>
            </w:pPr>
            <w:r>
              <w:t xml:space="preserve">20 %</w:t>
            </w:r>
          </w:p>
        </w:tc>
      </w:tr>
      <w:tr>
        <w:trPr>
          <w:cantSplit/>
        </w:trPr>
        <w:tc>
          <w:tcPr>
            <w:cnfStyle w:val="001000000000" w:firstRow="0" w:lastRow="0" w:firstColumn="1" w:lastColumn="0" w:oddVBand="0" w:evenVBand="0" w:oddHBand="0" w:evenHBand="0" w:firstRowFirstColumn="0" w:firstRowLastColumn="0" w:lastRowFirstColumn="0" w:lastRowLastColumn="0"/>
            <w:tcW w:w="4748" w:type="dxa"/>
          </w:tcPr>
          <w:p>
            <w:pPr>
              <w:spacing w:after="0" w:line="240" w:lineRule="auto"/>
              <w:jc w:val="left"/>
            </w:pPr>
            <w:r>
              <w:rPr>
                <w:b/>
              </w:rPr>
              <w:t xml:space="preserve">Total</w:t>
            </w:r>
          </w:p>
        </w:tc>
        <w:tc>
          <w:tcPr>
            <w:tcW w:w="2105" w:type="dxa"/>
          </w:tcPr>
          <w:p>
            <w:pPr>
              <w:spacing w:after="0" w:line="240" w:lineRule="auto"/>
              <w:jc w:val="left"/>
            </w:pPr>
            <w:r>
              <w:rPr>
                <w:b/>
              </w:rPr>
              <w:t xml:space="preserve">20 j·h</w:t>
            </w:r>
          </w:p>
        </w:tc>
        <w:tc>
          <w:tcPr>
            <w:tcW w:w="1787" w:type="dxa"/>
          </w:tcPr>
          <w:p>
            <w:pPr>
              <w:spacing w:after="0" w:line="240" w:lineRule="auto"/>
              <w:jc w:val="left"/>
            </w:pPr>
            <w:r>
              <w:rPr>
                <w:b/>
              </w:rPr>
              <w:t xml:space="preserve">100 %</w:t>
            </w:r>
          </w:p>
        </w:tc>
      </w:tr>
    </w:tbl>
    <w:p>
      <w:pPr>
        <w:spacing w:after="0" w:line="120" w:lineRule="exact"/>
      </w:pPr>
    </w:p>
    <w:p>
      <w:r>
        <w:t xml:space="preserve">La période compte 173 jours calendaires, soit environ 124 jours ouvrés hors congés : la charge correspond donc à un taux d’occupation de l’ordre de </w:t>
      </w:r>
      <w:r>
        <w:rPr>
          <w:b/>
        </w:rPr>
        <w:t xml:space="preserve">16 %</w:t>
      </w:r>
      <w:r>
        <w:t xml:space="preserve">. Le projet a avancé par sessions courtes séparées de périodes sans activité, dont la plus longue — dix-sept jours, du 20 juin au 6 juillet — sépare les phases P3 et P4. Au taux de référence de l’annexe C, ces 20 jours-homme représentent un équivalent-charge de 10 000 € ; le coût réellement engagé est nul.</w:t>
      </w:r>
    </w:p>
    <w:p>
      <w:pPr>
        <w:pStyle w:val="Titre3"/>
      </w:pPr>
      <w:bookmarkStart w:id="904" w:name="_Toc_b904"/>
      <w:bookmarkEnd w:id="904"/>
      <w:r>
        <w:t xml:space="preserve">A.4 Méthodologie de conduite</w:t>
      </w:r>
    </w:p>
    <w:p>
      <w:r>
        <w:t xml:space="preserve">Kanban, en flux continu — </w:t>
      </w:r>
      <w:r>
        <w:rPr>
          <w:i/>
        </w:rPr>
        <w:t xml:space="preserve">à faire</w:t>
      </w:r>
      <w:r>
        <w:t xml:space="preserve">, </w:t>
      </w:r>
      <w:r>
        <w:rPr>
          <w:i/>
        </w:rPr>
        <w:t xml:space="preserve">en cours</w:t>
      </w:r>
      <w:r>
        <w:t xml:space="preserve">, </w:t>
      </w:r>
      <w:r>
        <w:rPr>
          <w:i/>
        </w:rPr>
        <w:t xml:space="preserve">fait</w:t>
      </w:r>
      <w:r>
        <w:t xml:space="preserve"> — avec limitation du travail en cours, jalonné par les échéances de certification. Le choix et ses bénéfices sont argumentés au § 3.1.1 du dossier.</w:t>
      </w:r>
    </w:p>
    <w:p>
      <w:pPr>
        <w:pStyle w:val="Titre2"/>
      </w:pPr>
      <w:bookmarkStart w:id="905" w:name="_Toc_b905"/>
      <w:bookmarkEnd w:id="905"/>
      <w:r>
        <w:t xml:space="preserve">Annexe B — Matrice RACI du scénario d’industrialisation</w:t>
      </w:r>
    </w:p>
    <w:p>
      <w:r>
        <w:t xml:space="preserve">Pour un déploiement chez un client, la solution serait portée par une équipe de trois à quatre personnes. R désigne celui qui réalise, A celui qui approuve, C celui qui est consulté, I celui qui est informé.</w:t>
      </w:r>
    </w:p>
    <w:tbl>
      <w:tblPr>
        <w:tblStyle w:val="Grilleclaire-Accent1"/>
        <w:tblW w:w="8640" w:type="dxa"/>
        <w:jc w:val="center"/>
        <w:tblLayout w:type="fixed"/>
        <w:tblLook w:val="04A0" w:firstRow="1" w:lastRow="0" w:firstColumn="1" w:lastColumn="0" w:noHBand="0" w:noVBand="1"/>
      </w:tblPr>
      <w:tblGrid>
        <w:gridCol w:w="2622"/>
        <w:gridCol w:w="1340"/>
        <w:gridCol w:w="1653"/>
        <w:gridCol w:w="1538"/>
        <w:gridCol w:w="14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22" w:type="dxa"/>
          </w:tcPr>
          <w:p>
            <w:pPr>
              <w:spacing w:after="0" w:line="240" w:lineRule="auto"/>
              <w:jc w:val="left"/>
            </w:pPr>
            <w:r>
              <w:t xml:space="preserve">Activité</w:t>
            </w:r>
          </w:p>
        </w:tc>
        <w:tc>
          <w:tcPr>
            <w:tcW w:w="1340" w:type="dxa"/>
          </w:tcPr>
          <w:p>
            <w:pPr>
              <w:spacing w:after="0" w:line="240" w:lineRule="auto"/>
              <w:jc w:val="left"/>
            </w:pPr>
            <w:r>
              <w:t xml:space="preserve">Chef de projet data</w:t>
            </w:r>
          </w:p>
        </w:tc>
        <w:tc>
          <w:tcPr>
            <w:tcW w:w="1653" w:type="dxa"/>
          </w:tcPr>
          <w:p>
            <w:pPr>
              <w:spacing w:after="0" w:line="240" w:lineRule="auto"/>
              <w:jc w:val="left"/>
            </w:pPr>
            <w:r>
              <w:t xml:space="preserve">Ingénieur données</w:t>
            </w:r>
          </w:p>
        </w:tc>
        <w:tc>
          <w:tcPr>
            <w:tcW w:w="1538" w:type="dxa"/>
          </w:tcPr>
          <w:p>
            <w:pPr>
              <w:spacing w:after="0" w:line="240" w:lineRule="auto"/>
              <w:jc w:val="left"/>
            </w:pPr>
            <w:r>
              <w:t xml:space="preserve">Ingénieur ML</w:t>
            </w:r>
          </w:p>
        </w:tc>
        <w:tc>
          <w:tcPr>
            <w:tcW w:w="1487" w:type="dxa"/>
          </w:tcPr>
          <w:p>
            <w:pPr>
              <w:spacing w:after="0" w:line="240" w:lineRule="auto"/>
              <w:jc w:val="left"/>
            </w:pPr>
            <w:r>
              <w:t xml:space="preserve">Analyste métier</w:t>
            </w:r>
          </w:p>
        </w:tc>
      </w:tr>
      <w:tr>
        <w:trPr>
          <w:cantSplit/>
        </w:trPr>
        <w:tc>
          <w:tcPr>
            <w:cnfStyle w:val="001000000000" w:firstRow="0" w:lastRow="0" w:firstColumn="1" w:lastColumn="0" w:oddVBand="0" w:evenVBand="0" w:oddHBand="0" w:evenHBand="0" w:firstRowFirstColumn="0" w:firstRowLastColumn="0" w:lastRowFirstColumn="0" w:lastRowLastColumn="0"/>
            <w:tcW w:w="2622" w:type="dxa"/>
          </w:tcPr>
          <w:p>
            <w:pPr>
              <w:spacing w:after="0" w:line="240" w:lineRule="auto"/>
              <w:jc w:val="left"/>
            </w:pPr>
            <w:r>
              <w:t xml:space="preserve">Cadrage et spécifications</w:t>
            </w:r>
          </w:p>
        </w:tc>
        <w:tc>
          <w:tcPr>
            <w:tcW w:w="1340" w:type="dxa"/>
          </w:tcPr>
          <w:p>
            <w:pPr>
              <w:spacing w:after="0" w:line="240" w:lineRule="auto"/>
              <w:jc w:val="left"/>
            </w:pPr>
            <w:r>
              <w:t xml:space="preserve">A</w:t>
            </w:r>
          </w:p>
        </w:tc>
        <w:tc>
          <w:tcPr>
            <w:tcW w:w="1653" w:type="dxa"/>
          </w:tcPr>
          <w:p>
            <w:pPr>
              <w:spacing w:after="0" w:line="240" w:lineRule="auto"/>
              <w:jc w:val="left"/>
            </w:pPr>
            <w:r>
              <w:t xml:space="preserve">C</w:t>
            </w:r>
          </w:p>
        </w:tc>
        <w:tc>
          <w:tcPr>
            <w:tcW w:w="1538" w:type="dxa"/>
          </w:tcPr>
          <w:p>
            <w:pPr>
              <w:spacing w:after="0" w:line="240" w:lineRule="auto"/>
              <w:jc w:val="left"/>
            </w:pPr>
            <w:r>
              <w:t xml:space="preserve">C</w:t>
            </w:r>
          </w:p>
        </w:tc>
        <w:tc>
          <w:tcPr>
            <w:tcW w:w="1487" w:type="dxa"/>
          </w:tcPr>
          <w:p>
            <w:pPr>
              <w:spacing w:after="0" w:line="240" w:lineRule="auto"/>
              <w:jc w:val="left"/>
            </w:pPr>
            <w:r>
              <w:rPr>
                <w:b/>
              </w:rPr>
              <w:t xml:space="preserve">R</w:t>
            </w:r>
          </w:p>
        </w:tc>
      </w:tr>
      <w:tr>
        <w:trPr>
          <w:cantSplit/>
        </w:trPr>
        <w:tc>
          <w:tcPr>
            <w:cnfStyle w:val="001000000000" w:firstRow="0" w:lastRow="0" w:firstColumn="1" w:lastColumn="0" w:oddVBand="0" w:evenVBand="0" w:oddHBand="0" w:evenHBand="0" w:firstRowFirstColumn="0" w:firstRowLastColumn="0" w:lastRowFirstColumn="0" w:lastRowLastColumn="0"/>
            <w:tcW w:w="2622" w:type="dxa"/>
          </w:tcPr>
          <w:p>
            <w:pPr>
              <w:spacing w:after="0" w:line="240" w:lineRule="auto"/>
              <w:jc w:val="left"/>
            </w:pPr>
            <w:r>
              <w:t xml:space="preserve">Collecte et ETL Oracle</w:t>
            </w:r>
          </w:p>
        </w:tc>
        <w:tc>
          <w:tcPr>
            <w:tcW w:w="1340" w:type="dxa"/>
          </w:tcPr>
          <w:p>
            <w:pPr>
              <w:spacing w:after="0" w:line="240" w:lineRule="auto"/>
              <w:jc w:val="left"/>
            </w:pPr>
            <w:r>
              <w:t xml:space="preserve">I</w:t>
            </w:r>
          </w:p>
        </w:tc>
        <w:tc>
          <w:tcPr>
            <w:tcW w:w="1653" w:type="dxa"/>
          </w:tcPr>
          <w:p>
            <w:pPr>
              <w:spacing w:after="0" w:line="240" w:lineRule="auto"/>
              <w:jc w:val="left"/>
            </w:pPr>
            <w:r>
              <w:rPr>
                <w:b/>
              </w:rPr>
              <w:t xml:space="preserve">R</w:t>
            </w:r>
          </w:p>
        </w:tc>
        <w:tc>
          <w:tcPr>
            <w:tcW w:w="1538" w:type="dxa"/>
          </w:tcPr>
          <w:p>
            <w:pPr>
              <w:spacing w:after="0" w:line="240" w:lineRule="auto"/>
              <w:jc w:val="left"/>
            </w:pPr>
            <w:r>
              <w:t xml:space="preserve">C</w:t>
            </w:r>
          </w:p>
        </w:tc>
        <w:tc>
          <w:tcPr>
            <w:tcW w:w="1487" w:type="dxa"/>
          </w:tcPr>
          <w:p>
            <w:pPr>
              <w:spacing w:after="0" w:line="240" w:lineRule="auto"/>
              <w:jc w:val="left"/>
            </w:pPr>
            <w:r>
              <w:t xml:space="preserve">I</w:t>
            </w:r>
          </w:p>
        </w:tc>
      </w:tr>
      <w:tr>
        <w:trPr>
          <w:cantSplit/>
        </w:trPr>
        <w:tc>
          <w:tcPr>
            <w:cnfStyle w:val="001000000000" w:firstRow="0" w:lastRow="0" w:firstColumn="1" w:lastColumn="0" w:oddVBand="0" w:evenVBand="0" w:oddHBand="0" w:evenHBand="0" w:firstRowFirstColumn="0" w:firstRowLastColumn="0" w:lastRowFirstColumn="0" w:lastRowLastColumn="0"/>
            <w:tcW w:w="2622" w:type="dxa"/>
          </w:tcPr>
          <w:p>
            <w:pPr>
              <w:spacing w:after="0" w:line="240" w:lineRule="auto"/>
              <w:jc w:val="left"/>
            </w:pPr>
            <w:r>
              <w:t xml:space="preserve">Modélisation ML et scoring</w:t>
            </w:r>
          </w:p>
        </w:tc>
        <w:tc>
          <w:tcPr>
            <w:tcW w:w="1340" w:type="dxa"/>
          </w:tcPr>
          <w:p>
            <w:pPr>
              <w:spacing w:after="0" w:line="240" w:lineRule="auto"/>
              <w:jc w:val="left"/>
            </w:pPr>
            <w:r>
              <w:t xml:space="preserve">A</w:t>
            </w:r>
          </w:p>
        </w:tc>
        <w:tc>
          <w:tcPr>
            <w:tcW w:w="1653" w:type="dxa"/>
          </w:tcPr>
          <w:p>
            <w:pPr>
              <w:spacing w:after="0" w:line="240" w:lineRule="auto"/>
              <w:jc w:val="left"/>
            </w:pPr>
            <w:r>
              <w:t xml:space="preserve">C</w:t>
            </w:r>
          </w:p>
        </w:tc>
        <w:tc>
          <w:tcPr>
            <w:tcW w:w="1538" w:type="dxa"/>
          </w:tcPr>
          <w:p>
            <w:pPr>
              <w:spacing w:after="0" w:line="240" w:lineRule="auto"/>
              <w:jc w:val="left"/>
            </w:pPr>
            <w:r>
              <w:rPr>
                <w:b/>
              </w:rPr>
              <w:t xml:space="preserve">R</w:t>
            </w:r>
          </w:p>
        </w:tc>
        <w:tc>
          <w:tcPr>
            <w:tcW w:w="1487" w:type="dxa"/>
          </w:tcPr>
          <w:p>
            <w:pPr>
              <w:spacing w:after="0" w:line="240" w:lineRule="auto"/>
              <w:jc w:val="left"/>
            </w:pPr>
            <w:r>
              <w:t xml:space="preserve">C</w:t>
            </w:r>
          </w:p>
        </w:tc>
      </w:tr>
      <w:tr>
        <w:trPr>
          <w:cantSplit/>
        </w:trPr>
        <w:tc>
          <w:tcPr>
            <w:cnfStyle w:val="001000000000" w:firstRow="0" w:lastRow="0" w:firstColumn="1" w:lastColumn="0" w:oddVBand="0" w:evenVBand="0" w:oddHBand="0" w:evenHBand="0" w:firstRowFirstColumn="0" w:firstRowLastColumn="0" w:lastRowFirstColumn="0" w:lastRowLastColumn="0"/>
            <w:tcW w:w="2622" w:type="dxa"/>
          </w:tcPr>
          <w:p>
            <w:pPr>
              <w:spacing w:after="0" w:line="240" w:lineRule="auto"/>
              <w:jc w:val="left"/>
            </w:pPr>
            <w:r>
              <w:t xml:space="preserve">Dashboard et restitution</w:t>
            </w:r>
          </w:p>
        </w:tc>
        <w:tc>
          <w:tcPr>
            <w:tcW w:w="1340" w:type="dxa"/>
          </w:tcPr>
          <w:p>
            <w:pPr>
              <w:spacing w:after="0" w:line="240" w:lineRule="auto"/>
              <w:jc w:val="left"/>
            </w:pPr>
            <w:r>
              <w:t xml:space="preserve">I</w:t>
            </w:r>
          </w:p>
        </w:tc>
        <w:tc>
          <w:tcPr>
            <w:tcW w:w="1653" w:type="dxa"/>
          </w:tcPr>
          <w:p>
            <w:pPr>
              <w:spacing w:after="0" w:line="240" w:lineRule="auto"/>
              <w:jc w:val="left"/>
            </w:pPr>
            <w:r>
              <w:t xml:space="preserve">C</w:t>
            </w:r>
          </w:p>
        </w:tc>
        <w:tc>
          <w:tcPr>
            <w:tcW w:w="1538" w:type="dxa"/>
          </w:tcPr>
          <w:p>
            <w:pPr>
              <w:spacing w:after="0" w:line="240" w:lineRule="auto"/>
              <w:jc w:val="left"/>
            </w:pPr>
            <w:r>
              <w:t xml:space="preserve">I</w:t>
            </w:r>
          </w:p>
        </w:tc>
        <w:tc>
          <w:tcPr>
            <w:tcW w:w="1487" w:type="dxa"/>
          </w:tcPr>
          <w:p>
            <w:pPr>
              <w:spacing w:after="0" w:line="240" w:lineRule="auto"/>
              <w:jc w:val="left"/>
            </w:pPr>
            <w:r>
              <w:rPr>
                <w:b/>
              </w:rPr>
              <w:t xml:space="preserve">R</w:t>
            </w:r>
          </w:p>
        </w:tc>
      </w:tr>
      <w:tr>
        <w:trPr>
          <w:cantSplit/>
        </w:trPr>
        <w:tc>
          <w:tcPr>
            <w:cnfStyle w:val="001000000000" w:firstRow="0" w:lastRow="0" w:firstColumn="1" w:lastColumn="0" w:oddVBand="0" w:evenVBand="0" w:oddHBand="0" w:evenHBand="0" w:firstRowFirstColumn="0" w:firstRowLastColumn="0" w:lastRowFirstColumn="0" w:lastRowLastColumn="0"/>
            <w:tcW w:w="2622" w:type="dxa"/>
          </w:tcPr>
          <w:p>
            <w:pPr>
              <w:spacing w:after="0" w:line="240" w:lineRule="auto"/>
              <w:jc w:val="left"/>
            </w:pPr>
            <w:r>
              <w:t xml:space="preserve">Sécurité et conformité RGPD</w:t>
            </w:r>
          </w:p>
        </w:tc>
        <w:tc>
          <w:tcPr>
            <w:tcW w:w="1340" w:type="dxa"/>
          </w:tcPr>
          <w:p>
            <w:pPr>
              <w:spacing w:after="0" w:line="240" w:lineRule="auto"/>
              <w:jc w:val="left"/>
            </w:pPr>
            <w:r>
              <w:t xml:space="preserve">A</w:t>
            </w:r>
          </w:p>
        </w:tc>
        <w:tc>
          <w:tcPr>
            <w:tcW w:w="1653" w:type="dxa"/>
          </w:tcPr>
          <w:p>
            <w:pPr>
              <w:spacing w:after="0" w:line="240" w:lineRule="auto"/>
              <w:jc w:val="left"/>
            </w:pPr>
            <w:r>
              <w:rPr>
                <w:b/>
              </w:rPr>
              <w:t xml:space="preserve">R</w:t>
            </w:r>
          </w:p>
        </w:tc>
        <w:tc>
          <w:tcPr>
            <w:tcW w:w="1538" w:type="dxa"/>
          </w:tcPr>
          <w:p>
            <w:pPr>
              <w:spacing w:after="0" w:line="240" w:lineRule="auto"/>
              <w:jc w:val="left"/>
            </w:pPr>
            <w:r>
              <w:t xml:space="preserve">I</w:t>
            </w:r>
          </w:p>
        </w:tc>
        <w:tc>
          <w:tcPr>
            <w:tcW w:w="1487" w:type="dxa"/>
          </w:tcPr>
          <w:p>
            <w:pPr>
              <w:spacing w:after="0" w:line="240" w:lineRule="auto"/>
              <w:jc w:val="left"/>
            </w:pPr>
            <w:r>
              <w:t xml:space="preserve">C</w:t>
            </w:r>
          </w:p>
        </w:tc>
      </w:tr>
      <w:tr>
        <w:trPr>
          <w:cantSplit/>
        </w:trPr>
        <w:tc>
          <w:tcPr>
            <w:cnfStyle w:val="001000000000" w:firstRow="0" w:lastRow="0" w:firstColumn="1" w:lastColumn="0" w:oddVBand="0" w:evenVBand="0" w:oddHBand="0" w:evenHBand="0" w:firstRowFirstColumn="0" w:firstRowLastColumn="0" w:lastRowFirstColumn="0" w:lastRowLastColumn="0"/>
            <w:tcW w:w="2622" w:type="dxa"/>
          </w:tcPr>
          <w:p>
            <w:pPr>
              <w:spacing w:after="0" w:line="240" w:lineRule="auto"/>
              <w:jc w:val="left"/>
            </w:pPr>
            <w:r>
              <w:t xml:space="preserve">Recette et validation métier</w:t>
            </w:r>
          </w:p>
        </w:tc>
        <w:tc>
          <w:tcPr>
            <w:tcW w:w="1340" w:type="dxa"/>
          </w:tcPr>
          <w:p>
            <w:pPr>
              <w:spacing w:after="0" w:line="240" w:lineRule="auto"/>
              <w:jc w:val="left"/>
            </w:pPr>
            <w:r>
              <w:t xml:space="preserve">A</w:t>
            </w:r>
          </w:p>
        </w:tc>
        <w:tc>
          <w:tcPr>
            <w:tcW w:w="1653" w:type="dxa"/>
          </w:tcPr>
          <w:p>
            <w:pPr>
              <w:spacing w:after="0" w:line="240" w:lineRule="auto"/>
              <w:jc w:val="left"/>
            </w:pPr>
            <w:r>
              <w:t xml:space="preserve">I</w:t>
            </w:r>
          </w:p>
        </w:tc>
        <w:tc>
          <w:tcPr>
            <w:tcW w:w="1538" w:type="dxa"/>
          </w:tcPr>
          <w:p>
            <w:pPr>
              <w:spacing w:after="0" w:line="240" w:lineRule="auto"/>
              <w:jc w:val="left"/>
            </w:pPr>
            <w:r>
              <w:t xml:space="preserve">I</w:t>
            </w:r>
          </w:p>
        </w:tc>
        <w:tc>
          <w:tcPr>
            <w:tcW w:w="1487" w:type="dxa"/>
          </w:tcPr>
          <w:p>
            <w:pPr>
              <w:spacing w:after="0" w:line="240" w:lineRule="auto"/>
              <w:jc w:val="left"/>
            </w:pPr>
            <w:r>
              <w:rPr>
                <w:b/>
              </w:rPr>
              <w:t xml:space="preserve">R</w:t>
            </w:r>
          </w:p>
        </w:tc>
      </w:tr>
      <w:tr>
        <w:trPr>
          <w:cantSplit/>
        </w:trPr>
        <w:tc>
          <w:tcPr>
            <w:cnfStyle w:val="001000000000" w:firstRow="0" w:lastRow="0" w:firstColumn="1" w:lastColumn="0" w:oddVBand="0" w:evenVBand="0" w:oddHBand="0" w:evenHBand="0" w:firstRowFirstColumn="0" w:firstRowLastColumn="0" w:lastRowFirstColumn="0" w:lastRowLastColumn="0"/>
            <w:tcW w:w="2622" w:type="dxa"/>
          </w:tcPr>
          <w:p>
            <w:pPr>
              <w:spacing w:after="0" w:line="240" w:lineRule="auto"/>
              <w:jc w:val="left"/>
            </w:pPr>
            <w:r>
              <w:t xml:space="preserve">Documentation projet</w:t>
            </w:r>
          </w:p>
        </w:tc>
        <w:tc>
          <w:tcPr>
            <w:tcW w:w="1340" w:type="dxa"/>
          </w:tcPr>
          <w:p>
            <w:pPr>
              <w:spacing w:after="0" w:line="240" w:lineRule="auto"/>
              <w:jc w:val="left"/>
            </w:pPr>
            <w:r>
              <w:t xml:space="preserve">C</w:t>
            </w:r>
          </w:p>
        </w:tc>
        <w:tc>
          <w:tcPr>
            <w:tcW w:w="1653" w:type="dxa"/>
          </w:tcPr>
          <w:p>
            <w:pPr>
              <w:spacing w:after="0" w:line="240" w:lineRule="auto"/>
              <w:jc w:val="left"/>
            </w:pPr>
            <w:r>
              <w:t xml:space="preserve">C</w:t>
            </w:r>
          </w:p>
        </w:tc>
        <w:tc>
          <w:tcPr>
            <w:tcW w:w="1538" w:type="dxa"/>
          </w:tcPr>
          <w:p>
            <w:pPr>
              <w:spacing w:after="0" w:line="240" w:lineRule="auto"/>
              <w:jc w:val="left"/>
            </w:pPr>
            <w:r>
              <w:t xml:space="preserve">C</w:t>
            </w:r>
          </w:p>
        </w:tc>
        <w:tc>
          <w:tcPr>
            <w:tcW w:w="1487" w:type="dxa"/>
          </w:tcPr>
          <w:p>
            <w:pPr>
              <w:spacing w:after="0" w:line="240" w:lineRule="auto"/>
              <w:jc w:val="left"/>
            </w:pPr>
            <w:r>
              <w:rPr>
                <w:b/>
              </w:rPr>
              <w:t xml:space="preserve">R</w:t>
            </w:r>
          </w:p>
        </w:tc>
      </w:tr>
    </w:tbl>
    <w:p>
      <w:pPr>
        <w:spacing w:after="0" w:line="120" w:lineRule="exact"/>
      </w:pPr>
    </w:p>
    <w:p>
      <w:r>
        <w:rPr>
          <w:b/>
        </w:rPr>
        <w:t xml:space="preserve">Équilibrage de la charge.</w:t>
      </w:r>
      <w:r>
        <w:t xml:space="preserve"> Chaque membre porte un domaine principal en tant que réalisateur, tout en étant consulté sur les interfaces avec les domaines voisins, ce qui évite à la fois la surcharge d’un point de passage obligé et le cloisonnement de chacun dans son périmètre. La ventilation chiffrée figure en annexe C.4.</w:t>
      </w:r>
    </w:p>
    <w:p>
      <w:pPr>
        <w:pStyle w:val="Titre2"/>
      </w:pPr>
      <w:bookmarkStart w:id="906" w:name="_Toc_b906"/>
      <w:bookmarkEnd w:id="906"/>
      <w:r>
        <w:t xml:space="preserve">Annexe C — Chiffrage détaillé du déploiement</w:t>
      </w:r>
    </w:p>
    <w:p>
      <w:pPr>
        <w:pStyle w:val="Titre3"/>
      </w:pPr>
      <w:bookmarkStart w:id="907" w:name="_Toc_b907"/>
      <w:bookmarkEnd w:id="907"/>
      <w:r>
        <w:t xml:space="preserve">C.1 Charge et coût par lot</w:t>
      </w:r>
    </w:p>
    <w:tbl>
      <w:tblPr>
        <w:tblStyle w:val="Grilleclaire-Accent1"/>
        <w:tblW w:w="8640" w:type="dxa"/>
        <w:jc w:val="center"/>
        <w:tblLayout w:type="fixed"/>
        <w:tblLook w:val="04A0" w:firstRow="1" w:lastRow="0" w:firstColumn="1" w:lastColumn="0" w:noHBand="0" w:noVBand="1"/>
      </w:tblPr>
      <w:tblGrid>
        <w:gridCol w:w="3526"/>
        <w:gridCol w:w="1224"/>
        <w:gridCol w:w="1561"/>
        <w:gridCol w:w="232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Lot</w:t>
            </w:r>
          </w:p>
        </w:tc>
        <w:tc>
          <w:tcPr>
            <w:tcW w:w="1224" w:type="dxa"/>
          </w:tcPr>
          <w:p>
            <w:pPr>
              <w:spacing w:after="0" w:line="240" w:lineRule="auto"/>
              <w:jc w:val="left"/>
            </w:pPr>
            <w:r>
              <w:t xml:space="preserve">Charge</w:t>
            </w:r>
          </w:p>
        </w:tc>
        <w:tc>
          <w:tcPr>
            <w:tcW w:w="1561" w:type="dxa"/>
          </w:tcPr>
          <w:p>
            <w:pPr>
              <w:spacing w:after="0" w:line="240" w:lineRule="auto"/>
              <w:jc w:val="left"/>
            </w:pPr>
            <w:r>
              <w:t xml:space="preserve">Coût</w:t>
            </w:r>
          </w:p>
        </w:tc>
        <w:tc>
          <w:tcPr>
            <w:tcW w:w="2329" w:type="dxa"/>
          </w:tcPr>
          <w:p>
            <w:pPr>
              <w:spacing w:after="0" w:line="240" w:lineRule="auto"/>
              <w:jc w:val="left"/>
            </w:pPr>
            <w:r>
              <w:t xml:space="preserve">Rôle porteur</w:t>
            </w: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Cadrage et connexion à l’instance client</w:t>
            </w:r>
          </w:p>
        </w:tc>
        <w:tc>
          <w:tcPr>
            <w:tcW w:w="1224" w:type="dxa"/>
          </w:tcPr>
          <w:p>
            <w:pPr>
              <w:spacing w:after="0" w:line="240" w:lineRule="auto"/>
              <w:jc w:val="left"/>
            </w:pPr>
            <w:r>
              <w:t xml:space="preserve">6 j·h</w:t>
            </w:r>
          </w:p>
        </w:tc>
        <w:tc>
          <w:tcPr>
            <w:tcW w:w="1561" w:type="dxa"/>
          </w:tcPr>
          <w:p>
            <w:pPr>
              <w:spacing w:after="0" w:line="240" w:lineRule="auto"/>
              <w:jc w:val="left"/>
            </w:pPr>
            <w:r>
              <w:t xml:space="preserve">3 000 €</w:t>
            </w:r>
          </w:p>
        </w:tc>
        <w:tc>
          <w:tcPr>
            <w:tcW w:w="2329" w:type="dxa"/>
          </w:tcPr>
          <w:p>
            <w:pPr>
              <w:spacing w:after="0" w:line="240" w:lineRule="auto"/>
              <w:jc w:val="left"/>
            </w:pPr>
            <w:r>
              <w:t xml:space="preserve">Chef de projet et analyste métier</w:t>
            </w: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Adaptation de la collecte et première exécution</w:t>
            </w:r>
          </w:p>
        </w:tc>
        <w:tc>
          <w:tcPr>
            <w:tcW w:w="1224" w:type="dxa"/>
          </w:tcPr>
          <w:p>
            <w:pPr>
              <w:spacing w:after="0" w:line="240" w:lineRule="auto"/>
              <w:jc w:val="left"/>
            </w:pPr>
            <w:r>
              <w:t xml:space="preserve">10 j·h</w:t>
            </w:r>
          </w:p>
        </w:tc>
        <w:tc>
          <w:tcPr>
            <w:tcW w:w="1561" w:type="dxa"/>
          </w:tcPr>
          <w:p>
            <w:pPr>
              <w:spacing w:after="0" w:line="240" w:lineRule="auto"/>
              <w:jc w:val="left"/>
            </w:pPr>
            <w:r>
              <w:t xml:space="preserve">5 000 €</w:t>
            </w:r>
          </w:p>
        </w:tc>
        <w:tc>
          <w:tcPr>
            <w:tcW w:w="2329" w:type="dxa"/>
          </w:tcPr>
          <w:p>
            <w:pPr>
              <w:spacing w:after="0" w:line="240" w:lineRule="auto"/>
              <w:jc w:val="left"/>
            </w:pPr>
            <w:r>
              <w:t xml:space="preserve">Ingénieur données</w:t>
            </w: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Réentraînement et validation du classifieur</w:t>
            </w:r>
          </w:p>
        </w:tc>
        <w:tc>
          <w:tcPr>
            <w:tcW w:w="1224" w:type="dxa"/>
          </w:tcPr>
          <w:p>
            <w:pPr>
              <w:spacing w:after="0" w:line="240" w:lineRule="auto"/>
              <w:jc w:val="left"/>
            </w:pPr>
            <w:r>
              <w:t xml:space="preserve">8 j·h</w:t>
            </w:r>
          </w:p>
        </w:tc>
        <w:tc>
          <w:tcPr>
            <w:tcW w:w="1561" w:type="dxa"/>
          </w:tcPr>
          <w:p>
            <w:pPr>
              <w:spacing w:after="0" w:line="240" w:lineRule="auto"/>
              <w:jc w:val="left"/>
            </w:pPr>
            <w:r>
              <w:t xml:space="preserve">4 000 €</w:t>
            </w:r>
          </w:p>
        </w:tc>
        <w:tc>
          <w:tcPr>
            <w:tcW w:w="2329" w:type="dxa"/>
          </w:tcPr>
          <w:p>
            <w:pPr>
              <w:spacing w:after="0" w:line="240" w:lineRule="auto"/>
              <w:jc w:val="left"/>
            </w:pPr>
            <w:r>
              <w:t xml:space="preserve">Ingénieur ML</w:t>
            </w: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Paramétrage du dashboard et des règles d’archivage</w:t>
            </w:r>
          </w:p>
        </w:tc>
        <w:tc>
          <w:tcPr>
            <w:tcW w:w="1224" w:type="dxa"/>
          </w:tcPr>
          <w:p>
            <w:pPr>
              <w:spacing w:after="0" w:line="240" w:lineRule="auto"/>
              <w:jc w:val="left"/>
            </w:pPr>
            <w:r>
              <w:t xml:space="preserve">6 j·h</w:t>
            </w:r>
          </w:p>
        </w:tc>
        <w:tc>
          <w:tcPr>
            <w:tcW w:w="1561" w:type="dxa"/>
          </w:tcPr>
          <w:p>
            <w:pPr>
              <w:spacing w:after="0" w:line="240" w:lineRule="auto"/>
              <w:jc w:val="left"/>
            </w:pPr>
            <w:r>
              <w:t xml:space="preserve">3 000 €</w:t>
            </w:r>
          </w:p>
        </w:tc>
        <w:tc>
          <w:tcPr>
            <w:tcW w:w="2329" w:type="dxa"/>
          </w:tcPr>
          <w:p>
            <w:pPr>
              <w:spacing w:after="0" w:line="240" w:lineRule="auto"/>
              <w:jc w:val="left"/>
            </w:pPr>
            <w:r>
              <w:t xml:space="preserve">Analyste métier</w:t>
            </w: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Revue de sécurité et conformité RGPD</w:t>
            </w:r>
          </w:p>
        </w:tc>
        <w:tc>
          <w:tcPr>
            <w:tcW w:w="1224" w:type="dxa"/>
          </w:tcPr>
          <w:p>
            <w:pPr>
              <w:spacing w:after="0" w:line="240" w:lineRule="auto"/>
              <w:jc w:val="left"/>
            </w:pPr>
            <w:r>
              <w:t xml:space="preserve">5 j·h</w:t>
            </w:r>
          </w:p>
        </w:tc>
        <w:tc>
          <w:tcPr>
            <w:tcW w:w="1561" w:type="dxa"/>
          </w:tcPr>
          <w:p>
            <w:pPr>
              <w:spacing w:after="0" w:line="240" w:lineRule="auto"/>
              <w:jc w:val="left"/>
            </w:pPr>
            <w:r>
              <w:t xml:space="preserve">2 500 €</w:t>
            </w:r>
          </w:p>
        </w:tc>
        <w:tc>
          <w:tcPr>
            <w:tcW w:w="2329" w:type="dxa"/>
          </w:tcPr>
          <w:p>
            <w:pPr>
              <w:spacing w:after="0" w:line="240" w:lineRule="auto"/>
              <w:jc w:val="left"/>
            </w:pPr>
            <w:r>
              <w:t xml:space="preserve">Ingénieur données</w:t>
            </w: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Recette, formation et documentation</w:t>
            </w:r>
          </w:p>
        </w:tc>
        <w:tc>
          <w:tcPr>
            <w:tcW w:w="1224" w:type="dxa"/>
          </w:tcPr>
          <w:p>
            <w:pPr>
              <w:spacing w:after="0" w:line="240" w:lineRule="auto"/>
              <w:jc w:val="left"/>
            </w:pPr>
            <w:r>
              <w:t xml:space="preserve">5 j·h</w:t>
            </w:r>
          </w:p>
        </w:tc>
        <w:tc>
          <w:tcPr>
            <w:tcW w:w="1561" w:type="dxa"/>
          </w:tcPr>
          <w:p>
            <w:pPr>
              <w:spacing w:after="0" w:line="240" w:lineRule="auto"/>
              <w:jc w:val="left"/>
            </w:pPr>
            <w:r>
              <w:t xml:space="preserve">2 500 €</w:t>
            </w:r>
          </w:p>
        </w:tc>
        <w:tc>
          <w:tcPr>
            <w:tcW w:w="2329" w:type="dxa"/>
          </w:tcPr>
          <w:p>
            <w:pPr>
              <w:spacing w:after="0" w:line="240" w:lineRule="auto"/>
              <w:jc w:val="left"/>
            </w:pPr>
            <w:r>
              <w:t xml:space="preserve">Analyste métier et chef de projet</w:t>
            </w: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rPr>
                <w:b/>
              </w:rPr>
              <w:t xml:space="preserve">Sous-total charge</w:t>
            </w:r>
          </w:p>
        </w:tc>
        <w:tc>
          <w:tcPr>
            <w:tcW w:w="1224" w:type="dxa"/>
          </w:tcPr>
          <w:p>
            <w:pPr>
              <w:spacing w:after="0" w:line="240" w:lineRule="auto"/>
              <w:jc w:val="left"/>
            </w:pPr>
            <w:r>
              <w:rPr>
                <w:b/>
              </w:rPr>
              <w:t xml:space="preserve">40 j·h</w:t>
            </w:r>
          </w:p>
        </w:tc>
        <w:tc>
          <w:tcPr>
            <w:tcW w:w="1561" w:type="dxa"/>
          </w:tcPr>
          <w:p>
            <w:pPr>
              <w:spacing w:after="0" w:line="240" w:lineRule="auto"/>
              <w:jc w:val="left"/>
            </w:pPr>
            <w:r>
              <w:rPr>
                <w:b/>
              </w:rPr>
              <w:t xml:space="preserve">20 000 €</w:t>
            </w:r>
          </w:p>
        </w:tc>
        <w:tc>
          <w:tcPr>
            <w:tcW w:w="2329" w:type="dxa"/>
          </w:tcPr>
          <w:p>
            <w:pPr>
              <w:spacing w:after="0" w:line="240" w:lineRule="auto"/>
              <w:jc w:val="left"/>
            </w:pP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Infrastructure : base managée et hébergement, 3 mois</w:t>
            </w:r>
          </w:p>
        </w:tc>
        <w:tc>
          <w:tcPr>
            <w:tcW w:w="1224" w:type="dxa"/>
          </w:tcPr>
          <w:p>
            <w:pPr>
              <w:spacing w:after="0" w:line="240" w:lineRule="auto"/>
              <w:jc w:val="left"/>
            </w:pPr>
            <w:r>
              <w:t xml:space="preserve">—</w:t>
            </w:r>
          </w:p>
        </w:tc>
        <w:tc>
          <w:tcPr>
            <w:tcW w:w="1561" w:type="dxa"/>
          </w:tcPr>
          <w:p>
            <w:pPr>
              <w:spacing w:after="0" w:line="240" w:lineRule="auto"/>
              <w:jc w:val="left"/>
            </w:pPr>
            <w:r>
              <w:t xml:space="preserve">600 €</w:t>
            </w:r>
          </w:p>
        </w:tc>
        <w:tc>
          <w:tcPr>
            <w:tcW w:w="2329" w:type="dxa"/>
          </w:tcPr>
          <w:p>
            <w:pPr>
              <w:spacing w:after="0" w:line="240" w:lineRule="auto"/>
              <w:jc w:val="left"/>
            </w:pP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t xml:space="preserve">Provision pour aléas, 10 % de la charge et de l’infrastructure</w:t>
            </w:r>
          </w:p>
        </w:tc>
        <w:tc>
          <w:tcPr>
            <w:tcW w:w="1224" w:type="dxa"/>
          </w:tcPr>
          <w:p>
            <w:pPr>
              <w:spacing w:after="0" w:line="240" w:lineRule="auto"/>
              <w:jc w:val="left"/>
            </w:pPr>
            <w:r>
              <w:t xml:space="preserve">—</w:t>
            </w:r>
          </w:p>
        </w:tc>
        <w:tc>
          <w:tcPr>
            <w:tcW w:w="1561" w:type="dxa"/>
          </w:tcPr>
          <w:p>
            <w:pPr>
              <w:spacing w:after="0" w:line="240" w:lineRule="auto"/>
              <w:jc w:val="left"/>
            </w:pPr>
            <w:r>
              <w:t xml:space="preserve">2 060 €</w:t>
            </w:r>
          </w:p>
        </w:tc>
        <w:tc>
          <w:tcPr>
            <w:tcW w:w="2329" w:type="dxa"/>
          </w:tcPr>
          <w:p>
            <w:pPr>
              <w:spacing w:after="0" w:line="240" w:lineRule="auto"/>
              <w:jc w:val="left"/>
            </w:pPr>
          </w:p>
        </w:tc>
      </w:tr>
      <w:tr>
        <w:trPr>
          <w:cantSplit/>
        </w:trPr>
        <w:tc>
          <w:tcPr>
            <w:cnfStyle w:val="001000000000" w:firstRow="0" w:lastRow="0" w:firstColumn="1" w:lastColumn="0" w:oddVBand="0" w:evenVBand="0" w:oddHBand="0" w:evenHBand="0" w:firstRowFirstColumn="0" w:firstRowLastColumn="0" w:lastRowFirstColumn="0" w:lastRowLastColumn="0"/>
            <w:tcW w:w="3526" w:type="dxa"/>
          </w:tcPr>
          <w:p>
            <w:pPr>
              <w:spacing w:after="0" w:line="240" w:lineRule="auto"/>
              <w:jc w:val="left"/>
            </w:pPr>
            <w:r>
              <w:rPr>
                <w:b/>
              </w:rPr>
              <w:t xml:space="preserve">Budget indicatif</w:t>
            </w:r>
          </w:p>
        </w:tc>
        <w:tc>
          <w:tcPr>
            <w:tcW w:w="1224" w:type="dxa"/>
          </w:tcPr>
          <w:p>
            <w:pPr>
              <w:spacing w:after="0" w:line="240" w:lineRule="auto"/>
              <w:jc w:val="left"/>
            </w:pPr>
          </w:p>
        </w:tc>
        <w:tc>
          <w:tcPr>
            <w:tcW w:w="1561" w:type="dxa"/>
          </w:tcPr>
          <w:p>
            <w:pPr>
              <w:spacing w:after="0" w:line="240" w:lineRule="auto"/>
              <w:jc w:val="left"/>
            </w:pPr>
            <w:r>
              <w:rPr>
                <w:b/>
              </w:rPr>
              <w:t xml:space="preserve">≈ 23 000 € HT</w:t>
            </w:r>
          </w:p>
        </w:tc>
        <w:tc>
          <w:tcPr>
            <w:tcW w:w="2329" w:type="dxa"/>
          </w:tcPr>
          <w:p>
            <w:pPr>
              <w:spacing w:after="0" w:line="240" w:lineRule="auto"/>
              <w:jc w:val="left"/>
            </w:pPr>
          </w:p>
        </w:tc>
      </w:tr>
    </w:tbl>
    <w:p>
      <w:pPr>
        <w:spacing w:after="0" w:line="120" w:lineRule="exact"/>
      </w:pPr>
    </w:p>
    <w:p>
      <w:r>
        <w:rPr>
          <w:i/>
        </w:rPr>
        <w:t xml:space="preserve">Hypothèse de valorisation : taux journalier moyen de 500 € HT, ordre de grandeur du marché français pour des profils data confirmés en prestation. Ce taux est une hypothèse de chiffrage et non un tarif négocié.</w:t>
      </w:r>
    </w:p>
    <w:p>
      <w:r>
        <w:rPr>
          <w:b/>
        </w:rPr>
        <w:t xml:space="preserve">Délai.</w:t>
      </w:r>
      <w:r>
        <w:t xml:space="preserve"> Quarante jours-homme sur une équipe de trois à quatre intervenants à temps partiel représentent environ trois semaines de travail effectif. Les dépendances entre lots, la disponibilité des interlocuteurs du client et le temps de recette portent le délai calendaire à deux à trois mois.</w:t>
      </w:r>
    </w:p>
    <w:p>
      <w:pPr>
        <w:pStyle w:val="Titre3"/>
      </w:pPr>
      <w:bookmarkStart w:id="908" w:name="_Toc_b908"/>
      <w:bookmarkEnd w:id="908"/>
      <w:r>
        <w:t xml:space="preserve">C.2 Justification économique</w:t>
      </w:r>
    </w:p>
    <w:p>
      <w:r>
        <w:t xml:space="preserve">Le budget ne se justifie pas par la seule économie de stockage. Au taux mesuré de 195 $ par téraoctet archivé et par an, une base ERP de quelques téraoctets ne dégage que quelques centaines de dollars d’économie annuelle.</w:t>
      </w:r>
    </w:p>
    <w:p>
      <w:r>
        <w:t xml:space="preserve">La justification repose sur le </w:t>
      </w:r>
      <w:r>
        <w:rPr>
          <w:b/>
        </w:rPr>
        <w:t xml:space="preserve">coût évité de la cartographie manuelle</w:t>
      </w:r>
      <w:r>
        <w:t xml:space="preserve">. Cartographier 167 260 actifs à la main, à raison de trente secondes par actif pour un expert du progiciel, représente environ 1 400 heures, soit de l’ordre de 175 jours-homme sur une base de 8 heures. Au même taux journalier, cela dépasse 85 000 € pour un seul patrimoine, soit près de quatre fois le budget de déploiement, et le résultat serait figé le jour de sa production alors que la solution se rejoue à chaque exécution. S’y ajoutent deux bénéfices non monétarisés : la réduction de la dépendance à quelques experts, et la capacité à répondre à une demande de conformité sur l’origine et la rétention des données.</w:t>
      </w:r>
    </w:p>
    <w:p>
      <w:pPr>
        <w:pStyle w:val="Titre3"/>
      </w:pPr>
      <w:bookmarkStart w:id="909" w:name="_Toc_b909"/>
      <w:bookmarkEnd w:id="909"/>
      <w:r>
        <w:t xml:space="preserve">C.3 Écart entre le prototype et l’industrialisation</w:t>
      </w:r>
    </w:p>
    <w:tbl>
      <w:tblPr>
        <w:tblStyle w:val="Grilleclaire-Accent1"/>
        <w:tblW w:w="8640" w:type="dxa"/>
        <w:jc w:val="center"/>
        <w:tblLayout w:type="fixed"/>
        <w:tblLook w:val="04A0" w:firstRow="1" w:lastRow="0" w:firstColumn="1" w:lastColumn="0" w:noHBand="0" w:noVBand="1"/>
      </w:tblPr>
      <w:tblGrid>
        <w:gridCol w:w="2208"/>
        <w:gridCol w:w="3172"/>
        <w:gridCol w:w="326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08" w:type="dxa"/>
          </w:tcPr>
          <w:p>
            <w:pPr>
              <w:spacing w:after="0" w:line="240" w:lineRule="auto"/>
              <w:jc w:val="left"/>
            </w:pPr>
          </w:p>
        </w:tc>
        <w:tc>
          <w:tcPr>
            <w:tcW w:w="3172" w:type="dxa"/>
          </w:tcPr>
          <w:p>
            <w:pPr>
              <w:spacing w:after="0" w:line="240" w:lineRule="auto"/>
              <w:jc w:val="left"/>
            </w:pPr>
            <w:r>
              <w:t xml:space="preserve">Prototype réalisé</w:t>
            </w:r>
          </w:p>
        </w:tc>
        <w:tc>
          <w:tcPr>
            <w:tcW w:w="3260" w:type="dxa"/>
          </w:tcPr>
          <w:p>
            <w:pPr>
              <w:spacing w:after="0" w:line="240" w:lineRule="auto"/>
              <w:jc w:val="left"/>
            </w:pPr>
            <w:r>
              <w:t xml:space="preserve">Déploiement client</w:t>
            </w:r>
          </w:p>
        </w:tc>
      </w:tr>
      <w:tr>
        <w:trPr>
          <w:cantSplit/>
        </w:trPr>
        <w:tc>
          <w:tcPr>
            <w:cnfStyle w:val="001000000000" w:firstRow="0" w:lastRow="0" w:firstColumn="1" w:lastColumn="0" w:oddVBand="0" w:evenVBand="0" w:oddHBand="0" w:evenHBand="0" w:firstRowFirstColumn="0" w:firstRowLastColumn="0" w:lastRowFirstColumn="0" w:lastRowLastColumn="0"/>
            <w:tcW w:w="2208" w:type="dxa"/>
          </w:tcPr>
          <w:p>
            <w:pPr>
              <w:spacing w:after="0" w:line="240" w:lineRule="auto"/>
              <w:jc w:val="left"/>
            </w:pPr>
            <w:r>
              <w:t xml:space="preserve">Charge</w:t>
            </w:r>
          </w:p>
        </w:tc>
        <w:tc>
          <w:tcPr>
            <w:tcW w:w="3172" w:type="dxa"/>
          </w:tcPr>
          <w:p>
            <w:pPr>
              <w:spacing w:after="0" w:line="240" w:lineRule="auto"/>
              <w:jc w:val="left"/>
            </w:pPr>
            <w:r>
              <w:t xml:space="preserve">20 j·h</w:t>
            </w:r>
          </w:p>
        </w:tc>
        <w:tc>
          <w:tcPr>
            <w:tcW w:w="3260" w:type="dxa"/>
          </w:tcPr>
          <w:p>
            <w:pPr>
              <w:spacing w:after="0" w:line="240" w:lineRule="auto"/>
              <w:jc w:val="left"/>
            </w:pPr>
            <w:r>
              <w:t xml:space="preserve">40 j·h</w:t>
            </w:r>
          </w:p>
        </w:tc>
      </w:tr>
      <w:tr>
        <w:trPr>
          <w:cantSplit/>
        </w:trPr>
        <w:tc>
          <w:tcPr>
            <w:cnfStyle w:val="001000000000" w:firstRow="0" w:lastRow="0" w:firstColumn="1" w:lastColumn="0" w:oddVBand="0" w:evenVBand="0" w:oddHBand="0" w:evenHBand="0" w:firstRowFirstColumn="0" w:firstRowLastColumn="0" w:lastRowFirstColumn="0" w:lastRowLastColumn="0"/>
            <w:tcW w:w="2208" w:type="dxa"/>
          </w:tcPr>
          <w:p>
            <w:pPr>
              <w:spacing w:after="0" w:line="240" w:lineRule="auto"/>
              <w:jc w:val="left"/>
            </w:pPr>
            <w:r>
              <w:t xml:space="preserve">Coût engagé</w:t>
            </w:r>
          </w:p>
        </w:tc>
        <w:tc>
          <w:tcPr>
            <w:tcW w:w="3172" w:type="dxa"/>
          </w:tcPr>
          <w:p>
            <w:pPr>
              <w:spacing w:after="0" w:line="240" w:lineRule="auto"/>
              <w:jc w:val="left"/>
            </w:pPr>
            <w:r>
              <w:t xml:space="preserve">0 €</w:t>
            </w:r>
          </w:p>
        </w:tc>
        <w:tc>
          <w:tcPr>
            <w:tcW w:w="3260" w:type="dxa"/>
          </w:tcPr>
          <w:p>
            <w:pPr>
              <w:spacing w:after="0" w:line="240" w:lineRule="auto"/>
              <w:jc w:val="left"/>
            </w:pPr>
            <w:r>
              <w:t xml:space="preserve">≈ 23 000 € HT</w:t>
            </w:r>
          </w:p>
        </w:tc>
      </w:tr>
      <w:tr>
        <w:trPr>
          <w:cantSplit/>
        </w:trPr>
        <w:tc>
          <w:tcPr>
            <w:cnfStyle w:val="001000000000" w:firstRow="0" w:lastRow="0" w:firstColumn="1" w:lastColumn="0" w:oddVBand="0" w:evenVBand="0" w:oddHBand="0" w:evenHBand="0" w:firstRowFirstColumn="0" w:firstRowLastColumn="0" w:lastRowFirstColumn="0" w:lastRowLastColumn="0"/>
            <w:tcW w:w="2208" w:type="dxa"/>
          </w:tcPr>
          <w:p>
            <w:pPr>
              <w:spacing w:after="0" w:line="240" w:lineRule="auto"/>
              <w:jc w:val="left"/>
            </w:pPr>
            <w:r>
              <w:t xml:space="preserve">Délai calendaire</w:t>
            </w:r>
          </w:p>
        </w:tc>
        <w:tc>
          <w:tcPr>
            <w:tcW w:w="3172" w:type="dxa"/>
          </w:tcPr>
          <w:p>
            <w:pPr>
              <w:spacing w:after="0" w:line="240" w:lineRule="auto"/>
              <w:jc w:val="left"/>
            </w:pPr>
            <w:r>
              <w:t xml:space="preserve">173 jours, à 16 % d’occupation</w:t>
            </w:r>
          </w:p>
        </w:tc>
        <w:tc>
          <w:tcPr>
            <w:tcW w:w="3260" w:type="dxa"/>
          </w:tcPr>
          <w:p>
            <w:pPr>
              <w:spacing w:after="0" w:line="240" w:lineRule="auto"/>
              <w:jc w:val="left"/>
            </w:pPr>
            <w:r>
              <w:t xml:space="preserve">2 à 3 mois, équipe à temps partiel</w:t>
            </w:r>
          </w:p>
        </w:tc>
      </w:tr>
    </w:tbl>
    <w:p>
      <w:pPr>
        <w:spacing w:after="0" w:line="120" w:lineRule="exact"/>
      </w:pPr>
    </w:p>
    <w:p>
      <w:r>
        <w:t xml:space="preserve">Le rapport de deux entre les deux charges s’explique par ce que le déploiement ajoute et par ce qu’il n’a plus à faire. Il n’y a plus de développement : le produit existe, et la charge de conception ne se refacture pas. Mais il faut adapter la collecte à une instance de production et à sa volumétrie, réentraîner le classifieur sur le patrimoine du client, passer une revue de sécurité avec ses interlocuteurs, conduire une recette contradictoire et former les utilisateurs. Ces cinq postes, absents du prototype, constituent l’essentiel de la charge projetée.</w:t>
      </w:r>
    </w:p>
    <w:p>
      <w:pPr>
        <w:pStyle w:val="Titre3"/>
      </w:pPr>
      <w:bookmarkStart w:id="910" w:name="_Toc_b910"/>
      <w:bookmarkEnd w:id="910"/>
      <w:r>
        <w:t xml:space="preserve">C.4 Ventilation de la charge par rôle</w:t>
      </w:r>
    </w:p>
    <w:tbl>
      <w:tblPr>
        <w:tblStyle w:val="Grilleclaire-Accent1"/>
        <w:tblW w:w="8640" w:type="dxa"/>
        <w:jc w:val="center"/>
        <w:tblLayout w:type="fixed"/>
        <w:tblLook w:val="04A0" w:firstRow="1" w:lastRow="0" w:firstColumn="1" w:lastColumn="0" w:noHBand="0" w:noVBand="1"/>
      </w:tblPr>
      <w:tblGrid>
        <w:gridCol w:w="2112"/>
        <w:gridCol w:w="3832"/>
        <w:gridCol w:w="1348"/>
        <w:gridCol w:w="134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12" w:type="dxa"/>
          </w:tcPr>
          <w:p>
            <w:pPr>
              <w:spacing w:after="0" w:line="240" w:lineRule="auto"/>
              <w:jc w:val="left"/>
            </w:pPr>
            <w:r>
              <w:t xml:space="preserve">Rôle</w:t>
            </w:r>
          </w:p>
        </w:tc>
        <w:tc>
          <w:tcPr>
            <w:tcW w:w="3832" w:type="dxa"/>
          </w:tcPr>
          <w:p>
            <w:pPr>
              <w:spacing w:after="0" w:line="240" w:lineRule="auto"/>
              <w:jc w:val="left"/>
            </w:pPr>
            <w:r>
              <w:t xml:space="preserve">Lots portés</w:t>
            </w:r>
          </w:p>
        </w:tc>
        <w:tc>
          <w:tcPr>
            <w:tcW w:w="1348" w:type="dxa"/>
          </w:tcPr>
          <w:p>
            <w:pPr>
              <w:spacing w:after="0" w:line="240" w:lineRule="auto"/>
              <w:jc w:val="left"/>
            </w:pPr>
            <w:r>
              <w:t xml:space="preserve">Charge</w:t>
            </w:r>
          </w:p>
        </w:tc>
        <w:tc>
          <w:tcPr>
            <w:tcW w:w="1348" w:type="dxa"/>
          </w:tcPr>
          <w:p>
            <w:pPr>
              <w:spacing w:after="0" w:line="240" w:lineRule="auto"/>
              <w:jc w:val="left"/>
            </w:pPr>
            <w:r>
              <w:t xml:space="preserve">Part</w:t>
            </w:r>
          </w:p>
        </w:tc>
      </w:tr>
      <w:tr>
        <w:trPr>
          <w:cantSplit/>
        </w:trPr>
        <w:tc>
          <w:tcPr>
            <w:cnfStyle w:val="001000000000" w:firstRow="0" w:lastRow="0" w:firstColumn="1" w:lastColumn="0" w:oddVBand="0" w:evenVBand="0" w:oddHBand="0" w:evenHBand="0" w:firstRowFirstColumn="0" w:firstRowLastColumn="0" w:lastRowFirstColumn="0" w:lastRowLastColumn="0"/>
            <w:tcW w:w="2112" w:type="dxa"/>
          </w:tcPr>
          <w:p>
            <w:pPr>
              <w:spacing w:after="0" w:line="240" w:lineRule="auto"/>
              <w:jc w:val="left"/>
            </w:pPr>
            <w:r>
              <w:t xml:space="preserve">Ingénieur données</w:t>
            </w:r>
          </w:p>
        </w:tc>
        <w:tc>
          <w:tcPr>
            <w:tcW w:w="3832" w:type="dxa"/>
          </w:tcPr>
          <w:p>
            <w:pPr>
              <w:spacing w:after="0" w:line="240" w:lineRule="auto"/>
              <w:jc w:val="left"/>
            </w:pPr>
            <w:r>
              <w:t xml:space="preserve">Adaptation de la collecte · revue de sécurité</w:t>
            </w:r>
          </w:p>
        </w:tc>
        <w:tc>
          <w:tcPr>
            <w:tcW w:w="1348" w:type="dxa"/>
          </w:tcPr>
          <w:p>
            <w:pPr>
              <w:spacing w:after="0" w:line="240" w:lineRule="auto"/>
              <w:jc w:val="left"/>
            </w:pPr>
            <w:r>
              <w:t xml:space="preserve">15 j·h</w:t>
            </w:r>
          </w:p>
        </w:tc>
        <w:tc>
          <w:tcPr>
            <w:tcW w:w="1348" w:type="dxa"/>
          </w:tcPr>
          <w:p>
            <w:pPr>
              <w:spacing w:after="0" w:line="240" w:lineRule="auto"/>
              <w:jc w:val="left"/>
            </w:pPr>
            <w:r>
              <w:t xml:space="preserve">37,5 %</w:t>
            </w:r>
          </w:p>
        </w:tc>
      </w:tr>
      <w:tr>
        <w:trPr>
          <w:cantSplit/>
        </w:trPr>
        <w:tc>
          <w:tcPr>
            <w:cnfStyle w:val="001000000000" w:firstRow="0" w:lastRow="0" w:firstColumn="1" w:lastColumn="0" w:oddVBand="0" w:evenVBand="0" w:oddHBand="0" w:evenHBand="0" w:firstRowFirstColumn="0" w:firstRowLastColumn="0" w:lastRowFirstColumn="0" w:lastRowLastColumn="0"/>
            <w:tcW w:w="2112" w:type="dxa"/>
          </w:tcPr>
          <w:p>
            <w:pPr>
              <w:spacing w:after="0" w:line="240" w:lineRule="auto"/>
              <w:jc w:val="left"/>
            </w:pPr>
            <w:r>
              <w:t xml:space="preserve">Analyste métier</w:t>
            </w:r>
          </w:p>
        </w:tc>
        <w:tc>
          <w:tcPr>
            <w:tcW w:w="3832" w:type="dxa"/>
          </w:tcPr>
          <w:p>
            <w:pPr>
              <w:spacing w:after="0" w:line="240" w:lineRule="auto"/>
              <w:jc w:val="left"/>
            </w:pPr>
            <w:r>
              <w:t xml:space="preserve">Paramétrage du dashboard · part du cadrage · part de la recette</w:t>
            </w:r>
          </w:p>
        </w:tc>
        <w:tc>
          <w:tcPr>
            <w:tcW w:w="1348" w:type="dxa"/>
          </w:tcPr>
          <w:p>
            <w:pPr>
              <w:spacing w:after="0" w:line="240" w:lineRule="auto"/>
              <w:jc w:val="left"/>
            </w:pPr>
            <w:r>
              <w:t xml:space="preserve">13 j·h</w:t>
            </w:r>
          </w:p>
        </w:tc>
        <w:tc>
          <w:tcPr>
            <w:tcW w:w="1348" w:type="dxa"/>
          </w:tcPr>
          <w:p>
            <w:pPr>
              <w:spacing w:after="0" w:line="240" w:lineRule="auto"/>
              <w:jc w:val="left"/>
            </w:pPr>
            <w:r>
              <w:t xml:space="preserve">32,5 %</w:t>
            </w:r>
          </w:p>
        </w:tc>
      </w:tr>
      <w:tr>
        <w:trPr>
          <w:cantSplit/>
        </w:trPr>
        <w:tc>
          <w:tcPr>
            <w:cnfStyle w:val="001000000000" w:firstRow="0" w:lastRow="0" w:firstColumn="1" w:lastColumn="0" w:oddVBand="0" w:evenVBand="0" w:oddHBand="0" w:evenHBand="0" w:firstRowFirstColumn="0" w:firstRowLastColumn="0" w:lastRowFirstColumn="0" w:lastRowLastColumn="0"/>
            <w:tcW w:w="2112" w:type="dxa"/>
          </w:tcPr>
          <w:p>
            <w:pPr>
              <w:spacing w:after="0" w:line="240" w:lineRule="auto"/>
              <w:jc w:val="left"/>
            </w:pPr>
            <w:r>
              <w:t xml:space="preserve">Ingénieur ML</w:t>
            </w:r>
          </w:p>
        </w:tc>
        <w:tc>
          <w:tcPr>
            <w:tcW w:w="3832" w:type="dxa"/>
          </w:tcPr>
          <w:p>
            <w:pPr>
              <w:spacing w:after="0" w:line="240" w:lineRule="auto"/>
              <w:jc w:val="left"/>
            </w:pPr>
            <w:r>
              <w:t xml:space="preserve">Réentraînement et validation du classifieur</w:t>
            </w:r>
          </w:p>
        </w:tc>
        <w:tc>
          <w:tcPr>
            <w:tcW w:w="1348" w:type="dxa"/>
          </w:tcPr>
          <w:p>
            <w:pPr>
              <w:spacing w:after="0" w:line="240" w:lineRule="auto"/>
              <w:jc w:val="left"/>
            </w:pPr>
            <w:r>
              <w:t xml:space="preserve">8 j·h</w:t>
            </w:r>
          </w:p>
        </w:tc>
        <w:tc>
          <w:tcPr>
            <w:tcW w:w="1348" w:type="dxa"/>
          </w:tcPr>
          <w:p>
            <w:pPr>
              <w:spacing w:after="0" w:line="240" w:lineRule="auto"/>
              <w:jc w:val="left"/>
            </w:pPr>
            <w:r>
              <w:t xml:space="preserve">20,0 %</w:t>
            </w:r>
          </w:p>
        </w:tc>
      </w:tr>
      <w:tr>
        <w:trPr>
          <w:cantSplit/>
        </w:trPr>
        <w:tc>
          <w:tcPr>
            <w:cnfStyle w:val="001000000000" w:firstRow="0" w:lastRow="0" w:firstColumn="1" w:lastColumn="0" w:oddVBand="0" w:evenVBand="0" w:oddHBand="0" w:evenHBand="0" w:firstRowFirstColumn="0" w:firstRowLastColumn="0" w:lastRowFirstColumn="0" w:lastRowLastColumn="0"/>
            <w:tcW w:w="2112" w:type="dxa"/>
          </w:tcPr>
          <w:p>
            <w:pPr>
              <w:spacing w:after="0" w:line="240" w:lineRule="auto"/>
              <w:jc w:val="left"/>
            </w:pPr>
            <w:r>
              <w:t xml:space="preserve">Chef de projet data</w:t>
            </w:r>
          </w:p>
        </w:tc>
        <w:tc>
          <w:tcPr>
            <w:tcW w:w="3832" w:type="dxa"/>
          </w:tcPr>
          <w:p>
            <w:pPr>
              <w:spacing w:after="0" w:line="240" w:lineRule="auto"/>
              <w:jc w:val="left"/>
            </w:pPr>
            <w:r>
              <w:t xml:space="preserve">Part du cadrage · part de la recette et de la documentation</w:t>
            </w:r>
          </w:p>
        </w:tc>
        <w:tc>
          <w:tcPr>
            <w:tcW w:w="1348" w:type="dxa"/>
          </w:tcPr>
          <w:p>
            <w:pPr>
              <w:spacing w:after="0" w:line="240" w:lineRule="auto"/>
              <w:jc w:val="left"/>
            </w:pPr>
            <w:r>
              <w:t xml:space="preserve">4 j·h</w:t>
            </w:r>
          </w:p>
        </w:tc>
        <w:tc>
          <w:tcPr>
            <w:tcW w:w="1348" w:type="dxa"/>
          </w:tcPr>
          <w:p>
            <w:pPr>
              <w:spacing w:after="0" w:line="240" w:lineRule="auto"/>
              <w:jc w:val="left"/>
            </w:pPr>
            <w:r>
              <w:t xml:space="preserve">10,0 %</w:t>
            </w:r>
          </w:p>
        </w:tc>
      </w:tr>
      <w:tr>
        <w:trPr>
          <w:cantSplit/>
        </w:trPr>
        <w:tc>
          <w:tcPr>
            <w:cnfStyle w:val="001000000000" w:firstRow="0" w:lastRow="0" w:firstColumn="1" w:lastColumn="0" w:oddVBand="0" w:evenVBand="0" w:oddHBand="0" w:evenHBand="0" w:firstRowFirstColumn="0" w:firstRowLastColumn="0" w:lastRowFirstColumn="0" w:lastRowLastColumn="0"/>
            <w:tcW w:w="2112" w:type="dxa"/>
          </w:tcPr>
          <w:p>
            <w:pPr>
              <w:spacing w:after="0" w:line="240" w:lineRule="auto"/>
              <w:jc w:val="left"/>
            </w:pPr>
            <w:r>
              <w:rPr>
                <w:b/>
              </w:rPr>
              <w:t xml:space="preserve">Total</w:t>
            </w:r>
          </w:p>
        </w:tc>
        <w:tc>
          <w:tcPr>
            <w:tcW w:w="3832" w:type="dxa"/>
          </w:tcPr>
          <w:p>
            <w:pPr>
              <w:spacing w:after="0" w:line="240" w:lineRule="auto"/>
              <w:jc w:val="left"/>
            </w:pPr>
          </w:p>
        </w:tc>
        <w:tc>
          <w:tcPr>
            <w:tcW w:w="1348" w:type="dxa"/>
          </w:tcPr>
          <w:p>
            <w:pPr>
              <w:spacing w:after="0" w:line="240" w:lineRule="auto"/>
              <w:jc w:val="left"/>
            </w:pPr>
            <w:r>
              <w:rPr>
                <w:b/>
              </w:rPr>
              <w:t xml:space="preserve">40 j·h</w:t>
            </w:r>
          </w:p>
        </w:tc>
        <w:tc>
          <w:tcPr>
            <w:tcW w:w="1348" w:type="dxa"/>
          </w:tcPr>
          <w:p>
            <w:pPr>
              <w:spacing w:after="0" w:line="240" w:lineRule="auto"/>
              <w:jc w:val="left"/>
            </w:pPr>
            <w:r>
              <w:rPr>
                <w:b/>
              </w:rPr>
              <w:t xml:space="preserve">100 %</w:t>
            </w:r>
          </w:p>
        </w:tc>
      </w:tr>
    </w:tbl>
    <w:p>
      <w:pPr>
        <w:spacing w:after="0" w:line="120" w:lineRule="exact"/>
      </w:pPr>
    </w:p>
    <w:p>
      <w:r>
        <w:t xml:space="preserve">La charge se répartit sur les quatre rôles, avec un écart en faveur de l’ingénieur données. Cet écart est assumé : sur un produit dont la valeur tient d’abord à la collecte et à la sécurisation d’une source ERP, ce sont ces deux lots qui concentrent la charge technique. Le chef de projet, à 10 %, intervient sur le cadrage et la recette, ses autres activités relevant du pilotage et non de la production. La répartition est un point de surveillance du plan de charge, non un équilibre à atteindre coûte que coûte.</w:t>
      </w:r>
    </w:p>
    <w:p>
      <w:pPr>
        <w:pStyle w:val="Titre2"/>
      </w:pPr>
      <w:bookmarkStart w:id="911" w:name="_Toc_b911"/>
      <w:bookmarkEnd w:id="911"/>
      <w:r>
        <w:t xml:space="preserve">Annexe D — Sommaire des spécifications</w:t>
      </w:r>
    </w:p>
    <w:p>
      <w:r>
        <w:t xml:space="preserve">La documentation projet tient lieu de cahier des charges vivant (§ 2.3.2). Le tableau ci-dessous en donne le sommaire : les exigences fonctionnelles décrivent ce que le système doit faire, les exigences techniques comment il le fait. Chaque ligne renvoie au document qui la porte dans le dépôt.</w:t>
      </w:r>
    </w:p>
    <w:p>
      <w:pPr>
        <w:pStyle w:val="Titre3"/>
      </w:pPr>
      <w:bookmarkStart w:id="912" w:name="_Toc_b912"/>
      <w:bookmarkEnd w:id="912"/>
      <w:r>
        <w:t xml:space="preserve">D.1 Exigences fonctionnelles</w:t>
      </w:r>
    </w:p>
    <w:tbl>
      <w:tblPr>
        <w:tblStyle w:val="Grilleclaire-Accent1"/>
        <w:tblW w:w="8640" w:type="dxa"/>
        <w:jc w:val="center"/>
        <w:tblLayout w:type="fixed"/>
        <w:tblLook w:val="04A0" w:firstRow="1" w:lastRow="0" w:firstColumn="1" w:lastColumn="0" w:noHBand="0" w:noVBand="1"/>
      </w:tblPr>
      <w:tblGrid>
        <w:gridCol w:w="708"/>
        <w:gridCol w:w="2190"/>
        <w:gridCol w:w="2070"/>
        <w:gridCol w:w="367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8" w:type="dxa"/>
          </w:tcPr>
          <w:p>
            <w:pPr>
              <w:spacing w:after="0" w:line="240" w:lineRule="auto"/>
              <w:jc w:val="left"/>
            </w:pPr>
            <w:r>
              <w:t xml:space="preserve">Réf.</w:t>
            </w:r>
          </w:p>
        </w:tc>
        <w:tc>
          <w:tcPr>
            <w:tcW w:w="2190" w:type="dxa"/>
          </w:tcPr>
          <w:p>
            <w:pPr>
              <w:spacing w:after="0" w:line="240" w:lineRule="auto"/>
              <w:jc w:val="left"/>
            </w:pPr>
            <w:r>
              <w:t xml:space="preserve">Exigence</w:t>
            </w:r>
          </w:p>
        </w:tc>
        <w:tc>
          <w:tcPr>
            <w:tcW w:w="2070" w:type="dxa"/>
          </w:tcPr>
          <w:p>
            <w:pPr>
              <w:spacing w:after="0" w:line="240" w:lineRule="auto"/>
              <w:jc w:val="left"/>
            </w:pPr>
            <w:r>
              <w:t xml:space="preserve">Critère d’acceptation</w:t>
            </w:r>
          </w:p>
        </w:tc>
        <w:tc>
          <w:tcPr>
            <w:tcW w:w="3672" w:type="dxa"/>
          </w:tcPr>
          <w:p>
            <w:pPr>
              <w:spacing w:after="0" w:line="240" w:lineRule="auto"/>
              <w:jc w:val="left"/>
            </w:pPr>
            <w:r>
              <w:t xml:space="preserve">Document</w:t>
            </w:r>
          </w:p>
        </w:tc>
      </w:tr>
      <w:tr>
        <w:trPr>
          <w:cantSplit/>
        </w:trPr>
        <w:tc>
          <w:tcPr>
            <w:cnfStyle w:val="001000000000" w:firstRow="0" w:lastRow="0" w:firstColumn="1" w:lastColumn="0" w:oddVBand="0" w:evenVBand="0" w:oddHBand="0" w:evenHBand="0" w:firstRowFirstColumn="0" w:firstRowLastColumn="0" w:lastRowFirstColumn="0" w:lastRowLastColumn="0"/>
            <w:tcW w:w="708" w:type="dxa"/>
          </w:tcPr>
          <w:p>
            <w:pPr>
              <w:spacing w:after="0" w:line="240" w:lineRule="auto"/>
              <w:jc w:val="left"/>
            </w:pPr>
            <w:r>
              <w:t xml:space="preserve">EF-1</w:t>
            </w:r>
          </w:p>
        </w:tc>
        <w:tc>
          <w:tcPr>
            <w:tcW w:w="2190" w:type="dxa"/>
          </w:tcPr>
          <w:p>
            <w:pPr>
              <w:spacing w:after="0" w:line="240" w:lineRule="auto"/>
              <w:jc w:val="left"/>
            </w:pPr>
            <w:r>
              <w:t xml:space="preserve">Collecter les métadonnées de l’instance source sans écrire dessus</w:t>
            </w:r>
          </w:p>
        </w:tc>
        <w:tc>
          <w:tcPr>
            <w:tcW w:w="2070" w:type="dxa"/>
          </w:tcPr>
          <w:p>
            <w:pPr>
              <w:spacing w:after="0" w:line="240" w:lineRule="auto"/>
              <w:jc w:val="left"/>
            </w:pPr>
            <w:r>
              <w:t xml:space="preserve">Réconciliation source / entrepôt à écart nul ; compte source en lecture seule vérifié</w:t>
            </w:r>
          </w:p>
        </w:tc>
        <w:tc>
          <w:tcPr>
            <w:tcW w:w="3672" w:type="dxa"/>
          </w:tcPr>
          <w:p>
            <w:pPr>
              <w:spacing w:after="0" w:line="240" w:lineRule="auto"/>
              <w:jc w:val="left"/>
            </w:pPr>
            <w:r>
              <w:rPr>
                <w:rFonts w:ascii="Consolas" w:hAnsi="Consolas"/>
                <w:sz w:val="18"/>
              </w:rPr>
              <w:t xml:space="preserve">docs/A_connexion_preparation</w:t>
            </w:r>
          </w:p>
        </w:tc>
      </w:tr>
      <w:tr>
        <w:trPr>
          <w:cantSplit/>
        </w:trPr>
        <w:tc>
          <w:tcPr>
            <w:cnfStyle w:val="001000000000" w:firstRow="0" w:lastRow="0" w:firstColumn="1" w:lastColumn="0" w:oddVBand="0" w:evenVBand="0" w:oddHBand="0" w:evenHBand="0" w:firstRowFirstColumn="0" w:firstRowLastColumn="0" w:lastRowFirstColumn="0" w:lastRowLastColumn="0"/>
            <w:tcW w:w="708" w:type="dxa"/>
          </w:tcPr>
          <w:p>
            <w:pPr>
              <w:spacing w:after="0" w:line="240" w:lineRule="auto"/>
              <w:jc w:val="left"/>
            </w:pPr>
            <w:r>
              <w:t xml:space="preserve">EF-2</w:t>
            </w:r>
          </w:p>
        </w:tc>
        <w:tc>
          <w:tcPr>
            <w:tcW w:w="2190" w:type="dxa"/>
          </w:tcPr>
          <w:p>
            <w:pPr>
              <w:spacing w:after="0" w:line="240" w:lineRule="auto"/>
              <w:jc w:val="left"/>
            </w:pPr>
            <w:r>
              <w:t xml:space="preserve">Rattacher chaque actif à un domaine métier</w:t>
            </w:r>
          </w:p>
        </w:tc>
        <w:tc>
          <w:tcPr>
            <w:tcW w:w="2070" w:type="dxa"/>
          </w:tcPr>
          <w:p>
            <w:pPr>
              <w:spacing w:after="0" w:line="240" w:lineRule="auto"/>
              <w:jc w:val="left"/>
            </w:pPr>
            <w:r>
              <w:t xml:space="preserve">100 % des actifs classés, avec un niveau de confiance par actif</w:t>
            </w:r>
          </w:p>
        </w:tc>
        <w:tc>
          <w:tcPr>
            <w:tcW w:w="3672" w:type="dxa"/>
          </w:tcPr>
          <w:p>
            <w:pPr>
              <w:spacing w:after="0" w:line="240" w:lineRule="auto"/>
              <w:jc w:val="left"/>
            </w:pPr>
            <w:r>
              <w:rPr>
                <w:rFonts w:ascii="Consolas" w:hAnsi="Consolas"/>
                <w:sz w:val="18"/>
              </w:rPr>
              <w:t xml:space="preserve">docs/B_classification_ml</w:t>
            </w:r>
          </w:p>
        </w:tc>
      </w:tr>
      <w:tr>
        <w:trPr>
          <w:cantSplit/>
        </w:trPr>
        <w:tc>
          <w:tcPr>
            <w:cnfStyle w:val="001000000000" w:firstRow="0" w:lastRow="0" w:firstColumn="1" w:lastColumn="0" w:oddVBand="0" w:evenVBand="0" w:oddHBand="0" w:evenHBand="0" w:firstRowFirstColumn="0" w:firstRowLastColumn="0" w:lastRowFirstColumn="0" w:lastRowLastColumn="0"/>
            <w:tcW w:w="708" w:type="dxa"/>
          </w:tcPr>
          <w:p>
            <w:pPr>
              <w:spacing w:after="0" w:line="240" w:lineRule="auto"/>
              <w:jc w:val="left"/>
            </w:pPr>
            <w:r>
              <w:t xml:space="preserve">EF-3</w:t>
            </w:r>
          </w:p>
        </w:tc>
        <w:tc>
          <w:tcPr>
            <w:tcW w:w="2190" w:type="dxa"/>
          </w:tcPr>
          <w:p>
            <w:pPr>
              <w:spacing w:after="0" w:line="240" w:lineRule="auto"/>
              <w:jc w:val="left"/>
            </w:pPr>
            <w:r>
              <w:t xml:space="preserve">Signaler les classifications à vérifier</w:t>
            </w:r>
          </w:p>
        </w:tc>
        <w:tc>
          <w:tcPr>
            <w:tcW w:w="2070" w:type="dxa"/>
          </w:tcPr>
          <w:p>
            <w:pPr>
              <w:spacing w:after="0" w:line="240" w:lineRule="auto"/>
              <w:jc w:val="left"/>
            </w:pPr>
            <w:r>
              <w:t xml:space="preserve">Marqueur de revue exposé et filtrable dans la restitution</w:t>
            </w:r>
          </w:p>
        </w:tc>
        <w:tc>
          <w:tcPr>
            <w:tcW w:w="3672" w:type="dxa"/>
          </w:tcPr>
          <w:p>
            <w:pPr>
              <w:spacing w:after="0" w:line="240" w:lineRule="auto"/>
              <w:jc w:val="left"/>
            </w:pPr>
            <w:r>
              <w:rPr>
                <w:rFonts w:ascii="Consolas" w:hAnsi="Consolas"/>
                <w:sz w:val="18"/>
              </w:rPr>
              <w:t xml:space="preserve">docs/B_classification_ml</w:t>
            </w:r>
          </w:p>
        </w:tc>
      </w:tr>
      <w:tr>
        <w:trPr>
          <w:cantSplit/>
        </w:trPr>
        <w:tc>
          <w:tcPr>
            <w:cnfStyle w:val="001000000000" w:firstRow="0" w:lastRow="0" w:firstColumn="1" w:lastColumn="0" w:oddVBand="0" w:evenVBand="0" w:oddHBand="0" w:evenHBand="0" w:firstRowFirstColumn="0" w:firstRowLastColumn="0" w:lastRowFirstColumn="0" w:lastRowLastColumn="0"/>
            <w:tcW w:w="708" w:type="dxa"/>
          </w:tcPr>
          <w:p>
            <w:pPr>
              <w:spacing w:after="0" w:line="240" w:lineRule="auto"/>
              <w:jc w:val="left"/>
            </w:pPr>
            <w:r>
              <w:t xml:space="preserve">EF-4</w:t>
            </w:r>
          </w:p>
        </w:tc>
        <w:tc>
          <w:tcPr>
            <w:tcW w:w="2190" w:type="dxa"/>
          </w:tcPr>
          <w:p>
            <w:pPr>
              <w:spacing w:after="0" w:line="240" w:lineRule="auto"/>
              <w:jc w:val="left"/>
            </w:pPr>
            <w:r>
              <w:t xml:space="preserve">Chiffrer le coût de stockage par domaine</w:t>
            </w:r>
          </w:p>
        </w:tc>
        <w:tc>
          <w:tcPr>
            <w:tcW w:w="2070" w:type="dxa"/>
          </w:tcPr>
          <w:p>
            <w:pPr>
              <w:spacing w:after="0" w:line="240" w:lineRule="auto"/>
              <w:jc w:val="left"/>
            </w:pPr>
            <w:r>
              <w:t xml:space="preserve">Coût annuel calculé sur des tarifs sourcés et horodatés</w:t>
            </w:r>
          </w:p>
        </w:tc>
        <w:tc>
          <w:tcPr>
            <w:tcW w:w="3672" w:type="dxa"/>
          </w:tcPr>
          <w:p>
            <w:pPr>
              <w:spacing w:after="0" w:line="240" w:lineRule="auto"/>
              <w:jc w:val="left"/>
            </w:pPr>
            <w:r>
              <w:rPr>
                <w:rFonts w:ascii="Consolas" w:hAnsi="Consolas"/>
                <w:sz w:val="18"/>
              </w:rPr>
              <w:t xml:space="preserve">docs/E1_gains_stockage</w:t>
            </w:r>
          </w:p>
        </w:tc>
      </w:tr>
      <w:tr>
        <w:trPr>
          <w:cantSplit/>
        </w:trPr>
        <w:tc>
          <w:tcPr>
            <w:cnfStyle w:val="001000000000" w:firstRow="0" w:lastRow="0" w:firstColumn="1" w:lastColumn="0" w:oddVBand="0" w:evenVBand="0" w:oddHBand="0" w:evenHBand="0" w:firstRowFirstColumn="0" w:firstRowLastColumn="0" w:lastRowFirstColumn="0" w:lastRowLastColumn="0"/>
            <w:tcW w:w="708" w:type="dxa"/>
          </w:tcPr>
          <w:p>
            <w:pPr>
              <w:spacing w:after="0" w:line="240" w:lineRule="auto"/>
              <w:jc w:val="left"/>
            </w:pPr>
            <w:r>
              <w:t xml:space="preserve">EF-5</w:t>
            </w:r>
          </w:p>
        </w:tc>
        <w:tc>
          <w:tcPr>
            <w:tcW w:w="2190" w:type="dxa"/>
          </w:tcPr>
          <w:p>
            <w:pPr>
              <w:spacing w:after="0" w:line="240" w:lineRule="auto"/>
              <w:jc w:val="left"/>
            </w:pPr>
            <w:r>
              <w:t xml:space="preserve">Recommander une stratégie d’archivage par actif</w:t>
            </w:r>
          </w:p>
        </w:tc>
        <w:tc>
          <w:tcPr>
            <w:tcW w:w="2070" w:type="dxa"/>
          </w:tcPr>
          <w:p>
            <w:pPr>
              <w:spacing w:after="0" w:line="240" w:lineRule="auto"/>
              <w:jc w:val="left"/>
            </w:pPr>
            <w:r>
              <w:t xml:space="preserve">Stratégie différenciée, distinguant conservation réglementaire et archivage</w:t>
            </w:r>
          </w:p>
        </w:tc>
        <w:tc>
          <w:tcPr>
            <w:tcW w:w="3672" w:type="dxa"/>
          </w:tcPr>
          <w:p>
            <w:pPr>
              <w:spacing w:after="0" w:line="240" w:lineRule="auto"/>
              <w:jc w:val="left"/>
            </w:pPr>
            <w:r>
              <w:rPr>
                <w:rFonts w:ascii="Consolas" w:hAnsi="Consolas"/>
                <w:sz w:val="18"/>
              </w:rPr>
              <w:t xml:space="preserve">docs/D_regles_archivage</w:t>
            </w:r>
          </w:p>
        </w:tc>
      </w:tr>
      <w:tr>
        <w:trPr>
          <w:cantSplit/>
        </w:trPr>
        <w:tc>
          <w:tcPr>
            <w:cnfStyle w:val="001000000000" w:firstRow="0" w:lastRow="0" w:firstColumn="1" w:lastColumn="0" w:oddVBand="0" w:evenVBand="0" w:oddHBand="0" w:evenHBand="0" w:firstRowFirstColumn="0" w:firstRowLastColumn="0" w:lastRowFirstColumn="0" w:lastRowLastColumn="0"/>
            <w:tcW w:w="708" w:type="dxa"/>
          </w:tcPr>
          <w:p>
            <w:pPr>
              <w:spacing w:after="0" w:line="240" w:lineRule="auto"/>
              <w:jc w:val="left"/>
            </w:pPr>
            <w:r>
              <w:t xml:space="preserve">EF-6</w:t>
            </w:r>
          </w:p>
        </w:tc>
        <w:tc>
          <w:tcPr>
            <w:tcW w:w="2190" w:type="dxa"/>
          </w:tcPr>
          <w:p>
            <w:pPr>
              <w:spacing w:after="0" w:line="240" w:lineRule="auto"/>
              <w:jc w:val="left"/>
            </w:pPr>
            <w:r>
              <w:t xml:space="preserve">Restituer sans installation côté utilisateur</w:t>
            </w:r>
          </w:p>
        </w:tc>
        <w:tc>
          <w:tcPr>
            <w:tcW w:w="2070" w:type="dxa"/>
          </w:tcPr>
          <w:p>
            <w:pPr>
              <w:spacing w:after="0" w:line="240" w:lineRule="auto"/>
              <w:jc w:val="left"/>
            </w:pPr>
            <w:r>
              <w:t xml:space="preserve">Accès navigateur, export tableur et requêtes libres en lecture seule</w:t>
            </w:r>
          </w:p>
        </w:tc>
        <w:tc>
          <w:tcPr>
            <w:tcW w:w="3672" w:type="dxa"/>
          </w:tcPr>
          <w:p>
            <w:pPr>
              <w:spacing w:after="0" w:line="240" w:lineRule="auto"/>
              <w:jc w:val="left"/>
            </w:pPr>
            <w:r>
              <w:rPr>
                <w:rFonts w:ascii="Consolas" w:hAnsi="Consolas"/>
                <w:sz w:val="18"/>
              </w:rPr>
              <w:t xml:space="preserve">docs/E4_repartition_couts</w:t>
            </w:r>
          </w:p>
        </w:tc>
      </w:tr>
    </w:tbl>
    <w:p>
      <w:pPr>
        <w:spacing w:after="0" w:line="120" w:lineRule="exact"/>
      </w:pPr>
    </w:p>
    <w:p>
      <w:pPr>
        <w:pStyle w:val="Titre3"/>
      </w:pPr>
      <w:bookmarkStart w:id="913" w:name="_Toc_b913"/>
      <w:bookmarkEnd w:id="913"/>
      <w:r>
        <w:t xml:space="preserve">D.2 Exigences techniques</w:t>
      </w:r>
    </w:p>
    <w:tbl>
      <w:tblPr>
        <w:tblStyle w:val="Grilleclaire-Accent1"/>
        <w:tblW w:w="8640" w:type="dxa"/>
        <w:jc w:val="center"/>
        <w:tblLayout w:type="fixed"/>
        <w:tblLook w:val="04A0" w:firstRow="1" w:lastRow="0" w:firstColumn="1" w:lastColumn="0" w:noHBand="0" w:noVBand="1"/>
      </w:tblPr>
      <w:tblGrid>
        <w:gridCol w:w="651"/>
        <w:gridCol w:w="1953"/>
        <w:gridCol w:w="1835"/>
        <w:gridCol w:w="420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51" w:type="dxa"/>
          </w:tcPr>
          <w:p>
            <w:pPr>
              <w:spacing w:after="0" w:line="240" w:lineRule="auto"/>
              <w:jc w:val="left"/>
            </w:pPr>
            <w:r>
              <w:t xml:space="preserve">Réf.</w:t>
            </w:r>
          </w:p>
        </w:tc>
        <w:tc>
          <w:tcPr>
            <w:tcW w:w="1953" w:type="dxa"/>
          </w:tcPr>
          <w:p>
            <w:pPr>
              <w:spacing w:after="0" w:line="240" w:lineRule="auto"/>
              <w:jc w:val="left"/>
            </w:pPr>
            <w:r>
              <w:t xml:space="preserve">Exigence</w:t>
            </w:r>
          </w:p>
        </w:tc>
        <w:tc>
          <w:tcPr>
            <w:tcW w:w="1835" w:type="dxa"/>
          </w:tcPr>
          <w:p>
            <w:pPr>
              <w:spacing w:after="0" w:line="240" w:lineRule="auto"/>
              <w:jc w:val="left"/>
            </w:pPr>
            <w:r>
              <w:t xml:space="preserve">Critère d’acceptation</w:t>
            </w:r>
          </w:p>
        </w:tc>
        <w:tc>
          <w:tcPr>
            <w:tcW w:w="4201" w:type="dxa"/>
          </w:tcPr>
          <w:p>
            <w:pPr>
              <w:spacing w:after="0" w:line="240" w:lineRule="auto"/>
              <w:jc w:val="left"/>
            </w:pPr>
            <w:r>
              <w:t xml:space="preserve">Document</w:t>
            </w:r>
          </w:p>
        </w:tc>
      </w:tr>
      <w:tr>
        <w:trPr>
          <w:cantSplit/>
        </w:trPr>
        <w:tc>
          <w:tcPr>
            <w:cnfStyle w:val="001000000000" w:firstRow="0" w:lastRow="0" w:firstColumn="1" w:lastColumn="0" w:oddVBand="0" w:evenVBand="0" w:oddHBand="0" w:evenHBand="0" w:firstRowFirstColumn="0" w:firstRowLastColumn="0" w:lastRowFirstColumn="0" w:lastRowLastColumn="0"/>
            <w:tcW w:w="651" w:type="dxa"/>
          </w:tcPr>
          <w:p>
            <w:pPr>
              <w:spacing w:after="0" w:line="240" w:lineRule="auto"/>
              <w:jc w:val="left"/>
            </w:pPr>
            <w:r>
              <w:t xml:space="preserve">ET-1</w:t>
            </w:r>
          </w:p>
        </w:tc>
        <w:tc>
          <w:tcPr>
            <w:tcW w:w="1953" w:type="dxa"/>
          </w:tcPr>
          <w:p>
            <w:pPr>
              <w:spacing w:after="0" w:line="240" w:lineRule="auto"/>
              <w:jc w:val="left"/>
            </w:pPr>
            <w:r>
              <w:t xml:space="preserve">Architecture en couches, du brut au servi</w:t>
            </w:r>
          </w:p>
        </w:tc>
        <w:tc>
          <w:tcPr>
            <w:tcW w:w="1835" w:type="dxa"/>
          </w:tcPr>
          <w:p>
            <w:pPr>
              <w:spacing w:after="0" w:line="240" w:lineRule="auto"/>
              <w:jc w:val="left"/>
            </w:pPr>
            <w:r>
              <w:t xml:space="preserve">Trois schémas distincts, la couche brute restant fidèle à la source</w:t>
            </w:r>
          </w:p>
        </w:tc>
        <w:tc>
          <w:tcPr>
            <w:tcW w:w="4201" w:type="dxa"/>
          </w:tcPr>
          <w:p>
            <w:pPr>
              <w:spacing w:after="0" w:line="240" w:lineRule="auto"/>
              <w:jc w:val="left"/>
            </w:pPr>
            <w:r>
              <w:t xml:space="preserve">Dossier Bloc 1</w:t>
            </w:r>
          </w:p>
        </w:tc>
      </w:tr>
      <w:tr>
        <w:trPr>
          <w:cantSplit/>
        </w:trPr>
        <w:tc>
          <w:tcPr>
            <w:cnfStyle w:val="001000000000" w:firstRow="0" w:lastRow="0" w:firstColumn="1" w:lastColumn="0" w:oddVBand="0" w:evenVBand="0" w:oddHBand="0" w:evenHBand="0" w:firstRowFirstColumn="0" w:firstRowLastColumn="0" w:lastRowFirstColumn="0" w:lastRowLastColumn="0"/>
            <w:tcW w:w="651" w:type="dxa"/>
          </w:tcPr>
          <w:p>
            <w:pPr>
              <w:spacing w:after="0" w:line="240" w:lineRule="auto"/>
              <w:jc w:val="left"/>
            </w:pPr>
            <w:r>
              <w:t xml:space="preserve">ET-2</w:t>
            </w:r>
          </w:p>
        </w:tc>
        <w:tc>
          <w:tcPr>
            <w:tcW w:w="1953" w:type="dxa"/>
          </w:tcPr>
          <w:p>
            <w:pPr>
              <w:spacing w:after="0" w:line="240" w:lineRule="auto"/>
              <w:jc w:val="left"/>
            </w:pPr>
            <w:r>
              <w:t xml:space="preserve">Rejouabilité de toute analyse</w:t>
            </w:r>
          </w:p>
        </w:tc>
        <w:tc>
          <w:tcPr>
            <w:tcW w:w="1835" w:type="dxa"/>
          </w:tcPr>
          <w:p>
            <w:pPr>
              <w:spacing w:after="0" w:line="240" w:lineRule="auto"/>
              <w:jc w:val="left"/>
            </w:pPr>
            <w:r>
              <w:t xml:space="preserve">Identifiant de run porté par chaque table et filtré par chaque requête</w:t>
            </w:r>
          </w:p>
        </w:tc>
        <w:tc>
          <w:tcPr>
            <w:tcW w:w="4201" w:type="dxa"/>
          </w:tcPr>
          <w:p>
            <w:pPr>
              <w:spacing w:after="0" w:line="240" w:lineRule="auto"/>
              <w:jc w:val="left"/>
            </w:pPr>
            <w:r>
              <w:rPr>
                <w:rFonts w:ascii="Consolas" w:hAnsi="Consolas"/>
                <w:sz w:val="18"/>
              </w:rPr>
              <w:t xml:space="preserve">docs/A_connexion_preparation</w:t>
            </w:r>
          </w:p>
        </w:tc>
      </w:tr>
      <w:tr>
        <w:trPr>
          <w:cantSplit/>
        </w:trPr>
        <w:tc>
          <w:tcPr>
            <w:cnfStyle w:val="001000000000" w:firstRow="0" w:lastRow="0" w:firstColumn="1" w:lastColumn="0" w:oddVBand="0" w:evenVBand="0" w:oddHBand="0" w:evenHBand="0" w:firstRowFirstColumn="0" w:firstRowLastColumn="0" w:lastRowFirstColumn="0" w:lastRowLastColumn="0"/>
            <w:tcW w:w="651" w:type="dxa"/>
          </w:tcPr>
          <w:p>
            <w:pPr>
              <w:spacing w:after="0" w:line="240" w:lineRule="auto"/>
              <w:jc w:val="left"/>
            </w:pPr>
            <w:r>
              <w:t xml:space="preserve">ET-3</w:t>
            </w:r>
          </w:p>
        </w:tc>
        <w:tc>
          <w:tcPr>
            <w:tcW w:w="1953" w:type="dxa"/>
          </w:tcPr>
          <w:p>
            <w:pPr>
              <w:spacing w:after="0" w:line="240" w:lineRule="auto"/>
              <w:jc w:val="left"/>
            </w:pPr>
            <w:r>
              <w:t xml:space="preserve">Protection des données personnelles</w:t>
            </w:r>
          </w:p>
        </w:tc>
        <w:tc>
          <w:tcPr>
            <w:tcW w:w="1835" w:type="dxa"/>
          </w:tcPr>
          <w:p>
            <w:pPr>
              <w:spacing w:after="0" w:line="240" w:lineRule="auto"/>
              <w:jc w:val="left"/>
            </w:pPr>
            <w:r>
              <w:t xml:space="preserve">Masquage dans les exports, chiffrement au repos</w:t>
            </w:r>
          </w:p>
        </w:tc>
        <w:tc>
          <w:tcPr>
            <w:tcW w:w="4201" w:type="dxa"/>
          </w:tcPr>
          <w:p>
            <w:pPr>
              <w:spacing w:after="0" w:line="240" w:lineRule="auto"/>
              <w:jc w:val="left"/>
            </w:pPr>
            <w:r>
              <w:t xml:space="preserve">Dossier Bloc 1</w:t>
            </w:r>
          </w:p>
        </w:tc>
      </w:tr>
      <w:tr>
        <w:trPr>
          <w:cantSplit/>
        </w:trPr>
        <w:tc>
          <w:tcPr>
            <w:cnfStyle w:val="001000000000" w:firstRow="0" w:lastRow="0" w:firstColumn="1" w:lastColumn="0" w:oddVBand="0" w:evenVBand="0" w:oddHBand="0" w:evenHBand="0" w:firstRowFirstColumn="0" w:firstRowLastColumn="0" w:lastRowFirstColumn="0" w:lastRowLastColumn="0"/>
            <w:tcW w:w="651" w:type="dxa"/>
          </w:tcPr>
          <w:p>
            <w:pPr>
              <w:spacing w:after="0" w:line="240" w:lineRule="auto"/>
              <w:jc w:val="left"/>
            </w:pPr>
            <w:r>
              <w:t xml:space="preserve">ET-4</w:t>
            </w:r>
          </w:p>
        </w:tc>
        <w:tc>
          <w:tcPr>
            <w:tcW w:w="1953" w:type="dxa"/>
          </w:tcPr>
          <w:p>
            <w:pPr>
              <w:spacing w:after="0" w:line="240" w:lineRule="auto"/>
              <w:jc w:val="left"/>
            </w:pPr>
            <w:r>
              <w:t xml:space="preserve">Moindre privilège</w:t>
            </w:r>
          </w:p>
        </w:tc>
        <w:tc>
          <w:tcPr>
            <w:tcW w:w="1835" w:type="dxa"/>
          </w:tcPr>
          <w:p>
            <w:pPr>
              <w:spacing w:after="0" w:line="240" w:lineRule="auto"/>
              <w:jc w:val="left"/>
            </w:pPr>
            <w:r>
              <w:t xml:space="preserve">Comptes de lecture et d’écriture séparés, vérifiés par la pratique</w:t>
            </w:r>
          </w:p>
        </w:tc>
        <w:tc>
          <w:tcPr>
            <w:tcW w:w="4201" w:type="dxa"/>
          </w:tcPr>
          <w:p>
            <w:pPr>
              <w:spacing w:after="0" w:line="240" w:lineRule="auto"/>
              <w:jc w:val="left"/>
            </w:pPr>
            <w:r>
              <w:t xml:space="preserve">Dossier Bloc 1</w:t>
            </w:r>
          </w:p>
        </w:tc>
      </w:tr>
      <w:tr>
        <w:trPr>
          <w:cantSplit/>
        </w:trPr>
        <w:tc>
          <w:tcPr>
            <w:cnfStyle w:val="001000000000" w:firstRow="0" w:lastRow="0" w:firstColumn="1" w:lastColumn="0" w:oddVBand="0" w:evenVBand="0" w:oddHBand="0" w:evenHBand="0" w:firstRowFirstColumn="0" w:firstRowLastColumn="0" w:lastRowFirstColumn="0" w:lastRowLastColumn="0"/>
            <w:tcW w:w="651" w:type="dxa"/>
          </w:tcPr>
          <w:p>
            <w:pPr>
              <w:spacing w:after="0" w:line="240" w:lineRule="auto"/>
              <w:jc w:val="left"/>
            </w:pPr>
            <w:r>
              <w:t xml:space="preserve">ET-5</w:t>
            </w:r>
          </w:p>
        </w:tc>
        <w:tc>
          <w:tcPr>
            <w:tcW w:w="1953" w:type="dxa"/>
          </w:tcPr>
          <w:p>
            <w:pPr>
              <w:spacing w:after="0" w:line="240" w:lineRule="auto"/>
              <w:jc w:val="left"/>
            </w:pPr>
            <w:r>
              <w:t xml:space="preserve">Substituabilité de la source</w:t>
            </w:r>
          </w:p>
        </w:tc>
        <w:tc>
          <w:tcPr>
            <w:tcW w:w="1835" w:type="dxa"/>
          </w:tcPr>
          <w:p>
            <w:pPr>
              <w:spacing w:after="0" w:line="240" w:lineRule="auto"/>
              <w:jc w:val="left"/>
            </w:pPr>
            <w:r>
              <w:t xml:space="preserve">Instance déclarée en configuration, aucun identifiant en dur</w:t>
            </w:r>
          </w:p>
        </w:tc>
        <w:tc>
          <w:tcPr>
            <w:tcW w:w="4201" w:type="dxa"/>
          </w:tcPr>
          <w:p>
            <w:pPr>
              <w:spacing w:after="0" w:line="240" w:lineRule="auto"/>
              <w:jc w:val="left"/>
            </w:pPr>
            <w:r>
              <w:rPr>
                <w:rFonts w:ascii="Consolas" w:hAnsi="Consolas"/>
                <w:sz w:val="18"/>
              </w:rPr>
              <w:t xml:space="preserve">config/</w:t>
            </w:r>
          </w:p>
        </w:tc>
      </w:tr>
      <w:tr>
        <w:trPr>
          <w:cantSplit/>
        </w:trPr>
        <w:tc>
          <w:tcPr>
            <w:cnfStyle w:val="001000000000" w:firstRow="0" w:lastRow="0" w:firstColumn="1" w:lastColumn="0" w:oddVBand="0" w:evenVBand="0" w:oddHBand="0" w:evenHBand="0" w:firstRowFirstColumn="0" w:firstRowLastColumn="0" w:lastRowFirstColumn="0" w:lastRowLastColumn="0"/>
            <w:tcW w:w="651" w:type="dxa"/>
          </w:tcPr>
          <w:p>
            <w:pPr>
              <w:spacing w:after="0" w:line="240" w:lineRule="auto"/>
              <w:jc w:val="left"/>
            </w:pPr>
            <w:r>
              <w:t xml:space="preserve">ET-6</w:t>
            </w:r>
          </w:p>
        </w:tc>
        <w:tc>
          <w:tcPr>
            <w:tcW w:w="1953" w:type="dxa"/>
          </w:tcPr>
          <w:p>
            <w:pPr>
              <w:spacing w:after="0" w:line="240" w:lineRule="auto"/>
              <w:jc w:val="left"/>
            </w:pPr>
            <w:r>
              <w:t xml:space="preserve">Traçabilité du modèle déployé</w:t>
            </w:r>
          </w:p>
        </w:tc>
        <w:tc>
          <w:tcPr>
            <w:tcW w:w="1835" w:type="dxa"/>
          </w:tcPr>
          <w:p>
            <w:pPr>
              <w:spacing w:after="0" w:line="240" w:lineRule="auto"/>
              <w:jc w:val="left"/>
            </w:pPr>
            <w:r>
              <w:t xml:space="preserve">Version de modèle portée par chaque prédiction, fiche de modèle à jour</w:t>
            </w:r>
          </w:p>
        </w:tc>
        <w:tc>
          <w:tcPr>
            <w:tcW w:w="4201" w:type="dxa"/>
          </w:tcPr>
          <w:p>
            <w:pPr>
              <w:spacing w:after="0" w:line="240" w:lineRule="auto"/>
              <w:jc w:val="left"/>
            </w:pPr>
            <w:r>
              <w:rPr>
                <w:rFonts w:ascii="Consolas" w:hAnsi="Consolas"/>
                <w:sz w:val="18"/>
              </w:rPr>
              <w:t xml:space="preserve">artifacts/production_model_card.md</w:t>
            </w:r>
          </w:p>
        </w:tc>
      </w:tr>
    </w:tbl>
    <w:p>
      <w:pPr>
        <w:spacing w:after="0" w:line="120" w:lineRule="exact"/>
      </w:pPr>
    </w:p>
    <w:p>
      <w:pPr>
        <w:pStyle w:val="Titre2"/>
      </w:pPr>
      <w:bookmarkStart w:id="914" w:name="_Toc_b914"/>
      <w:bookmarkEnd w:id="914"/>
      <w:r>
        <w:t xml:space="preserve">Annexe E — Compte rendu type de revue de fin de phase</w:t>
      </w:r>
    </w:p>
    <w:p>
      <w:r>
        <w:t xml:space="preserve">Modèle appliqué à chaque jalon (§ 3.2.3). L’exemple ci-dessous est celui de la revue de clôture de la phase P1.</w:t>
      </w:r>
    </w:p>
    <w:tbl>
      <w:tblPr>
        <w:tblStyle w:val="Grilleclaire-Accent1"/>
        <w:tblW w:w="8640" w:type="dxa"/>
        <w:jc w:val="center"/>
        <w:tblLayout w:type="fixed"/>
        <w:tblLook w:val="04A0" w:firstRow="1" w:lastRow="0" w:firstColumn="1" w:lastColumn="0" w:noHBand="0" w:noVBand="1"/>
      </w:tblPr>
      <w:tblGrid>
        <w:gridCol w:w="2837"/>
        <w:gridCol w:w="580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t xml:space="preserve">Rubrique</w:t>
            </w:r>
          </w:p>
        </w:tc>
        <w:tc>
          <w:tcPr>
            <w:tcW w:w="5803" w:type="dxa"/>
          </w:tcPr>
          <w:p>
            <w:pPr>
              <w:spacing w:after="0" w:line="240" w:lineRule="auto"/>
              <w:jc w:val="left"/>
            </w:pPr>
            <w:r>
              <w:t xml:space="preserve">Contenu</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Phase</w:t>
            </w:r>
          </w:p>
        </w:tc>
        <w:tc>
          <w:tcPr>
            <w:tcW w:w="5803" w:type="dxa"/>
          </w:tcPr>
          <w:p>
            <w:pPr>
              <w:spacing w:after="0" w:line="240" w:lineRule="auto"/>
              <w:jc w:val="left"/>
            </w:pPr>
            <w:r>
              <w:t xml:space="preserve">P1 — Modélisation et analyse</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Période</w:t>
            </w:r>
          </w:p>
        </w:tc>
        <w:tc>
          <w:tcPr>
            <w:tcW w:w="5803" w:type="dxa"/>
          </w:tcPr>
          <w:p>
            <w:pPr>
              <w:spacing w:after="0" w:line="240" w:lineRule="auto"/>
              <w:jc w:val="left"/>
            </w:pPr>
            <w:r>
              <w:t xml:space="preserve">01/04 → 31/05/2026</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Participants</w:t>
            </w:r>
          </w:p>
        </w:tc>
        <w:tc>
          <w:tcPr>
            <w:tcW w:w="5803" w:type="dxa"/>
          </w:tcPr>
          <w:p>
            <w:pPr>
              <w:spacing w:after="0" w:line="240" w:lineRule="auto"/>
              <w:jc w:val="left"/>
            </w:pPr>
            <w:r>
              <w:t xml:space="preserve">Candidat, tuteur</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Produit</w:t>
            </w:r>
          </w:p>
        </w:tc>
        <w:tc>
          <w:tcPr>
            <w:tcW w:w="5803" w:type="dxa"/>
          </w:tcPr>
          <w:p>
            <w:pPr>
              <w:spacing w:after="0" w:line="240" w:lineRule="auto"/>
              <w:jc w:val="left"/>
            </w:pPr>
            <w:r>
              <w:t xml:space="preserve">Modèle en étoile, classification par domaine des 167 260 actifs, comparaison inter-runs, projection de ROI</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Écart constaté</w:t>
            </w:r>
          </w:p>
        </w:tc>
        <w:tc>
          <w:tcPr>
            <w:tcW w:w="5803" w:type="dxa"/>
          </w:tcPr>
          <w:p>
            <w:pPr>
              <w:spacing w:after="0" w:line="240" w:lineRule="auto"/>
              <w:jc w:val="left"/>
            </w:pPr>
            <w:r>
              <w:t xml:space="preserve">Durée de deux mois pour une phase cible d’un mois</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Cause</w:t>
            </w:r>
          </w:p>
        </w:tc>
        <w:tc>
          <w:tcPr>
            <w:tcW w:w="5803" w:type="dxa"/>
          </w:tcPr>
          <w:p>
            <w:pPr>
              <w:spacing w:after="0" w:line="240" w:lineRule="auto"/>
              <w:jc w:val="left"/>
            </w:pPr>
            <w:r>
              <w:t xml:space="preserve">Score d’archivabilité quasi constant, faute de signal d’usage dans la source</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Décision prise</w:t>
            </w:r>
          </w:p>
        </w:tc>
        <w:tc>
          <w:tcPr>
            <w:tcW w:w="5803" w:type="dxa"/>
          </w:tcPr>
          <w:p>
            <w:pPr>
              <w:spacing w:after="0" w:line="240" w:lineRule="auto"/>
              <w:jc w:val="left"/>
            </w:pPr>
            <w:r>
              <w:t xml:space="preserve">Reconstruire la recommandation d’archivage sur la volumétrie, la sensibilité et les obligations de rétention ; documenter la limite d’origine plutôt que la masquer</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Écarté</w:t>
            </w:r>
          </w:p>
        </w:tc>
        <w:tc>
          <w:tcPr>
            <w:tcW w:w="5803" w:type="dxa"/>
          </w:tcPr>
          <w:p>
            <w:pPr>
              <w:spacing w:after="0" w:line="240" w:lineRule="auto"/>
              <w:jc w:val="left"/>
            </w:pPr>
            <w:r>
              <w:t xml:space="preserve">Demande d’extension du périmètre d’accès à la source, délai incompatible avec les jalons</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Reste ouvert</w:t>
            </w:r>
          </w:p>
        </w:tc>
        <w:tc>
          <w:tcPr>
            <w:tcW w:w="5803" w:type="dxa"/>
          </w:tcPr>
          <w:p>
            <w:pPr>
              <w:spacing w:after="0" w:line="240" w:lineRule="auto"/>
              <w:jc w:val="left"/>
            </w:pPr>
            <w:r>
              <w:t xml:space="preserve">Quantification de l’empreinte évitée, reportée au plan RSE</w:t>
            </w:r>
          </w:p>
        </w:tc>
      </w:tr>
      <w:tr>
        <w:trPr>
          <w:cantSplit/>
        </w:trPr>
        <w:tc>
          <w:tcPr>
            <w:cnfStyle w:val="001000000000" w:firstRow="0" w:lastRow="0" w:firstColumn="1" w:lastColumn="0" w:oddVBand="0" w:evenVBand="0" w:oddHBand="0" w:evenHBand="0" w:firstRowFirstColumn="0" w:firstRowLastColumn="0" w:lastRowFirstColumn="0" w:lastRowLastColumn="0"/>
            <w:tcW w:w="2837" w:type="dxa"/>
          </w:tcPr>
          <w:p>
            <w:pPr>
              <w:spacing w:after="0" w:line="240" w:lineRule="auto"/>
              <w:jc w:val="left"/>
            </w:pPr>
            <w:r>
              <w:rPr>
                <w:b/>
              </w:rPr>
              <w:t xml:space="preserve">Prochain jalon</w:t>
            </w:r>
          </w:p>
        </w:tc>
        <w:tc>
          <w:tcPr>
            <w:tcW w:w="5803" w:type="dxa"/>
          </w:tcPr>
          <w:p>
            <w:pPr>
              <w:spacing w:after="0" w:line="240" w:lineRule="auto"/>
              <w:jc w:val="left"/>
            </w:pPr>
            <w:r>
              <w:t xml:space="preserve">P2 — Sûreté et fiabilité, clôture au 09/06</w:t>
            </w:r>
          </w:p>
        </w:tc>
      </w:tr>
    </w:tbl>
    <w:p>
      <w:pPr>
        <w:spacing w:after="0" w:line="120" w:lineRule="exact"/>
      </w:pPr>
    </w:p>
    <w:p>
      <w:r>
        <w:t xml:space="preserve">Les revues suivantes ont été tenues selon le même modèle. Leur trace écrite est constituée par les fichiers de suivi du dépôt : journal des runs, fiche de modèle et évaluation de maturité, mis à jour à chaque clôture de phase.</w:t>
      </w:r>
    </w:p>
    <w:p>
      <w:pPr>
        <w:pStyle w:val="Titre2"/>
      </w:pPr>
      <w:bookmarkStart w:id="915" w:name="_Toc_b915"/>
      <w:bookmarkEnd w:id="915"/>
      <w:r>
        <w:t xml:space="preserve">Annexe F — Grille de compétences et plan de formation</w:t>
      </w:r>
    </w:p>
    <w:p>
      <w:pPr>
        <w:pStyle w:val="Titre3"/>
      </w:pPr>
      <w:bookmarkStart w:id="916" w:name="_Toc_b916"/>
      <w:bookmarkEnd w:id="916"/>
      <w:r>
        <w:t xml:space="preserve">F.1 Compétences actuelles et requises pour l’équipe cible</w:t>
      </w:r>
    </w:p>
    <w:tbl>
      <w:tblPr>
        <w:tblStyle w:val="Grilleclaire-Accent1"/>
        <w:tblW w:w="8640" w:type="dxa"/>
        <w:jc w:val="center"/>
        <w:tblLayout w:type="fixed"/>
        <w:tblLook w:val="04A0" w:firstRow="1" w:lastRow="0" w:firstColumn="1" w:lastColumn="0" w:noHBand="0" w:noVBand="1"/>
      </w:tblPr>
      <w:tblGrid>
        <w:gridCol w:w="3202"/>
        <w:gridCol w:w="2225"/>
        <w:gridCol w:w="1552"/>
        <w:gridCol w:w="166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202" w:type="dxa"/>
          </w:tcPr>
          <w:p>
            <w:pPr>
              <w:spacing w:after="0" w:line="240" w:lineRule="auto"/>
              <w:jc w:val="left"/>
            </w:pPr>
            <w:r>
              <w:t xml:space="preserve">Compétence</w:t>
            </w:r>
          </w:p>
        </w:tc>
        <w:tc>
          <w:tcPr>
            <w:tcW w:w="2225" w:type="dxa"/>
          </w:tcPr>
          <w:p>
            <w:pPr>
              <w:spacing w:after="0" w:line="240" w:lineRule="auto"/>
              <w:jc w:val="left"/>
            </w:pPr>
            <w:r>
              <w:t xml:space="preserve">Niveau actuel</w:t>
            </w:r>
          </w:p>
        </w:tc>
        <w:tc>
          <w:tcPr>
            <w:tcW w:w="1552" w:type="dxa"/>
          </w:tcPr>
          <w:p>
            <w:pPr>
              <w:spacing w:after="0" w:line="240" w:lineRule="auto"/>
              <w:jc w:val="left"/>
            </w:pPr>
            <w:r>
              <w:t xml:space="preserve">Niveau requis</w:t>
            </w:r>
          </w:p>
        </w:tc>
        <w:tc>
          <w:tcPr>
            <w:tcW w:w="1661" w:type="dxa"/>
          </w:tcPr>
          <w:p>
            <w:pPr>
              <w:spacing w:after="0" w:line="240" w:lineRule="auto"/>
              <w:jc w:val="left"/>
            </w:pPr>
            <w:r>
              <w:t xml:space="preserve">Écart</w:t>
            </w:r>
          </w:p>
        </w:tc>
      </w:tr>
      <w:tr>
        <w:trPr>
          <w:cantSplit/>
        </w:trPr>
        <w:tc>
          <w:tcPr>
            <w:cnfStyle w:val="001000000000" w:firstRow="0" w:lastRow="0" w:firstColumn="1" w:lastColumn="0" w:oddVBand="0" w:evenVBand="0" w:oddHBand="0" w:evenHBand="0" w:firstRowFirstColumn="0" w:firstRowLastColumn="0" w:lastRowFirstColumn="0" w:lastRowLastColumn="0"/>
            <w:tcW w:w="3202" w:type="dxa"/>
          </w:tcPr>
          <w:p>
            <w:pPr>
              <w:spacing w:after="0" w:line="240" w:lineRule="auto"/>
              <w:jc w:val="left"/>
            </w:pPr>
            <w:r>
              <w:t xml:space="preserve">SQL et modélisation dimensionnelle</w:t>
            </w:r>
          </w:p>
        </w:tc>
        <w:tc>
          <w:tcPr>
            <w:tcW w:w="2225" w:type="dxa"/>
          </w:tcPr>
          <w:p>
            <w:pPr>
              <w:spacing w:after="0" w:line="240" w:lineRule="auto"/>
              <w:jc w:val="left"/>
            </w:pPr>
            <w:r>
              <w:t xml:space="preserve">Confirmé</w:t>
            </w:r>
          </w:p>
        </w:tc>
        <w:tc>
          <w:tcPr>
            <w:tcW w:w="1552" w:type="dxa"/>
          </w:tcPr>
          <w:p>
            <w:pPr>
              <w:spacing w:after="0" w:line="240" w:lineRule="auto"/>
              <w:jc w:val="left"/>
            </w:pPr>
            <w:r>
              <w:t xml:space="preserve">Confirmé</w:t>
            </w:r>
          </w:p>
        </w:tc>
        <w:tc>
          <w:tcPr>
            <w:tcW w:w="1661" w:type="dxa"/>
          </w:tcPr>
          <w:p>
            <w:pPr>
              <w:spacing w:after="0" w:line="240" w:lineRule="auto"/>
              <w:jc w:val="left"/>
            </w:pPr>
            <w:r>
              <w:t xml:space="preserve">—</w:t>
            </w:r>
          </w:p>
        </w:tc>
      </w:tr>
      <w:tr>
        <w:trPr>
          <w:cantSplit/>
        </w:trPr>
        <w:tc>
          <w:tcPr>
            <w:cnfStyle w:val="001000000000" w:firstRow="0" w:lastRow="0" w:firstColumn="1" w:lastColumn="0" w:oddVBand="0" w:evenVBand="0" w:oddHBand="0" w:evenHBand="0" w:firstRowFirstColumn="0" w:firstRowLastColumn="0" w:lastRowFirstColumn="0" w:lastRowLastColumn="0"/>
            <w:tcW w:w="3202" w:type="dxa"/>
          </w:tcPr>
          <w:p>
            <w:pPr>
              <w:spacing w:after="0" w:line="240" w:lineRule="auto"/>
              <w:jc w:val="left"/>
            </w:pPr>
            <w:r>
              <w:t xml:space="preserve">ETL et orchestration</w:t>
            </w:r>
          </w:p>
        </w:tc>
        <w:tc>
          <w:tcPr>
            <w:tcW w:w="2225" w:type="dxa"/>
          </w:tcPr>
          <w:p>
            <w:pPr>
              <w:spacing w:after="0" w:line="240" w:lineRule="auto"/>
              <w:jc w:val="left"/>
            </w:pPr>
            <w:r>
              <w:t xml:space="preserve">Intermédiaire</w:t>
            </w:r>
          </w:p>
        </w:tc>
        <w:tc>
          <w:tcPr>
            <w:tcW w:w="1552" w:type="dxa"/>
          </w:tcPr>
          <w:p>
            <w:pPr>
              <w:spacing w:after="0" w:line="240" w:lineRule="auto"/>
              <w:jc w:val="left"/>
            </w:pPr>
            <w:r>
              <w:t xml:space="preserve">Confirmé</w:t>
            </w:r>
          </w:p>
        </w:tc>
        <w:tc>
          <w:tcPr>
            <w:tcW w:w="1661" w:type="dxa"/>
          </w:tcPr>
          <w:p>
            <w:pPr>
              <w:spacing w:after="0" w:line="240" w:lineRule="auto"/>
              <w:jc w:val="left"/>
            </w:pPr>
            <w:r>
              <w:t xml:space="preserve">Modéré</w:t>
            </w:r>
          </w:p>
        </w:tc>
      </w:tr>
      <w:tr>
        <w:trPr>
          <w:cantSplit/>
        </w:trPr>
        <w:tc>
          <w:tcPr>
            <w:cnfStyle w:val="001000000000" w:firstRow="0" w:lastRow="0" w:firstColumn="1" w:lastColumn="0" w:oddVBand="0" w:evenVBand="0" w:oddHBand="0" w:evenHBand="0" w:firstRowFirstColumn="0" w:firstRowLastColumn="0" w:lastRowFirstColumn="0" w:lastRowLastColumn="0"/>
            <w:tcW w:w="3202" w:type="dxa"/>
          </w:tcPr>
          <w:p>
            <w:pPr>
              <w:spacing w:after="0" w:line="240" w:lineRule="auto"/>
              <w:jc w:val="left"/>
            </w:pPr>
            <w:r>
              <w:t xml:space="preserve">ML classique</w:t>
            </w:r>
          </w:p>
        </w:tc>
        <w:tc>
          <w:tcPr>
            <w:tcW w:w="2225" w:type="dxa"/>
          </w:tcPr>
          <w:p>
            <w:pPr>
              <w:spacing w:after="0" w:line="240" w:lineRule="auto"/>
              <w:jc w:val="left"/>
            </w:pPr>
            <w:r>
              <w:t xml:space="preserve">Confirmé</w:t>
            </w:r>
          </w:p>
        </w:tc>
        <w:tc>
          <w:tcPr>
            <w:tcW w:w="1552" w:type="dxa"/>
          </w:tcPr>
          <w:p>
            <w:pPr>
              <w:spacing w:after="0" w:line="240" w:lineRule="auto"/>
              <w:jc w:val="left"/>
            </w:pPr>
            <w:r>
              <w:t xml:space="preserve">Confirmé</w:t>
            </w:r>
          </w:p>
        </w:tc>
        <w:tc>
          <w:tcPr>
            <w:tcW w:w="1661" w:type="dxa"/>
          </w:tcPr>
          <w:p>
            <w:pPr>
              <w:spacing w:after="0" w:line="240" w:lineRule="auto"/>
              <w:jc w:val="left"/>
            </w:pPr>
            <w:r>
              <w:t xml:space="preserve">—</w:t>
            </w:r>
          </w:p>
        </w:tc>
      </w:tr>
      <w:tr>
        <w:trPr>
          <w:cantSplit/>
        </w:trPr>
        <w:tc>
          <w:tcPr>
            <w:cnfStyle w:val="001000000000" w:firstRow="0" w:lastRow="0" w:firstColumn="1" w:lastColumn="0" w:oddVBand="0" w:evenVBand="0" w:oddHBand="0" w:evenHBand="0" w:firstRowFirstColumn="0" w:firstRowLastColumn="0" w:lastRowFirstColumn="0" w:lastRowLastColumn="0"/>
            <w:tcW w:w="3202" w:type="dxa"/>
          </w:tcPr>
          <w:p>
            <w:pPr>
              <w:spacing w:after="0" w:line="240" w:lineRule="auto"/>
              <w:jc w:val="left"/>
            </w:pPr>
            <w:r>
              <w:t xml:space="preserve">Apprentissage profond, transformeurs</w:t>
            </w:r>
          </w:p>
        </w:tc>
        <w:tc>
          <w:tcPr>
            <w:tcW w:w="2225" w:type="dxa"/>
          </w:tcPr>
          <w:p>
            <w:pPr>
              <w:spacing w:after="0" w:line="240" w:lineRule="auto"/>
              <w:jc w:val="left"/>
            </w:pPr>
            <w:r>
              <w:t xml:space="preserve">Débutant</w:t>
            </w:r>
          </w:p>
        </w:tc>
        <w:tc>
          <w:tcPr>
            <w:tcW w:w="1552" w:type="dxa"/>
          </w:tcPr>
          <w:p>
            <w:pPr>
              <w:spacing w:after="0" w:line="240" w:lineRule="auto"/>
              <w:jc w:val="left"/>
            </w:pPr>
            <w:r>
              <w:t xml:space="preserve">Confirmé</w:t>
            </w:r>
          </w:p>
        </w:tc>
        <w:tc>
          <w:tcPr>
            <w:tcW w:w="1661" w:type="dxa"/>
          </w:tcPr>
          <w:p>
            <w:pPr>
              <w:spacing w:after="0" w:line="240" w:lineRule="auto"/>
              <w:jc w:val="left"/>
            </w:pPr>
            <w:r>
              <w:rPr>
                <w:b/>
              </w:rPr>
              <w:t xml:space="preserve">Fort, critique</w:t>
            </w:r>
          </w:p>
        </w:tc>
      </w:tr>
      <w:tr>
        <w:trPr>
          <w:cantSplit/>
        </w:trPr>
        <w:tc>
          <w:tcPr>
            <w:cnfStyle w:val="001000000000" w:firstRow="0" w:lastRow="0" w:firstColumn="1" w:lastColumn="0" w:oddVBand="0" w:evenVBand="0" w:oddHBand="0" w:evenHBand="0" w:firstRowFirstColumn="0" w:firstRowLastColumn="0" w:lastRowFirstColumn="0" w:lastRowLastColumn="0"/>
            <w:tcW w:w="3202" w:type="dxa"/>
          </w:tcPr>
          <w:p>
            <w:pPr>
              <w:spacing w:after="0" w:line="240" w:lineRule="auto"/>
              <w:jc w:val="left"/>
            </w:pPr>
            <w:r>
              <w:t xml:space="preserve">Sécurité et RGPD</w:t>
            </w:r>
          </w:p>
        </w:tc>
        <w:tc>
          <w:tcPr>
            <w:tcW w:w="2225" w:type="dxa"/>
          </w:tcPr>
          <w:p>
            <w:pPr>
              <w:spacing w:after="0" w:line="240" w:lineRule="auto"/>
              <w:jc w:val="left"/>
            </w:pPr>
            <w:r>
              <w:t xml:space="preserve">Intermédiaire</w:t>
            </w:r>
          </w:p>
        </w:tc>
        <w:tc>
          <w:tcPr>
            <w:tcW w:w="1552" w:type="dxa"/>
          </w:tcPr>
          <w:p>
            <w:pPr>
              <w:spacing w:after="0" w:line="240" w:lineRule="auto"/>
              <w:jc w:val="left"/>
            </w:pPr>
            <w:r>
              <w:t xml:space="preserve">Confirmé</w:t>
            </w:r>
          </w:p>
        </w:tc>
        <w:tc>
          <w:tcPr>
            <w:tcW w:w="1661" w:type="dxa"/>
          </w:tcPr>
          <w:p>
            <w:pPr>
              <w:spacing w:after="0" w:line="240" w:lineRule="auto"/>
              <w:jc w:val="left"/>
            </w:pPr>
            <w:r>
              <w:t xml:space="preserve">Modéré</w:t>
            </w:r>
          </w:p>
        </w:tc>
      </w:tr>
      <w:tr>
        <w:trPr>
          <w:cantSplit/>
        </w:trPr>
        <w:tc>
          <w:tcPr>
            <w:cnfStyle w:val="001000000000" w:firstRow="0" w:lastRow="0" w:firstColumn="1" w:lastColumn="0" w:oddVBand="0" w:evenVBand="0" w:oddHBand="0" w:evenHBand="0" w:firstRowFirstColumn="0" w:firstRowLastColumn="0" w:lastRowFirstColumn="0" w:lastRowLastColumn="0"/>
            <w:tcW w:w="3202" w:type="dxa"/>
          </w:tcPr>
          <w:p>
            <w:pPr>
              <w:spacing w:after="0" w:line="240" w:lineRule="auto"/>
              <w:jc w:val="left"/>
            </w:pPr>
            <w:r>
              <w:t xml:space="preserve">Restitution et visualisation</w:t>
            </w:r>
          </w:p>
        </w:tc>
        <w:tc>
          <w:tcPr>
            <w:tcW w:w="2225" w:type="dxa"/>
          </w:tcPr>
          <w:p>
            <w:pPr>
              <w:spacing w:after="0" w:line="240" w:lineRule="auto"/>
              <w:jc w:val="left"/>
            </w:pPr>
            <w:r>
              <w:t xml:space="preserve">Intermédiaire</w:t>
            </w:r>
          </w:p>
        </w:tc>
        <w:tc>
          <w:tcPr>
            <w:tcW w:w="1552" w:type="dxa"/>
          </w:tcPr>
          <w:p>
            <w:pPr>
              <w:spacing w:after="0" w:line="240" w:lineRule="auto"/>
              <w:jc w:val="left"/>
            </w:pPr>
            <w:r>
              <w:t xml:space="preserve">Confirmé</w:t>
            </w:r>
          </w:p>
        </w:tc>
        <w:tc>
          <w:tcPr>
            <w:tcW w:w="1661" w:type="dxa"/>
          </w:tcPr>
          <w:p>
            <w:pPr>
              <w:spacing w:after="0" w:line="240" w:lineRule="auto"/>
              <w:jc w:val="left"/>
            </w:pPr>
            <w:r>
              <w:t xml:space="preserve">Modéré</w:t>
            </w:r>
          </w:p>
        </w:tc>
      </w:tr>
    </w:tbl>
    <w:p>
      <w:pPr>
        <w:spacing w:after="0" w:line="120" w:lineRule="exact"/>
      </w:pPr>
    </w:p>
    <w:p>
      <w:r>
        <w:rPr>
          <w:b/>
        </w:rPr>
        <w:t xml:space="preserve">Commentaire.</w:t>
      </w:r>
      <w:r>
        <w:t xml:space="preserve"> Le socle est acquis : les compétences qui portent l’essentiel de la valeur sont au niveau requis, ce qui rend le déploiement réaliste sans recrutement. L’écart critique est isolé sur l’apprentissage profond, compétence rare et longue à acquérir ; il a pesé dans la décision de conserver un modèle classique en production (annexe G). Les écarts modérés relèvent de la montée en compétence sur un outillage existant, et se comblent par la pratique accompagnée.</w:t>
      </w:r>
    </w:p>
    <w:p>
      <w:pPr>
        <w:pStyle w:val="Titre3"/>
      </w:pPr>
      <w:bookmarkStart w:id="917" w:name="_Toc_b917"/>
      <w:bookmarkEnd w:id="917"/>
      <w:r>
        <w:t xml:space="preserve">F.2 Plan de développement des compétences</w:t>
      </w:r>
    </w:p>
    <w:tbl>
      <w:tblPr>
        <w:tblStyle w:val="Grilleclaire-Accent1"/>
        <w:tblW w:w="8640" w:type="dxa"/>
        <w:jc w:val="center"/>
        <w:tblLayout w:type="fixed"/>
        <w:tblLook w:val="04A0" w:firstRow="1" w:lastRow="0" w:firstColumn="1" w:lastColumn="0" w:noHBand="0" w:noVBand="1"/>
      </w:tblPr>
      <w:tblGrid>
        <w:gridCol w:w="2107"/>
        <w:gridCol w:w="2748"/>
        <w:gridCol w:w="2471"/>
        <w:gridCol w:w="131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07" w:type="dxa"/>
          </w:tcPr>
          <w:p>
            <w:pPr>
              <w:spacing w:after="0" w:line="240" w:lineRule="auto"/>
              <w:jc w:val="left"/>
            </w:pPr>
            <w:r>
              <w:t xml:space="preserve">Écart</w:t>
            </w:r>
          </w:p>
        </w:tc>
        <w:tc>
          <w:tcPr>
            <w:tcW w:w="2748" w:type="dxa"/>
          </w:tcPr>
          <w:p>
            <w:pPr>
              <w:spacing w:after="0" w:line="240" w:lineRule="auto"/>
              <w:jc w:val="left"/>
            </w:pPr>
            <w:r>
              <w:t xml:space="preserve">Action de formation</w:t>
            </w:r>
          </w:p>
        </w:tc>
        <w:tc>
          <w:tcPr>
            <w:tcW w:w="2471" w:type="dxa"/>
          </w:tcPr>
          <w:p>
            <w:pPr>
              <w:spacing w:after="0" w:line="240" w:lineRule="auto"/>
              <w:jc w:val="left"/>
            </w:pPr>
            <w:r>
              <w:t xml:space="preserve">Modalité</w:t>
            </w:r>
          </w:p>
        </w:tc>
        <w:tc>
          <w:tcPr>
            <w:tcW w:w="1314" w:type="dxa"/>
          </w:tcPr>
          <w:p>
            <w:pPr>
              <w:spacing w:after="0" w:line="240" w:lineRule="auto"/>
              <w:jc w:val="left"/>
            </w:pPr>
            <w:r>
              <w:t xml:space="preserve">Priorité</w:t>
            </w:r>
          </w:p>
        </w:tc>
      </w:tr>
      <w:tr>
        <w:trPr>
          <w:cantSplit/>
        </w:trPr>
        <w:tc>
          <w:tcPr>
            <w:cnfStyle w:val="001000000000" w:firstRow="0" w:lastRow="0" w:firstColumn="1" w:lastColumn="0" w:oddVBand="0" w:evenVBand="0" w:oddHBand="0" w:evenHBand="0" w:firstRowFirstColumn="0" w:firstRowLastColumn="0" w:lastRowFirstColumn="0" w:lastRowLastColumn="0"/>
            <w:tcW w:w="2107" w:type="dxa"/>
          </w:tcPr>
          <w:p>
            <w:pPr>
              <w:spacing w:after="0" w:line="240" w:lineRule="auto"/>
              <w:jc w:val="left"/>
            </w:pPr>
            <w:r>
              <w:t xml:space="preserve">Apprentissage profond</w:t>
            </w:r>
          </w:p>
        </w:tc>
        <w:tc>
          <w:tcPr>
            <w:tcW w:w="2748" w:type="dxa"/>
          </w:tcPr>
          <w:p>
            <w:pPr>
              <w:spacing w:after="0" w:line="240" w:lineRule="auto"/>
              <w:jc w:val="left"/>
            </w:pPr>
            <w:r>
              <w:t xml:space="preserve">Formation aux transformeurs, complétée de programmation en binôme sur le modèle existant</w:t>
            </w:r>
          </w:p>
        </w:tc>
        <w:tc>
          <w:tcPr>
            <w:tcW w:w="2471" w:type="dxa"/>
          </w:tcPr>
          <w:p>
            <w:pPr>
              <w:spacing w:after="0" w:line="240" w:lineRule="auto"/>
              <w:jc w:val="left"/>
            </w:pPr>
            <w:r>
              <w:t xml:space="preserve">En ligne et mentorat interne</w:t>
            </w:r>
          </w:p>
        </w:tc>
        <w:tc>
          <w:tcPr>
            <w:tcW w:w="1314" w:type="dxa"/>
          </w:tcPr>
          <w:p>
            <w:pPr>
              <w:spacing w:after="0" w:line="240" w:lineRule="auto"/>
              <w:jc w:val="left"/>
            </w:pPr>
            <w:r>
              <w:t xml:space="preserve">Haute</w:t>
            </w:r>
          </w:p>
        </w:tc>
      </w:tr>
      <w:tr>
        <w:trPr>
          <w:cantSplit/>
        </w:trPr>
        <w:tc>
          <w:tcPr>
            <w:cnfStyle w:val="001000000000" w:firstRow="0" w:lastRow="0" w:firstColumn="1" w:lastColumn="0" w:oddVBand="0" w:evenVBand="0" w:oddHBand="0" w:evenHBand="0" w:firstRowFirstColumn="0" w:firstRowLastColumn="0" w:lastRowFirstColumn="0" w:lastRowLastColumn="0"/>
            <w:tcW w:w="2107" w:type="dxa"/>
          </w:tcPr>
          <w:p>
            <w:pPr>
              <w:spacing w:after="0" w:line="240" w:lineRule="auto"/>
              <w:jc w:val="left"/>
            </w:pPr>
            <w:r>
              <w:t xml:space="preserve">ETL avancé</w:t>
            </w:r>
          </w:p>
        </w:tc>
        <w:tc>
          <w:tcPr>
            <w:tcW w:w="2748" w:type="dxa"/>
          </w:tcPr>
          <w:p>
            <w:pPr>
              <w:spacing w:after="0" w:line="240" w:lineRule="auto"/>
              <w:jc w:val="left"/>
            </w:pPr>
            <w:r>
              <w:t xml:space="preserve">Montée en compétence sur l’orchestrateur : déploiements, planification, reprise sur incident</w:t>
            </w:r>
          </w:p>
        </w:tc>
        <w:tc>
          <w:tcPr>
            <w:tcW w:w="2471" w:type="dxa"/>
          </w:tcPr>
          <w:p>
            <w:pPr>
              <w:spacing w:after="0" w:line="240" w:lineRule="auto"/>
              <w:jc w:val="left"/>
            </w:pPr>
            <w:r>
              <w:t xml:space="preserve">Documentation et atelier</w:t>
            </w:r>
          </w:p>
        </w:tc>
        <w:tc>
          <w:tcPr>
            <w:tcW w:w="1314" w:type="dxa"/>
          </w:tcPr>
          <w:p>
            <w:pPr>
              <w:spacing w:after="0" w:line="240" w:lineRule="auto"/>
              <w:jc w:val="left"/>
            </w:pPr>
            <w:r>
              <w:t xml:space="preserve">Moyenne</w:t>
            </w:r>
          </w:p>
        </w:tc>
      </w:tr>
      <w:tr>
        <w:trPr>
          <w:cantSplit/>
        </w:trPr>
        <w:tc>
          <w:tcPr>
            <w:cnfStyle w:val="001000000000" w:firstRow="0" w:lastRow="0" w:firstColumn="1" w:lastColumn="0" w:oddVBand="0" w:evenVBand="0" w:oddHBand="0" w:evenHBand="0" w:firstRowFirstColumn="0" w:firstRowLastColumn="0" w:lastRowFirstColumn="0" w:lastRowLastColumn="0"/>
            <w:tcW w:w="2107" w:type="dxa"/>
          </w:tcPr>
          <w:p>
            <w:pPr>
              <w:spacing w:after="0" w:line="240" w:lineRule="auto"/>
              <w:jc w:val="left"/>
            </w:pPr>
            <w:r>
              <w:t xml:space="preserve">Sécurité et RGPD</w:t>
            </w:r>
          </w:p>
        </w:tc>
        <w:tc>
          <w:tcPr>
            <w:tcW w:w="2748" w:type="dxa"/>
          </w:tcPr>
          <w:p>
            <w:pPr>
              <w:spacing w:after="0" w:line="240" w:lineRule="auto"/>
              <w:jc w:val="left"/>
            </w:pPr>
            <w:r>
              <w:t xml:space="preserve">Sensibilisation RGPD et revue avec un juriste</w:t>
            </w:r>
          </w:p>
        </w:tc>
        <w:tc>
          <w:tcPr>
            <w:tcW w:w="2471" w:type="dxa"/>
          </w:tcPr>
          <w:p>
            <w:pPr>
              <w:spacing w:after="0" w:line="240" w:lineRule="auto"/>
              <w:jc w:val="left"/>
            </w:pPr>
            <w:r>
              <w:t xml:space="preserve">Atelier et accompagnement juridique</w:t>
            </w:r>
          </w:p>
        </w:tc>
        <w:tc>
          <w:tcPr>
            <w:tcW w:w="1314" w:type="dxa"/>
          </w:tcPr>
          <w:p>
            <w:pPr>
              <w:spacing w:after="0" w:line="240" w:lineRule="auto"/>
              <w:jc w:val="left"/>
            </w:pPr>
            <w:r>
              <w:t xml:space="preserve">Moyenne</w:t>
            </w:r>
          </w:p>
        </w:tc>
      </w:tr>
      <w:tr>
        <w:trPr>
          <w:cantSplit/>
        </w:trPr>
        <w:tc>
          <w:tcPr>
            <w:cnfStyle w:val="001000000000" w:firstRow="0" w:lastRow="0" w:firstColumn="1" w:lastColumn="0" w:oddVBand="0" w:evenVBand="0" w:oddHBand="0" w:evenHBand="0" w:firstRowFirstColumn="0" w:firstRowLastColumn="0" w:lastRowFirstColumn="0" w:lastRowLastColumn="0"/>
            <w:tcW w:w="2107" w:type="dxa"/>
          </w:tcPr>
          <w:p>
            <w:pPr>
              <w:spacing w:after="0" w:line="240" w:lineRule="auto"/>
              <w:jc w:val="left"/>
            </w:pPr>
            <w:r>
              <w:t xml:space="preserve">Restitution</w:t>
            </w:r>
          </w:p>
        </w:tc>
        <w:tc>
          <w:tcPr>
            <w:tcW w:w="2748" w:type="dxa"/>
          </w:tcPr>
          <w:p>
            <w:pPr>
              <w:spacing w:after="0" w:line="240" w:lineRule="auto"/>
              <w:jc w:val="left"/>
            </w:pPr>
            <w:r>
              <w:t xml:space="preserve">Bonnes pratiques de visualisation : accessibilité, choix des représentations</w:t>
            </w:r>
          </w:p>
        </w:tc>
        <w:tc>
          <w:tcPr>
            <w:tcW w:w="2471" w:type="dxa"/>
          </w:tcPr>
          <w:p>
            <w:pPr>
              <w:spacing w:after="0" w:line="240" w:lineRule="auto"/>
              <w:jc w:val="left"/>
            </w:pPr>
            <w:r>
              <w:t xml:space="preserve">Auto-formation guidée</w:t>
            </w:r>
          </w:p>
        </w:tc>
        <w:tc>
          <w:tcPr>
            <w:tcW w:w="1314" w:type="dxa"/>
          </w:tcPr>
          <w:p>
            <w:pPr>
              <w:spacing w:after="0" w:line="240" w:lineRule="auto"/>
              <w:jc w:val="left"/>
            </w:pPr>
            <w:r>
              <w:t xml:space="preserve">Basse</w:t>
            </w:r>
          </w:p>
        </w:tc>
      </w:tr>
    </w:tbl>
    <w:p>
      <w:pPr>
        <w:spacing w:after="0" w:line="120" w:lineRule="exact"/>
      </w:pPr>
    </w:p>
    <w:p>
      <w:r>
        <w:rPr>
          <w:b/>
        </w:rPr>
        <w:t xml:space="preserve">Prise en compte du handicap.</w:t>
      </w:r>
      <w:r>
        <w:t xml:space="preserve"> Supports accessibles, avec contraste suffisant et sous-titrage des sessions enregistrées. Temps supplémentaire lors des évaluations. Possibilité de suivre à distance pour lever une contrainte de déplacement. Ces aménagements sont définis avec la personne concernée et le service des ressources humaines, et non appliqués par défaut.</w:t>
      </w:r>
    </w:p>
    <w:p>
      <w:pPr>
        <w:pStyle w:val="Titre2"/>
      </w:pPr>
      <w:bookmarkStart w:id="918" w:name="_Toc_b918"/>
      <w:bookmarkEnd w:id="918"/>
      <w:r>
        <w:t xml:space="preserve">Annexe G — Cas d’arbitrage : quel modèle mettre en production ?</w:t>
      </w:r>
    </w:p>
    <w:p>
      <w:r>
        <w:rPr>
          <w:b/>
        </w:rPr>
        <w:t xml:space="preserve">Problématique.</w:t>
      </w:r>
      <w:r>
        <w:t xml:space="preserve"> Le projet dispose de deux classifieurs. Faut-il promouvoir le transformeur deep learning en production à la place du modèle classique déjà intégré ?</w:t>
      </w:r>
    </w:p>
    <w:p>
      <w:pPr>
        <w:pStyle w:val="Titre3"/>
      </w:pPr>
      <w:bookmarkStart w:id="919" w:name="_Toc_b919"/>
      <w:bookmarkEnd w:id="919"/>
      <w:r>
        <w:t xml:space="preserve">G.1 Comparaison chiffrée</w:t>
      </w:r>
    </w:p>
    <w:tbl>
      <w:tblPr>
        <w:tblStyle w:val="Grilleclaire-Accent1"/>
        <w:tblW w:w="8640" w:type="dxa"/>
        <w:jc w:val="center"/>
        <w:tblLayout w:type="fixed"/>
        <w:tblLook w:val="04A0" w:firstRow="1" w:lastRow="0" w:firstColumn="1" w:lastColumn="0" w:noHBand="0" w:noVBand="1"/>
      </w:tblPr>
      <w:tblGrid>
        <w:gridCol w:w="2958"/>
        <w:gridCol w:w="2938"/>
        <w:gridCol w:w="274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58" w:type="dxa"/>
          </w:tcPr>
          <w:p>
            <w:pPr>
              <w:spacing w:after="0" w:line="240" w:lineRule="auto"/>
              <w:jc w:val="left"/>
            </w:pPr>
            <w:r>
              <w:t xml:space="preserve">Critère</w:t>
            </w:r>
          </w:p>
        </w:tc>
        <w:tc>
          <w:tcPr>
            <w:tcW w:w="2938" w:type="dxa"/>
          </w:tcPr>
          <w:p>
            <w:pPr>
              <w:spacing w:after="0" w:line="240" w:lineRule="auto"/>
              <w:jc w:val="left"/>
            </w:pPr>
            <w:r>
              <w:t xml:space="preserve">LinearSVC + Platt, en production</w:t>
            </w:r>
          </w:p>
        </w:tc>
        <w:tc>
          <w:tcPr>
            <w:tcW w:w="2744" w:type="dxa"/>
          </w:tcPr>
          <w:p>
            <w:pPr>
              <w:spacing w:after="0" w:line="240" w:lineRule="auto"/>
              <w:jc w:val="left"/>
            </w:pPr>
            <w:r>
              <w:t xml:space="preserve">XLM-RoBERTa v3</w:t>
            </w:r>
          </w:p>
        </w:tc>
      </w:tr>
      <w:tr>
        <w:trPr>
          <w:cantSplit/>
        </w:trPr>
        <w:tc>
          <w:tcPr>
            <w:cnfStyle w:val="001000000000" w:firstRow="0" w:lastRow="0" w:firstColumn="1" w:lastColumn="0" w:oddVBand="0" w:evenVBand="0" w:oddHBand="0" w:evenHBand="0" w:firstRowFirstColumn="0" w:firstRowLastColumn="0" w:lastRowFirstColumn="0" w:lastRowLastColumn="0"/>
            <w:tcW w:w="2958" w:type="dxa"/>
          </w:tcPr>
          <w:p>
            <w:pPr>
              <w:spacing w:after="0" w:line="240" w:lineRule="auto"/>
              <w:jc w:val="left"/>
            </w:pPr>
            <w:r>
              <w:t xml:space="preserve">Justesse</w:t>
            </w:r>
          </w:p>
        </w:tc>
        <w:tc>
          <w:tcPr>
            <w:tcW w:w="2938" w:type="dxa"/>
          </w:tcPr>
          <w:p>
            <w:pPr>
              <w:spacing w:after="0" w:line="240" w:lineRule="auto"/>
              <w:jc w:val="left"/>
            </w:pPr>
            <w:r>
              <w:rPr>
                <w:b/>
              </w:rPr>
              <w:t xml:space="preserve">0,907</w:t>
            </w:r>
          </w:p>
        </w:tc>
        <w:tc>
          <w:tcPr>
            <w:tcW w:w="2744" w:type="dxa"/>
          </w:tcPr>
          <w:p>
            <w:pPr>
              <w:spacing w:after="0" w:line="240" w:lineRule="auto"/>
              <w:jc w:val="left"/>
            </w:pPr>
            <w:r>
              <w:t xml:space="preserve">0,838</w:t>
            </w:r>
          </w:p>
        </w:tc>
      </w:tr>
      <w:tr>
        <w:trPr>
          <w:cantSplit/>
        </w:trPr>
        <w:tc>
          <w:tcPr>
            <w:cnfStyle w:val="001000000000" w:firstRow="0" w:lastRow="0" w:firstColumn="1" w:lastColumn="0" w:oddVBand="0" w:evenVBand="0" w:oddHBand="0" w:evenHBand="0" w:firstRowFirstColumn="0" w:firstRowLastColumn="0" w:lastRowFirstColumn="0" w:lastRowLastColumn="0"/>
            <w:tcW w:w="2958" w:type="dxa"/>
          </w:tcPr>
          <w:p>
            <w:pPr>
              <w:spacing w:after="0" w:line="240" w:lineRule="auto"/>
              <w:jc w:val="left"/>
            </w:pPr>
            <w:r>
              <w:t xml:space="preserve">Macro-F1</w:t>
            </w:r>
          </w:p>
        </w:tc>
        <w:tc>
          <w:tcPr>
            <w:tcW w:w="2938" w:type="dxa"/>
          </w:tcPr>
          <w:p>
            <w:pPr>
              <w:spacing w:after="0" w:line="240" w:lineRule="auto"/>
              <w:jc w:val="left"/>
            </w:pPr>
            <w:r>
              <w:rPr>
                <w:b/>
              </w:rPr>
              <w:t xml:space="preserve">0,869</w:t>
            </w:r>
            <w:r>
              <w:t xml:space="preserve"> en validation croisée, 0,892 en holdout</w:t>
            </w:r>
          </w:p>
        </w:tc>
        <w:tc>
          <w:tcPr>
            <w:tcW w:w="2744" w:type="dxa"/>
          </w:tcPr>
          <w:p>
            <w:pPr>
              <w:spacing w:after="0" w:line="240" w:lineRule="auto"/>
              <w:jc w:val="left"/>
            </w:pPr>
            <w:r>
              <w:t xml:space="preserve">0,802</w:t>
            </w:r>
          </w:p>
        </w:tc>
      </w:tr>
      <w:tr>
        <w:trPr>
          <w:cantSplit/>
        </w:trPr>
        <w:tc>
          <w:tcPr>
            <w:cnfStyle w:val="001000000000" w:firstRow="0" w:lastRow="0" w:firstColumn="1" w:lastColumn="0" w:oddVBand="0" w:evenVBand="0" w:oddHBand="0" w:evenHBand="0" w:firstRowFirstColumn="0" w:firstRowLastColumn="0" w:lastRowFirstColumn="0" w:lastRowLastColumn="0"/>
            <w:tcW w:w="2958" w:type="dxa"/>
          </w:tcPr>
          <w:p>
            <w:pPr>
              <w:spacing w:after="0" w:line="240" w:lineRule="auto"/>
              <w:jc w:val="left"/>
            </w:pPr>
            <w:r>
              <w:t xml:space="preserve">Calibration</w:t>
            </w:r>
          </w:p>
        </w:tc>
        <w:tc>
          <w:tcPr>
            <w:tcW w:w="2938" w:type="dxa"/>
          </w:tcPr>
          <w:p>
            <w:pPr>
              <w:spacing w:after="0" w:line="240" w:lineRule="auto"/>
              <w:jc w:val="left"/>
            </w:pPr>
            <w:r>
              <w:t xml:space="preserve">Correcte</w:t>
            </w:r>
          </w:p>
        </w:tc>
        <w:tc>
          <w:tcPr>
            <w:tcW w:w="2744" w:type="dxa"/>
          </w:tcPr>
          <w:p>
            <w:pPr>
              <w:spacing w:after="0" w:line="240" w:lineRule="auto"/>
              <w:jc w:val="left"/>
            </w:pPr>
            <w:r>
              <w:rPr>
                <w:b/>
              </w:rPr>
              <w:t xml:space="preserve">0,011</w:t>
            </w:r>
            <w:r>
              <w:t xml:space="preserve"> d’erreur de calibration, excellente</w:t>
            </w:r>
          </w:p>
        </w:tc>
      </w:tr>
      <w:tr>
        <w:trPr>
          <w:cantSplit/>
        </w:trPr>
        <w:tc>
          <w:tcPr>
            <w:cnfStyle w:val="001000000000" w:firstRow="0" w:lastRow="0" w:firstColumn="1" w:lastColumn="0" w:oddVBand="0" w:evenVBand="0" w:oddHBand="0" w:evenHBand="0" w:firstRowFirstColumn="0" w:firstRowLastColumn="0" w:lastRowFirstColumn="0" w:lastRowLastColumn="0"/>
            <w:tcW w:w="2958" w:type="dxa"/>
          </w:tcPr>
          <w:p>
            <w:pPr>
              <w:spacing w:after="0" w:line="240" w:lineRule="auto"/>
              <w:jc w:val="left"/>
            </w:pPr>
            <w:r>
              <w:t xml:space="preserve">Rappel sur les domaines réglementés</w:t>
            </w:r>
          </w:p>
        </w:tc>
        <w:tc>
          <w:tcPr>
            <w:tcW w:w="2938" w:type="dxa"/>
          </w:tcPr>
          <w:p>
            <w:pPr>
              <w:spacing w:after="0" w:line="240" w:lineRule="auto"/>
              <w:jc w:val="left"/>
            </w:pPr>
            <w:r>
              <w:t xml:space="preserve">—</w:t>
            </w:r>
          </w:p>
        </w:tc>
        <w:tc>
          <w:tcPr>
            <w:tcW w:w="2744" w:type="dxa"/>
          </w:tcPr>
          <w:p>
            <w:pPr>
              <w:spacing w:after="0" w:line="240" w:lineRule="auto"/>
              <w:jc w:val="left"/>
            </w:pPr>
            <w:r>
              <w:t xml:space="preserve">Finance 0,89 · RH 0,94 · Achats 0,91</w:t>
            </w:r>
          </w:p>
        </w:tc>
      </w:tr>
      <w:tr>
        <w:trPr>
          <w:cantSplit/>
        </w:trPr>
        <w:tc>
          <w:tcPr>
            <w:cnfStyle w:val="001000000000" w:firstRow="0" w:lastRow="0" w:firstColumn="1" w:lastColumn="0" w:oddVBand="0" w:evenVBand="0" w:oddHBand="0" w:evenHBand="0" w:firstRowFirstColumn="0" w:firstRowLastColumn="0" w:lastRowFirstColumn="0" w:lastRowLastColumn="0"/>
            <w:tcW w:w="2958" w:type="dxa"/>
          </w:tcPr>
          <w:p>
            <w:pPr>
              <w:spacing w:after="0" w:line="240" w:lineRule="auto"/>
              <w:jc w:val="left"/>
            </w:pPr>
            <w:r>
              <w:t xml:space="preserve">Poids de déploiement</w:t>
            </w:r>
          </w:p>
        </w:tc>
        <w:tc>
          <w:tcPr>
            <w:tcW w:w="2938" w:type="dxa"/>
          </w:tcPr>
          <w:p>
            <w:pPr>
              <w:spacing w:after="0" w:line="240" w:lineRule="auto"/>
              <w:jc w:val="left"/>
            </w:pPr>
            <w:r>
              <w:rPr>
                <w:b/>
              </w:rPr>
              <w:t xml:space="preserve">Quelques mégaoctets</w:t>
            </w:r>
          </w:p>
        </w:tc>
        <w:tc>
          <w:tcPr>
            <w:tcW w:w="2744" w:type="dxa"/>
          </w:tcPr>
          <w:p>
            <w:pPr>
              <w:spacing w:after="0" w:line="240" w:lineRule="auto"/>
              <w:jc w:val="left"/>
            </w:pPr>
            <w:r>
              <w:t xml:space="preserve">2,1 Go, plus le moteur d’inférence</w:t>
            </w:r>
          </w:p>
        </w:tc>
      </w:tr>
      <w:tr>
        <w:trPr>
          <w:cantSplit/>
        </w:trPr>
        <w:tc>
          <w:tcPr>
            <w:cnfStyle w:val="001000000000" w:firstRow="0" w:lastRow="0" w:firstColumn="1" w:lastColumn="0" w:oddVBand="0" w:evenVBand="0" w:oddHBand="0" w:evenHBand="0" w:firstRowFirstColumn="0" w:firstRowLastColumn="0" w:lastRowFirstColumn="0" w:lastRowLastColumn="0"/>
            <w:tcW w:w="2958" w:type="dxa"/>
          </w:tcPr>
          <w:p>
            <w:pPr>
              <w:spacing w:after="0" w:line="240" w:lineRule="auto"/>
              <w:jc w:val="left"/>
            </w:pPr>
            <w:r>
              <w:t xml:space="preserve">Intégration au traitement par lots</w:t>
            </w:r>
          </w:p>
        </w:tc>
        <w:tc>
          <w:tcPr>
            <w:tcW w:w="2938" w:type="dxa"/>
          </w:tcPr>
          <w:p>
            <w:pPr>
              <w:spacing w:after="0" w:line="240" w:lineRule="auto"/>
              <w:jc w:val="left"/>
            </w:pPr>
            <w:r>
              <w:rPr>
                <w:b/>
              </w:rPr>
              <w:t xml:space="preserve">Oui</w:t>
            </w:r>
            <w:r>
              <w:t xml:space="preserve">, scoring des 167 260 actifs</w:t>
            </w:r>
          </w:p>
        </w:tc>
        <w:tc>
          <w:tcPr>
            <w:tcW w:w="2744" w:type="dxa"/>
          </w:tcPr>
          <w:p>
            <w:pPr>
              <w:spacing w:after="0" w:line="240" w:lineRule="auto"/>
              <w:jc w:val="left"/>
            </w:pPr>
            <w:r>
              <w:t xml:space="preserve">Non, démonstration interactive seulement</w:t>
            </w:r>
          </w:p>
        </w:tc>
      </w:tr>
      <w:tr>
        <w:trPr>
          <w:cantSplit/>
        </w:trPr>
        <w:tc>
          <w:tcPr>
            <w:cnfStyle w:val="001000000000" w:firstRow="0" w:lastRow="0" w:firstColumn="1" w:lastColumn="0" w:oddVBand="0" w:evenVBand="0" w:oddHBand="0" w:evenHBand="0" w:firstRowFirstColumn="0" w:firstRowLastColumn="0" w:lastRowFirstColumn="0" w:lastRowLastColumn="0"/>
            <w:tcW w:w="2958" w:type="dxa"/>
          </w:tcPr>
          <w:p>
            <w:pPr>
              <w:spacing w:after="0" w:line="240" w:lineRule="auto"/>
              <w:jc w:val="left"/>
            </w:pPr>
            <w:r>
              <w:t xml:space="preserve">Déterminisme et reproductibilité</w:t>
            </w:r>
          </w:p>
        </w:tc>
        <w:tc>
          <w:tcPr>
            <w:tcW w:w="2938" w:type="dxa"/>
          </w:tcPr>
          <w:p>
            <w:pPr>
              <w:spacing w:after="0" w:line="240" w:lineRule="auto"/>
              <w:jc w:val="left"/>
            </w:pPr>
            <w:r>
              <w:rPr>
                <w:b/>
              </w:rPr>
              <w:t xml:space="preserve">Élevé</w:t>
            </w:r>
          </w:p>
        </w:tc>
        <w:tc>
          <w:tcPr>
            <w:tcW w:w="2744" w:type="dxa"/>
          </w:tcPr>
          <w:p>
            <w:pPr>
              <w:spacing w:after="0" w:line="240" w:lineRule="auto"/>
              <w:jc w:val="left"/>
            </w:pPr>
            <w:r>
              <w:t xml:space="preserve">Moindre</w:t>
            </w:r>
          </w:p>
        </w:tc>
      </w:tr>
    </w:tbl>
    <w:p>
      <w:pPr>
        <w:spacing w:after="0" w:line="120" w:lineRule="exact"/>
      </w:pPr>
    </w:p>
    <w:p>
      <w:pPr>
        <w:pStyle w:val="Titre3"/>
      </w:pPr>
      <w:bookmarkStart w:id="920" w:name="_Toc_b920"/>
      <w:bookmarkEnd w:id="920"/>
      <w:r>
        <w:t xml:space="preserve">G.2 Grille multicritère pondérée</w:t>
      </w:r>
    </w:p>
    <w:p>
      <w:r>
        <w:t xml:space="preserve">Chaque option est notée de 1 à 5 sur cinq critères, pondérés selon leur importance pour un produit destiné à être installé chez des clients.</w:t>
      </w:r>
    </w:p>
    <w:tbl>
      <w:tblPr>
        <w:tblStyle w:val="Grilleclaire-Accent1"/>
        <w:tblW w:w="8640" w:type="dxa"/>
        <w:jc w:val="center"/>
        <w:tblLayout w:type="fixed"/>
        <w:tblLook w:val="04A0" w:firstRow="1" w:lastRow="0" w:firstColumn="1" w:lastColumn="0" w:noHBand="0" w:noVBand="1"/>
      </w:tblPr>
      <w:tblGrid>
        <w:gridCol w:w="2852"/>
        <w:gridCol w:w="1028"/>
        <w:gridCol w:w="1957"/>
        <w:gridCol w:w="1534"/>
        <w:gridCol w:w="126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Critère</w:t>
            </w:r>
          </w:p>
        </w:tc>
        <w:tc>
          <w:tcPr>
            <w:tcW w:w="1028" w:type="dxa"/>
          </w:tcPr>
          <w:p>
            <w:pPr>
              <w:spacing w:after="0" w:line="240" w:lineRule="auto"/>
              <w:jc w:val="left"/>
            </w:pPr>
            <w:r>
              <w:t xml:space="preserve">Poids</w:t>
            </w:r>
          </w:p>
        </w:tc>
        <w:tc>
          <w:tcPr>
            <w:tcW w:w="1957" w:type="dxa"/>
          </w:tcPr>
          <w:p>
            <w:pPr>
              <w:spacing w:after="0" w:line="240" w:lineRule="auto"/>
              <w:jc w:val="left"/>
            </w:pPr>
            <w:r>
              <w:t xml:space="preserve">A — Transformeur</w:t>
            </w:r>
          </w:p>
        </w:tc>
        <w:tc>
          <w:tcPr>
            <w:tcW w:w="1534" w:type="dxa"/>
          </w:tcPr>
          <w:p>
            <w:pPr>
              <w:spacing w:after="0" w:line="240" w:lineRule="auto"/>
              <w:jc w:val="left"/>
            </w:pPr>
            <w:r>
              <w:t xml:space="preserve">B — LinearSVC</w:t>
            </w:r>
          </w:p>
        </w:tc>
        <w:tc>
          <w:tcPr>
            <w:tcW w:w="1269" w:type="dxa"/>
          </w:tcPr>
          <w:p>
            <w:pPr>
              <w:spacing w:after="0" w:line="240" w:lineRule="auto"/>
              <w:jc w:val="left"/>
            </w:pPr>
            <w:r>
              <w:t xml:space="preserve">C — Hybride</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Justesse de classification</w:t>
            </w:r>
          </w:p>
        </w:tc>
        <w:tc>
          <w:tcPr>
            <w:tcW w:w="1028" w:type="dxa"/>
          </w:tcPr>
          <w:p>
            <w:pPr>
              <w:spacing w:after="0" w:line="240" w:lineRule="auto"/>
              <w:jc w:val="left"/>
            </w:pPr>
            <w:r>
              <w:t xml:space="preserve">30 %</w:t>
            </w:r>
          </w:p>
        </w:tc>
        <w:tc>
          <w:tcPr>
            <w:tcW w:w="1957" w:type="dxa"/>
          </w:tcPr>
          <w:p>
            <w:pPr>
              <w:spacing w:after="0" w:line="240" w:lineRule="auto"/>
              <w:jc w:val="left"/>
            </w:pPr>
            <w:r>
              <w:t xml:space="preserve">3</w:t>
            </w:r>
          </w:p>
        </w:tc>
        <w:tc>
          <w:tcPr>
            <w:tcW w:w="1534" w:type="dxa"/>
          </w:tcPr>
          <w:p>
            <w:pPr>
              <w:spacing w:after="0" w:line="240" w:lineRule="auto"/>
              <w:jc w:val="left"/>
            </w:pPr>
            <w:r>
              <w:rPr>
                <w:b/>
              </w:rPr>
              <w:t xml:space="preserve">5</w:t>
            </w:r>
          </w:p>
        </w:tc>
        <w:tc>
          <w:tcPr>
            <w:tcW w:w="1269" w:type="dxa"/>
          </w:tcPr>
          <w:p>
            <w:pPr>
              <w:spacing w:after="0" w:line="240" w:lineRule="auto"/>
              <w:jc w:val="left"/>
            </w:pPr>
            <w:r>
              <w:t xml:space="preserve">5</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Coût et simplicité de déploiement</w:t>
            </w:r>
          </w:p>
        </w:tc>
        <w:tc>
          <w:tcPr>
            <w:tcW w:w="1028" w:type="dxa"/>
          </w:tcPr>
          <w:p>
            <w:pPr>
              <w:spacing w:after="0" w:line="240" w:lineRule="auto"/>
              <w:jc w:val="left"/>
            </w:pPr>
            <w:r>
              <w:t xml:space="preserve">25 %</w:t>
            </w:r>
          </w:p>
        </w:tc>
        <w:tc>
          <w:tcPr>
            <w:tcW w:w="1957" w:type="dxa"/>
          </w:tcPr>
          <w:p>
            <w:pPr>
              <w:spacing w:after="0" w:line="240" w:lineRule="auto"/>
              <w:jc w:val="left"/>
            </w:pPr>
            <w:r>
              <w:t xml:space="preserve">1</w:t>
            </w:r>
          </w:p>
        </w:tc>
        <w:tc>
          <w:tcPr>
            <w:tcW w:w="1534" w:type="dxa"/>
          </w:tcPr>
          <w:p>
            <w:pPr>
              <w:spacing w:after="0" w:line="240" w:lineRule="auto"/>
              <w:jc w:val="left"/>
            </w:pPr>
            <w:r>
              <w:rPr>
                <w:b/>
              </w:rPr>
              <w:t xml:space="preserve">5</w:t>
            </w:r>
          </w:p>
        </w:tc>
        <w:tc>
          <w:tcPr>
            <w:tcW w:w="1269" w:type="dxa"/>
          </w:tcPr>
          <w:p>
            <w:pPr>
              <w:spacing w:after="0" w:line="240" w:lineRule="auto"/>
              <w:jc w:val="left"/>
            </w:pPr>
            <w:r>
              <w:t xml:space="preserve">1</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Intégration au pipeline existant</w:t>
            </w:r>
          </w:p>
        </w:tc>
        <w:tc>
          <w:tcPr>
            <w:tcW w:w="1028" w:type="dxa"/>
          </w:tcPr>
          <w:p>
            <w:pPr>
              <w:spacing w:after="0" w:line="240" w:lineRule="auto"/>
              <w:jc w:val="left"/>
            </w:pPr>
            <w:r>
              <w:t xml:space="preserve">20 %</w:t>
            </w:r>
          </w:p>
        </w:tc>
        <w:tc>
          <w:tcPr>
            <w:tcW w:w="1957" w:type="dxa"/>
          </w:tcPr>
          <w:p>
            <w:pPr>
              <w:spacing w:after="0" w:line="240" w:lineRule="auto"/>
              <w:jc w:val="left"/>
            </w:pPr>
            <w:r>
              <w:t xml:space="preserve">1</w:t>
            </w:r>
          </w:p>
        </w:tc>
        <w:tc>
          <w:tcPr>
            <w:tcW w:w="1534" w:type="dxa"/>
          </w:tcPr>
          <w:p>
            <w:pPr>
              <w:spacing w:after="0" w:line="240" w:lineRule="auto"/>
              <w:jc w:val="left"/>
            </w:pPr>
            <w:r>
              <w:rPr>
                <w:b/>
              </w:rPr>
              <w:t xml:space="preserve">5</w:t>
            </w:r>
          </w:p>
        </w:tc>
        <w:tc>
          <w:tcPr>
            <w:tcW w:w="1269" w:type="dxa"/>
          </w:tcPr>
          <w:p>
            <w:pPr>
              <w:spacing w:after="0" w:line="240" w:lineRule="auto"/>
              <w:jc w:val="left"/>
            </w:pPr>
            <w:r>
              <w:t xml:space="preserve">2</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Calibration et fiabilité de la confiance</w:t>
            </w:r>
          </w:p>
        </w:tc>
        <w:tc>
          <w:tcPr>
            <w:tcW w:w="1028" w:type="dxa"/>
          </w:tcPr>
          <w:p>
            <w:pPr>
              <w:spacing w:after="0" w:line="240" w:lineRule="auto"/>
              <w:jc w:val="left"/>
            </w:pPr>
            <w:r>
              <w:t xml:space="preserve">15 %</w:t>
            </w:r>
          </w:p>
        </w:tc>
        <w:tc>
          <w:tcPr>
            <w:tcW w:w="1957" w:type="dxa"/>
          </w:tcPr>
          <w:p>
            <w:pPr>
              <w:spacing w:after="0" w:line="240" w:lineRule="auto"/>
              <w:jc w:val="left"/>
            </w:pPr>
            <w:r>
              <w:t xml:space="preserve">5</w:t>
            </w:r>
          </w:p>
        </w:tc>
        <w:tc>
          <w:tcPr>
            <w:tcW w:w="1534" w:type="dxa"/>
          </w:tcPr>
          <w:p>
            <w:pPr>
              <w:spacing w:after="0" w:line="240" w:lineRule="auto"/>
              <w:jc w:val="left"/>
            </w:pPr>
            <w:r>
              <w:t xml:space="preserve">3</w:t>
            </w:r>
          </w:p>
        </w:tc>
        <w:tc>
          <w:tcPr>
            <w:tcW w:w="1269" w:type="dxa"/>
          </w:tcPr>
          <w:p>
            <w:pPr>
              <w:spacing w:after="0" w:line="240" w:lineRule="auto"/>
              <w:jc w:val="left"/>
            </w:pPr>
            <w:r>
              <w:t xml:space="preserve">5</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Maintenabilité et déterminisme</w:t>
            </w:r>
          </w:p>
        </w:tc>
        <w:tc>
          <w:tcPr>
            <w:tcW w:w="1028" w:type="dxa"/>
          </w:tcPr>
          <w:p>
            <w:pPr>
              <w:spacing w:after="0" w:line="240" w:lineRule="auto"/>
              <w:jc w:val="left"/>
            </w:pPr>
            <w:r>
              <w:t xml:space="preserve">10 %</w:t>
            </w:r>
          </w:p>
        </w:tc>
        <w:tc>
          <w:tcPr>
            <w:tcW w:w="1957" w:type="dxa"/>
          </w:tcPr>
          <w:p>
            <w:pPr>
              <w:spacing w:after="0" w:line="240" w:lineRule="auto"/>
              <w:jc w:val="left"/>
            </w:pPr>
            <w:r>
              <w:t xml:space="preserve">2</w:t>
            </w:r>
          </w:p>
        </w:tc>
        <w:tc>
          <w:tcPr>
            <w:tcW w:w="1534" w:type="dxa"/>
          </w:tcPr>
          <w:p>
            <w:pPr>
              <w:spacing w:after="0" w:line="240" w:lineRule="auto"/>
              <w:jc w:val="left"/>
            </w:pPr>
            <w:r>
              <w:rPr>
                <w:b/>
              </w:rPr>
              <w:t xml:space="preserve">5</w:t>
            </w:r>
          </w:p>
        </w:tc>
        <w:tc>
          <w:tcPr>
            <w:tcW w:w="1269" w:type="dxa"/>
          </w:tcPr>
          <w:p>
            <w:pPr>
              <w:spacing w:after="0" w:line="240" w:lineRule="auto"/>
              <w:jc w:val="left"/>
            </w:pPr>
            <w:r>
              <w:t xml:space="preserve">1</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rPr>
                <w:b/>
              </w:rPr>
              <w:t xml:space="preserve">Score pondéré</w:t>
            </w:r>
          </w:p>
        </w:tc>
        <w:tc>
          <w:tcPr>
            <w:tcW w:w="1028" w:type="dxa"/>
          </w:tcPr>
          <w:p>
            <w:pPr>
              <w:spacing w:after="0" w:line="240" w:lineRule="auto"/>
              <w:jc w:val="left"/>
            </w:pPr>
          </w:p>
        </w:tc>
        <w:tc>
          <w:tcPr>
            <w:tcW w:w="1957" w:type="dxa"/>
          </w:tcPr>
          <w:p>
            <w:pPr>
              <w:spacing w:after="0" w:line="240" w:lineRule="auto"/>
              <w:jc w:val="left"/>
            </w:pPr>
            <w:r>
              <w:rPr>
                <w:b/>
              </w:rPr>
              <w:t xml:space="preserve">2,30</w:t>
            </w:r>
          </w:p>
        </w:tc>
        <w:tc>
          <w:tcPr>
            <w:tcW w:w="1534" w:type="dxa"/>
          </w:tcPr>
          <w:p>
            <w:pPr>
              <w:spacing w:after="0" w:line="240" w:lineRule="auto"/>
              <w:jc w:val="left"/>
            </w:pPr>
            <w:r>
              <w:rPr>
                <w:b/>
              </w:rPr>
              <w:t xml:space="preserve">4,70</w:t>
            </w:r>
          </w:p>
        </w:tc>
        <w:tc>
          <w:tcPr>
            <w:tcW w:w="1269" w:type="dxa"/>
          </w:tcPr>
          <w:p>
            <w:pPr>
              <w:spacing w:after="0" w:line="240" w:lineRule="auto"/>
              <w:jc w:val="left"/>
            </w:pPr>
            <w:r>
              <w:rPr>
                <w:b/>
              </w:rPr>
              <w:t xml:space="preserve">3,00</w:t>
            </w:r>
          </w:p>
        </w:tc>
      </w:tr>
    </w:tbl>
    <w:p>
      <w:pPr>
        <w:spacing w:after="0" w:line="120" w:lineRule="exact"/>
      </w:pPr>
    </w:p>
    <w:p>
      <w:pPr>
        <w:pStyle w:val="Titre3"/>
      </w:pPr>
      <w:bookmarkStart w:id="921" w:name="_Toc_b921"/>
      <w:bookmarkEnd w:id="921"/>
      <w:r>
        <w:t xml:space="preserve">G.3 Options et décision</w:t>
      </w:r>
    </w:p>
    <w:p>
      <w:r>
        <w:rPr>
          <w:b/>
        </w:rPr>
        <w:t xml:space="preserve">Option A — Promouvoir le transformeur.</w:t>
      </w:r>
      <w:r>
        <w:t xml:space="preserve"> Meilleure calibration et meilleur rappel sur les domaines réglementés, mais justesse inférieure, 2,1 Go à déployer chez chaque client, et absence d’intégration au traitement par lots.</w:t>
      </w:r>
    </w:p>
    <w:p>
      <w:r>
        <w:rPr>
          <w:b/>
        </w:rPr>
        <w:t xml:space="preserve">Option B — Conserver le LinearSVC.</w:t>
      </w:r>
      <w:r>
        <w:t xml:space="preserve"> </w:t>
      </w:r>
      <w:r>
        <w:rPr>
          <w:i/>
        </w:rPr>
        <w:t xml:space="preserve">Retenue.</w:t>
      </w:r>
      <w:r>
        <w:t xml:space="preserve"> Meilleure justesse, quelques mégaoctets, comportement déterministe, déjà intégré au pipeline.</w:t>
      </w:r>
    </w:p>
    <w:p>
      <w:r>
        <w:rPr>
          <w:b/>
        </w:rPr>
        <w:t xml:space="preserve">Option C — Faire cohabiter les deux modèles.</w:t>
      </w:r>
      <w:r>
        <w:t xml:space="preserve"> Cumulerait les forces mais doublerait la maintenance et la surface de test.</w:t>
      </w:r>
    </w:p>
    <w:p>
      <w:r>
        <w:rPr>
          <w:b/>
        </w:rPr>
        <w:t xml:space="preserve">Décision argumentée.</w:t>
      </w:r>
      <w:r>
        <w:t xml:space="preserve"> Sur la justesse, métrique décisive pour l’usage, le LinearSVC devance le transformeur, 0,907 contre 0,838. Le coût de déploiement de ce dernier est disproportionné pour un produit dont l’argument commercial est d’être installable chez n’importe quel client PeopleSoft. Enfin, les deux modèles étant évalués contre les mêmes étiquettes de référence, promouvoir le transformeur sur cette base ne serait pas justifiable tant qu’une comparaison sur vérité terrain humaine n’a pas été conduite. Le transformeur reste développé comme axe de recherche, rattaché au Bloc 5, et redeviendra promouvable si une comparaison équitable le justifie. La décision est tracée dans la documentation de classification et dans la fiche de modèle.</w:t>
      </w:r>
    </w:p>
    <w:p>
      <w:pPr>
        <w:pStyle w:val="Titre2"/>
      </w:pPr>
      <w:bookmarkStart w:id="922" w:name="_Toc_b922"/>
      <w:bookmarkEnd w:id="922"/>
      <w:r>
        <w:t xml:space="preserve">Annexe H — Plan d’actions RSE, sécurité, éthique et confidentialité</w:t>
      </w:r>
    </w:p>
    <w:tbl>
      <w:tblPr>
        <w:tblStyle w:val="Grilleclaire-Accent1"/>
        <w:tblW w:w="8640" w:type="dxa"/>
        <w:jc w:val="center"/>
        <w:tblLayout w:type="fixed"/>
        <w:tblLook w:val="04A0" w:firstRow="1" w:lastRow="0" w:firstColumn="1" w:lastColumn="0" w:noHBand="0" w:noVBand="1"/>
      </w:tblPr>
      <w:tblGrid>
        <w:gridCol w:w="2229"/>
        <w:gridCol w:w="2456"/>
        <w:gridCol w:w="1128"/>
        <w:gridCol w:w="28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29" w:type="dxa"/>
          </w:tcPr>
          <w:p>
            <w:pPr>
              <w:spacing w:after="0" w:line="240" w:lineRule="auto"/>
              <w:jc w:val="left"/>
            </w:pPr>
            <w:r>
              <w:t xml:space="preserve">Sujet</w:t>
            </w:r>
          </w:p>
        </w:tc>
        <w:tc>
          <w:tcPr>
            <w:tcW w:w="2456" w:type="dxa"/>
          </w:tcPr>
          <w:p>
            <w:pPr>
              <w:spacing w:after="0" w:line="240" w:lineRule="auto"/>
              <w:jc w:val="left"/>
            </w:pPr>
            <w:r>
              <w:t xml:space="preserve">Action</w:t>
            </w:r>
          </w:p>
        </w:tc>
        <w:tc>
          <w:tcPr>
            <w:tcW w:w="1128" w:type="dxa"/>
          </w:tcPr>
          <w:p>
            <w:pPr>
              <w:spacing w:after="0" w:line="240" w:lineRule="auto"/>
              <w:jc w:val="left"/>
            </w:pPr>
            <w:r>
              <w:t xml:space="preserve">Statut</w:t>
            </w:r>
          </w:p>
        </w:tc>
        <w:tc>
          <w:tcPr>
            <w:tcW w:w="2827" w:type="dxa"/>
          </w:tcPr>
          <w:p>
            <w:pPr>
              <w:spacing w:after="0" w:line="240" w:lineRule="auto"/>
              <w:jc w:val="left"/>
            </w:pPr>
            <w:r>
              <w:t xml:space="preserve">Délai</w:t>
            </w:r>
          </w:p>
        </w:tc>
      </w:tr>
      <w:tr>
        <w:trPr>
          <w:cantSplit/>
        </w:trPr>
        <w:tc>
          <w:tcPr>
            <w:cnfStyle w:val="001000000000" w:firstRow="0" w:lastRow="0" w:firstColumn="1" w:lastColumn="0" w:oddVBand="0" w:evenVBand="0" w:oddHBand="0" w:evenHBand="0" w:firstRowFirstColumn="0" w:firstRowLastColumn="0" w:lastRowFirstColumn="0" w:lastRowLastColumn="0"/>
            <w:tcW w:w="2229" w:type="dxa"/>
          </w:tcPr>
          <w:p>
            <w:pPr>
              <w:spacing w:after="0" w:line="240" w:lineRule="auto"/>
              <w:jc w:val="left"/>
            </w:pPr>
            <w:r>
              <w:rPr>
                <w:b/>
              </w:rPr>
              <w:t xml:space="preserve">Confidentialité</w:t>
            </w:r>
          </w:p>
        </w:tc>
        <w:tc>
          <w:tcPr>
            <w:tcW w:w="2456" w:type="dxa"/>
          </w:tcPr>
          <w:p>
            <w:pPr>
              <w:spacing w:after="0" w:line="240" w:lineRule="auto"/>
              <w:jc w:val="left"/>
            </w:pPr>
            <w:r>
              <w:t xml:space="preserve">Masquage des données personnelles dans les exports et chiffrement au repos en base</w:t>
            </w:r>
          </w:p>
        </w:tc>
        <w:tc>
          <w:tcPr>
            <w:tcW w:w="1128" w:type="dxa"/>
          </w:tcPr>
          <w:p>
            <w:pPr>
              <w:spacing w:after="0" w:line="240" w:lineRule="auto"/>
              <w:jc w:val="left"/>
            </w:pPr>
            <w:r>
              <w:t xml:space="preserve">Réalisé</w:t>
            </w:r>
          </w:p>
        </w:tc>
        <w:tc>
          <w:tcPr>
            <w:tcW w:w="2827" w:type="dxa"/>
          </w:tcPr>
          <w:p>
            <w:pPr>
              <w:spacing w:after="0" w:line="240" w:lineRule="auto"/>
              <w:jc w:val="left"/>
            </w:pPr>
            <w:r>
              <w:t xml:space="preserve">Phases P2 et P4</w:t>
            </w:r>
          </w:p>
        </w:tc>
      </w:tr>
      <w:tr>
        <w:trPr>
          <w:cantSplit/>
        </w:trPr>
        <w:tc>
          <w:tcPr>
            <w:cnfStyle w:val="001000000000" w:firstRow="0" w:lastRow="0" w:firstColumn="1" w:lastColumn="0" w:oddVBand="0" w:evenVBand="0" w:oddHBand="0" w:evenHBand="0" w:firstRowFirstColumn="0" w:firstRowLastColumn="0" w:lastRowFirstColumn="0" w:lastRowLastColumn="0"/>
            <w:tcW w:w="2229" w:type="dxa"/>
          </w:tcPr>
          <w:p>
            <w:pPr>
              <w:spacing w:after="0" w:line="240" w:lineRule="auto"/>
              <w:jc w:val="left"/>
            </w:pPr>
            <w:r>
              <w:rPr>
                <w:b/>
              </w:rPr>
              <w:t xml:space="preserve">Sécurité</w:t>
            </w:r>
          </w:p>
        </w:tc>
        <w:tc>
          <w:tcPr>
            <w:tcW w:w="2456" w:type="dxa"/>
          </w:tcPr>
          <w:p>
            <w:pPr>
              <w:spacing w:after="0" w:line="240" w:lineRule="auto"/>
              <w:jc w:val="left"/>
            </w:pPr>
            <w:r>
              <w:t xml:space="preserve">Accès Oracle en lecture seule ; comptes PostgreSQL séparés en lecture et écriture, moindre privilège</w:t>
            </w:r>
          </w:p>
        </w:tc>
        <w:tc>
          <w:tcPr>
            <w:tcW w:w="1128" w:type="dxa"/>
          </w:tcPr>
          <w:p>
            <w:pPr>
              <w:spacing w:after="0" w:line="240" w:lineRule="auto"/>
              <w:jc w:val="left"/>
            </w:pPr>
            <w:r>
              <w:t xml:space="preserve">Réalisé</w:t>
            </w:r>
          </w:p>
        </w:tc>
        <w:tc>
          <w:tcPr>
            <w:tcW w:w="2827" w:type="dxa"/>
          </w:tcPr>
          <w:p>
            <w:pPr>
              <w:spacing w:after="0" w:line="240" w:lineRule="auto"/>
              <w:jc w:val="left"/>
            </w:pPr>
            <w:r>
              <w:t xml:space="preserve">Phase P4</w:t>
            </w:r>
          </w:p>
        </w:tc>
      </w:tr>
      <w:tr>
        <w:trPr>
          <w:cantSplit/>
        </w:trPr>
        <w:tc>
          <w:tcPr>
            <w:cnfStyle w:val="001000000000" w:firstRow="0" w:lastRow="0" w:firstColumn="1" w:lastColumn="0" w:oddVBand="0" w:evenVBand="0" w:oddHBand="0" w:evenHBand="0" w:firstRowFirstColumn="0" w:firstRowLastColumn="0" w:lastRowFirstColumn="0" w:lastRowLastColumn="0"/>
            <w:tcW w:w="2229" w:type="dxa"/>
          </w:tcPr>
          <w:p>
            <w:pPr>
              <w:spacing w:after="0" w:line="240" w:lineRule="auto"/>
              <w:jc w:val="left"/>
            </w:pPr>
            <w:r>
              <w:rPr>
                <w:b/>
              </w:rPr>
              <w:t xml:space="preserve">Éthique de l’IA</w:t>
            </w:r>
          </w:p>
        </w:tc>
        <w:tc>
          <w:tcPr>
            <w:tcW w:w="2456" w:type="dxa"/>
          </w:tcPr>
          <w:p>
            <w:pPr>
              <w:spacing w:after="0" w:line="240" w:lineRule="auto"/>
              <w:jc w:val="left"/>
            </w:pPr>
            <w:r>
              <w:t xml:space="preserve">Publication de la justesse réelle du modèle, environ 75 % validée humainement, et non de l’accord avec l’annotateur automatique ; affichage systématique de la confiance</w:t>
            </w:r>
          </w:p>
        </w:tc>
        <w:tc>
          <w:tcPr>
            <w:tcW w:w="1128" w:type="dxa"/>
          </w:tcPr>
          <w:p>
            <w:pPr>
              <w:spacing w:after="0" w:line="240" w:lineRule="auto"/>
              <w:jc w:val="left"/>
            </w:pPr>
            <w:r>
              <w:t xml:space="preserve">Réalisé</w:t>
            </w:r>
          </w:p>
        </w:tc>
        <w:tc>
          <w:tcPr>
            <w:tcW w:w="2827" w:type="dxa"/>
          </w:tcPr>
          <w:p>
            <w:pPr>
              <w:spacing w:after="0" w:line="240" w:lineRule="auto"/>
              <w:jc w:val="left"/>
            </w:pPr>
            <w:r>
              <w:t xml:space="preserve">Phases P0 à P3</w:t>
            </w:r>
          </w:p>
        </w:tc>
      </w:tr>
      <w:tr>
        <w:trPr>
          <w:cantSplit/>
        </w:trPr>
        <w:tc>
          <w:tcPr>
            <w:cnfStyle w:val="001000000000" w:firstRow="0" w:lastRow="0" w:firstColumn="1" w:lastColumn="0" w:oddVBand="0" w:evenVBand="0" w:oddHBand="0" w:evenHBand="0" w:firstRowFirstColumn="0" w:firstRowLastColumn="0" w:lastRowFirstColumn="0" w:lastRowLastColumn="0"/>
            <w:tcW w:w="2229" w:type="dxa"/>
          </w:tcPr>
          <w:p>
            <w:pPr>
              <w:spacing w:after="0" w:line="240" w:lineRule="auto"/>
              <w:jc w:val="left"/>
            </w:pPr>
            <w:r>
              <w:rPr>
                <w:b/>
              </w:rPr>
              <w:t xml:space="preserve">Environnement</w:t>
            </w:r>
          </w:p>
        </w:tc>
        <w:tc>
          <w:tcPr>
            <w:tcW w:w="2456" w:type="dxa"/>
          </w:tcPr>
          <w:p>
            <w:pPr>
              <w:spacing w:after="0" w:line="240" w:lineRule="auto"/>
              <w:jc w:val="left"/>
            </w:pPr>
            <w:r>
              <w:t xml:space="preserve">Recommandations d’archivage réduisant le volume en stockage actif ; choix d’un modèle de production léger contre un transformeur de 2,1 Go</w:t>
            </w:r>
          </w:p>
        </w:tc>
        <w:tc>
          <w:tcPr>
            <w:tcW w:w="1128" w:type="dxa"/>
          </w:tcPr>
          <w:p>
            <w:pPr>
              <w:spacing w:after="0" w:line="240" w:lineRule="auto"/>
              <w:jc w:val="left"/>
            </w:pPr>
            <w:r>
              <w:t xml:space="preserve">Réalisé</w:t>
            </w:r>
          </w:p>
        </w:tc>
        <w:tc>
          <w:tcPr>
            <w:tcW w:w="2827" w:type="dxa"/>
          </w:tcPr>
          <w:p>
            <w:pPr>
              <w:spacing w:after="0" w:line="240" w:lineRule="auto"/>
              <w:jc w:val="left"/>
            </w:pPr>
            <w:r>
              <w:t xml:space="preserve">Phases P1 et P4</w:t>
            </w:r>
          </w:p>
        </w:tc>
      </w:tr>
      <w:tr>
        <w:trPr>
          <w:cantSplit/>
        </w:trPr>
        <w:tc>
          <w:tcPr>
            <w:cnfStyle w:val="001000000000" w:firstRow="0" w:lastRow="0" w:firstColumn="1" w:lastColumn="0" w:oddVBand="0" w:evenVBand="0" w:oddHBand="0" w:evenHBand="0" w:firstRowFirstColumn="0" w:firstRowLastColumn="0" w:lastRowFirstColumn="0" w:lastRowLastColumn="0"/>
            <w:tcW w:w="2229" w:type="dxa"/>
          </w:tcPr>
          <w:p>
            <w:pPr>
              <w:spacing w:after="0" w:line="240" w:lineRule="auto"/>
              <w:jc w:val="left"/>
            </w:pPr>
            <w:r>
              <w:t xml:space="preserve">Confidentialité — suite</w:t>
            </w:r>
          </w:p>
        </w:tc>
        <w:tc>
          <w:tcPr>
            <w:tcW w:w="2456" w:type="dxa"/>
          </w:tcPr>
          <w:p>
            <w:pPr>
              <w:spacing w:after="0" w:line="240" w:lineRule="auto"/>
              <w:jc w:val="left"/>
            </w:pPr>
            <w:r>
              <w:t xml:space="preserve">Externalisation des secrets et des clés vers un coffre dédié</w:t>
            </w:r>
          </w:p>
        </w:tc>
        <w:tc>
          <w:tcPr>
            <w:tcW w:w="1128" w:type="dxa"/>
          </w:tcPr>
          <w:p>
            <w:pPr>
              <w:spacing w:after="0" w:line="240" w:lineRule="auto"/>
              <w:jc w:val="left"/>
            </w:pPr>
            <w:r>
              <w:t xml:space="preserve">À faire</w:t>
            </w:r>
          </w:p>
        </w:tc>
        <w:tc>
          <w:tcPr>
            <w:tcW w:w="2827" w:type="dxa"/>
          </w:tcPr>
          <w:p>
            <w:pPr>
              <w:spacing w:after="0" w:line="240" w:lineRule="auto"/>
              <w:jc w:val="left"/>
            </w:pPr>
            <w:r>
              <w:t xml:space="preserve">Court terme, à l’industrialisation</w:t>
            </w:r>
          </w:p>
        </w:tc>
      </w:tr>
      <w:tr>
        <w:trPr>
          <w:cantSplit/>
        </w:trPr>
        <w:tc>
          <w:tcPr>
            <w:cnfStyle w:val="001000000000" w:firstRow="0" w:lastRow="0" w:firstColumn="1" w:lastColumn="0" w:oddVBand="0" w:evenVBand="0" w:oddHBand="0" w:evenHBand="0" w:firstRowFirstColumn="0" w:firstRowLastColumn="0" w:lastRowFirstColumn="0" w:lastRowLastColumn="0"/>
            <w:tcW w:w="2229" w:type="dxa"/>
          </w:tcPr>
          <w:p>
            <w:pPr>
              <w:spacing w:after="0" w:line="240" w:lineRule="auto"/>
              <w:jc w:val="left"/>
            </w:pPr>
            <w:r>
              <w:t xml:space="preserve">Environnement — suite</w:t>
            </w:r>
          </w:p>
        </w:tc>
        <w:tc>
          <w:tcPr>
            <w:tcW w:w="2456" w:type="dxa"/>
          </w:tcPr>
          <w:p>
            <w:pPr>
              <w:spacing w:after="0" w:line="240" w:lineRule="auto"/>
              <w:jc w:val="left"/>
            </w:pPr>
            <w:r>
              <w:t xml:space="preserve">Quantification de l’empreinte évitée, en kilowattheures par téraoctet archivé</w:t>
            </w:r>
          </w:p>
        </w:tc>
        <w:tc>
          <w:tcPr>
            <w:tcW w:w="1128" w:type="dxa"/>
          </w:tcPr>
          <w:p>
            <w:pPr>
              <w:spacing w:after="0" w:line="240" w:lineRule="auto"/>
              <w:jc w:val="left"/>
            </w:pPr>
            <w:r>
              <w:t xml:space="preserve">À faire</w:t>
            </w:r>
          </w:p>
        </w:tc>
        <w:tc>
          <w:tcPr>
            <w:tcW w:w="2827" w:type="dxa"/>
          </w:tcPr>
          <w:p>
            <w:pPr>
              <w:spacing w:after="0" w:line="240" w:lineRule="auto"/>
              <w:jc w:val="left"/>
            </w:pPr>
            <w:r>
              <w:t xml:space="preserve">Moyen terme</w:t>
            </w:r>
          </w:p>
        </w:tc>
      </w:tr>
      <w:tr>
        <w:trPr>
          <w:cantSplit/>
        </w:trPr>
        <w:tc>
          <w:tcPr>
            <w:cnfStyle w:val="001000000000" w:firstRow="0" w:lastRow="0" w:firstColumn="1" w:lastColumn="0" w:oddVBand="0" w:evenVBand="0" w:oddHBand="0" w:evenHBand="0" w:firstRowFirstColumn="0" w:firstRowLastColumn="0" w:lastRowFirstColumn="0" w:lastRowLastColumn="0"/>
            <w:tcW w:w="2229" w:type="dxa"/>
          </w:tcPr>
          <w:p>
            <w:pPr>
              <w:spacing w:after="0" w:line="240" w:lineRule="auto"/>
              <w:jc w:val="left"/>
            </w:pPr>
            <w:r>
              <w:t xml:space="preserve">Éthique — suite</w:t>
            </w:r>
          </w:p>
        </w:tc>
        <w:tc>
          <w:tcPr>
            <w:tcW w:w="2456" w:type="dxa"/>
          </w:tcPr>
          <w:p>
            <w:pPr>
              <w:spacing w:after="0" w:line="240" w:lineRule="auto"/>
              <w:jc w:val="left"/>
            </w:pPr>
            <w:r>
              <w:t xml:space="preserve">Évaluation sur un jeu de test étiqueté indépendant, avec matrice de confusion par domaine</w:t>
            </w:r>
          </w:p>
        </w:tc>
        <w:tc>
          <w:tcPr>
            <w:tcW w:w="1128" w:type="dxa"/>
          </w:tcPr>
          <w:p>
            <w:pPr>
              <w:spacing w:after="0" w:line="240" w:lineRule="auto"/>
              <w:jc w:val="left"/>
            </w:pPr>
            <w:r>
              <w:t xml:space="preserve">À faire</w:t>
            </w:r>
          </w:p>
        </w:tc>
        <w:tc>
          <w:tcPr>
            <w:tcW w:w="2827" w:type="dxa"/>
          </w:tcPr>
          <w:p>
            <w:pPr>
              <w:spacing w:after="0" w:line="240" w:lineRule="auto"/>
              <w:jc w:val="left"/>
            </w:pPr>
            <w:r>
              <w:t xml:space="preserve">Court terme</w:t>
            </w:r>
          </w:p>
        </w:tc>
      </w:tr>
    </w:tbl>
    <w:p>
      <w:pPr>
        <w:spacing w:after="0" w:line="120" w:lineRule="exact"/>
      </w:pPr>
    </w:p>
    <w:p>
      <w:r>
        <w:rPr>
          <w:b/>
        </w:rPr>
        <w:t xml:space="preserve">Arbitrage de priorisation.</w:t>
      </w:r>
      <w:r>
        <w:t xml:space="preserve"> Face à des ressources limitées, la confidentialité et l’éthique ont été traitées avant l’optimisation fine de l’empreinte environnementale. Ces deux enjeux portent un risque immédiat, légal pour l’un et de confiance pour l’autre, alors que le bénéfice environnemental du projet est acquis par nature. Une donnée personnelle exposée est par ailleurs un dommage irréversible, là où une mesure d’empreinte différée reste rattrapable.</w:t>
      </w:r>
    </w:p>
    <w:p>
      <w:pPr>
        <w:pStyle w:val="Titre2"/>
      </w:pPr>
      <w:bookmarkStart w:id="923" w:name="_Toc_b923"/>
      <w:bookmarkEnd w:id="923"/>
      <w:r>
        <w:t xml:space="preserve">Annexe I — Correspondance grille d’évaluation / dossier</w:t>
      </w:r>
    </w:p>
    <w:tbl>
      <w:tblPr>
        <w:tblStyle w:val="Grilleclaire-Accent1"/>
        <w:tblW w:w="8640" w:type="dxa"/>
        <w:jc w:val="center"/>
        <w:tblLayout w:type="fixed"/>
        <w:tblLook w:val="04A0" w:firstRow="1" w:lastRow="0" w:firstColumn="1" w:lastColumn="0" w:noHBand="0" w:noVBand="1"/>
      </w:tblPr>
      <w:tblGrid>
        <w:gridCol w:w="1740"/>
        <w:gridCol w:w="3684"/>
        <w:gridCol w:w="321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Compétence</w:t>
            </w:r>
          </w:p>
        </w:tc>
        <w:tc>
          <w:tcPr>
            <w:tcW w:w="3684" w:type="dxa"/>
          </w:tcPr>
          <w:p>
            <w:pPr>
              <w:spacing w:after="0" w:line="240" w:lineRule="auto"/>
              <w:jc w:val="left"/>
            </w:pPr>
            <w:r>
              <w:t xml:space="preserve">Critère de la grille</w:t>
            </w:r>
          </w:p>
        </w:tc>
        <w:tc>
          <w:tcPr>
            <w:tcW w:w="3216" w:type="dxa"/>
          </w:tcPr>
          <w:p>
            <w:pPr>
              <w:spacing w:after="0" w:line="240" w:lineRule="auto"/>
              <w:jc w:val="left"/>
            </w:pPr>
            <w:r>
              <w:t xml:space="preserve">Traité en</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C3.1.1</w:t>
            </w:r>
          </w:p>
        </w:tc>
        <w:tc>
          <w:tcPr>
            <w:tcW w:w="3684" w:type="dxa"/>
          </w:tcPr>
          <w:p>
            <w:pPr>
              <w:spacing w:after="0" w:line="240" w:lineRule="auto"/>
              <w:jc w:val="left"/>
            </w:pPr>
            <w:r>
              <w:t xml:space="preserve">La problématique</w:t>
            </w:r>
          </w:p>
        </w:tc>
        <w:tc>
          <w:tcPr>
            <w:tcW w:w="3216" w:type="dxa"/>
          </w:tcPr>
          <w:p>
            <w:pPr>
              <w:spacing w:after="0" w:line="240" w:lineRule="auto"/>
              <w:jc w:val="left"/>
            </w:pPr>
            <w:r>
              <w:t xml:space="preserve">§ 2.1.1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C3.1.1</w:t>
            </w:r>
          </w:p>
        </w:tc>
        <w:tc>
          <w:tcPr>
            <w:tcW w:w="3684" w:type="dxa"/>
          </w:tcPr>
          <w:p>
            <w:pPr>
              <w:spacing w:after="0" w:line="240" w:lineRule="auto"/>
              <w:jc w:val="left"/>
            </w:pPr>
            <w:r>
              <w:t xml:space="preserve">Les objectifs et les livrables du projet</w:t>
            </w:r>
          </w:p>
        </w:tc>
        <w:tc>
          <w:tcPr>
            <w:tcW w:w="3216" w:type="dxa"/>
          </w:tcPr>
          <w:p>
            <w:pPr>
              <w:spacing w:after="0" w:line="240" w:lineRule="auto"/>
              <w:jc w:val="left"/>
            </w:pPr>
            <w:r>
              <w:t xml:space="preserve">§ 2.1.2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C3.1.1</w:t>
            </w:r>
          </w:p>
        </w:tc>
        <w:tc>
          <w:tcPr>
            <w:tcW w:w="3684" w:type="dxa"/>
          </w:tcPr>
          <w:p>
            <w:pPr>
              <w:spacing w:after="0" w:line="240" w:lineRule="auto"/>
              <w:jc w:val="left"/>
            </w:pPr>
            <w:r>
              <w:t xml:space="preserve">Le cadre réglementaire</w:t>
            </w:r>
          </w:p>
        </w:tc>
        <w:tc>
          <w:tcPr>
            <w:tcW w:w="3216" w:type="dxa"/>
          </w:tcPr>
          <w:p>
            <w:pPr>
              <w:spacing w:after="0" w:line="240" w:lineRule="auto"/>
              <w:jc w:val="left"/>
            </w:pPr>
            <w:r>
              <w:t xml:space="preserve">§ 2.1.3</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C3.1.1</w:t>
            </w:r>
          </w:p>
        </w:tc>
        <w:tc>
          <w:tcPr>
            <w:tcW w:w="3684" w:type="dxa"/>
          </w:tcPr>
          <w:p>
            <w:pPr>
              <w:spacing w:after="0" w:line="240" w:lineRule="auto"/>
              <w:jc w:val="left"/>
            </w:pPr>
            <w:r>
              <w:t xml:space="preserve">Les contraintes et les points de vigilance</w:t>
            </w:r>
          </w:p>
        </w:tc>
        <w:tc>
          <w:tcPr>
            <w:tcW w:w="3216" w:type="dxa"/>
          </w:tcPr>
          <w:p>
            <w:pPr>
              <w:spacing w:after="0" w:line="240" w:lineRule="auto"/>
              <w:jc w:val="left"/>
            </w:pPr>
            <w:r>
              <w:t xml:space="preserve">§ 2.1.4 et § 2.1.5</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C3.1.1</w:t>
            </w:r>
          </w:p>
        </w:tc>
        <w:tc>
          <w:tcPr>
            <w:tcW w:w="3684" w:type="dxa"/>
          </w:tcPr>
          <w:p>
            <w:pPr>
              <w:spacing w:after="0" w:line="240" w:lineRule="auto"/>
              <w:jc w:val="left"/>
            </w:pPr>
            <w:r>
              <w:t xml:space="preserve">Les enjeux RSE</w:t>
            </w:r>
          </w:p>
        </w:tc>
        <w:tc>
          <w:tcPr>
            <w:tcW w:w="3216" w:type="dxa"/>
          </w:tcPr>
          <w:p>
            <w:pPr>
              <w:spacing w:after="0" w:line="240" w:lineRule="auto"/>
              <w:jc w:val="left"/>
            </w:pPr>
            <w:r>
              <w:t xml:space="preserve">§ 2.1.6 · § 5.2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C3.1.2</w:t>
            </w:r>
          </w:p>
        </w:tc>
        <w:tc>
          <w:tcPr>
            <w:tcW w:w="3684" w:type="dxa"/>
          </w:tcPr>
          <w:p>
            <w:pPr>
              <w:spacing w:after="0" w:line="240" w:lineRule="auto"/>
              <w:jc w:val="left"/>
            </w:pPr>
            <w:r>
              <w:t xml:space="preserve">Les ressources humaines nécessaires</w:t>
            </w:r>
          </w:p>
        </w:tc>
        <w:tc>
          <w:tcPr>
            <w:tcW w:w="3216" w:type="dxa"/>
          </w:tcPr>
          <w:p>
            <w:pPr>
              <w:spacing w:after="0" w:line="240" w:lineRule="auto"/>
              <w:jc w:val="left"/>
            </w:pPr>
            <w:r>
              <w:t xml:space="preserve">§ 2.2.1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C3.1.2</w:t>
            </w:r>
          </w:p>
        </w:tc>
        <w:tc>
          <w:tcPr>
            <w:tcW w:w="3684" w:type="dxa"/>
          </w:tcPr>
          <w:p>
            <w:pPr>
              <w:spacing w:after="0" w:line="240" w:lineRule="auto"/>
              <w:jc w:val="left"/>
            </w:pPr>
            <w:r>
              <w:t xml:space="preserve">Les ressources matérielles et logistiques</w:t>
            </w:r>
          </w:p>
        </w:tc>
        <w:tc>
          <w:tcPr>
            <w:tcW w:w="3216" w:type="dxa"/>
          </w:tcPr>
          <w:p>
            <w:pPr>
              <w:spacing w:after="0" w:line="240" w:lineRule="auto"/>
              <w:jc w:val="left"/>
            </w:pPr>
            <w:r>
              <w:t xml:space="preserve">§ 2.2.2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C3.1.2</w:t>
            </w:r>
          </w:p>
        </w:tc>
        <w:tc>
          <w:tcPr>
            <w:tcW w:w="3684" w:type="dxa"/>
          </w:tcPr>
          <w:p>
            <w:pPr>
              <w:spacing w:after="0" w:line="240" w:lineRule="auto"/>
              <w:jc w:val="left"/>
            </w:pPr>
            <w:r>
              <w:t xml:space="preserve">Un chiffrage du projet, coût et délai</w:t>
            </w:r>
          </w:p>
        </w:tc>
        <w:tc>
          <w:tcPr>
            <w:tcW w:w="3216" w:type="dxa"/>
          </w:tcPr>
          <w:p>
            <w:pPr>
              <w:spacing w:after="0" w:line="240" w:lineRule="auto"/>
              <w:jc w:val="left"/>
            </w:pPr>
            <w:r>
              <w:t xml:space="preserve">§ 2.2.3 · annexes C.1 et C.4</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C3.1.2</w:t>
            </w:r>
          </w:p>
        </w:tc>
        <w:tc>
          <w:tcPr>
            <w:tcW w:w="3684" w:type="dxa"/>
          </w:tcPr>
          <w:p>
            <w:pPr>
              <w:spacing w:after="0" w:line="240" w:lineRule="auto"/>
              <w:jc w:val="left"/>
            </w:pPr>
            <w:r>
              <w:t xml:space="preserve">Une analyse de la faisabilité</w:t>
            </w:r>
          </w:p>
        </w:tc>
        <w:tc>
          <w:tcPr>
            <w:tcW w:w="3216" w:type="dxa"/>
          </w:tcPr>
          <w:p>
            <w:pPr>
              <w:spacing w:after="0" w:line="240" w:lineRule="auto"/>
              <w:jc w:val="left"/>
            </w:pPr>
            <w:r>
              <w:t xml:space="preserve">§ 2.2.4</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C3.1.3</w:t>
            </w:r>
          </w:p>
        </w:tc>
        <w:tc>
          <w:tcPr>
            <w:tcW w:w="3684" w:type="dxa"/>
          </w:tcPr>
          <w:p>
            <w:pPr>
              <w:spacing w:after="0" w:line="240" w:lineRule="auto"/>
              <w:jc w:val="left"/>
            </w:pPr>
            <w:r>
              <w:t xml:space="preserve">Documentation en adéquation avec le cadrage, présentant l’ensemble des caractéristiques</w:t>
            </w:r>
          </w:p>
        </w:tc>
        <w:tc>
          <w:tcPr>
            <w:tcW w:w="3216" w:type="dxa"/>
          </w:tcPr>
          <w:p>
            <w:pPr>
              <w:spacing w:after="0" w:line="240" w:lineRule="auto"/>
              <w:jc w:val="left"/>
            </w:pPr>
            <w:r>
              <w:t xml:space="preserve">§ 2.3.2 · annexe D</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C3.1.3</w:t>
            </w:r>
          </w:p>
        </w:tc>
        <w:tc>
          <w:tcPr>
            <w:tcW w:w="3684" w:type="dxa"/>
          </w:tcPr>
          <w:p>
            <w:pPr>
              <w:spacing w:after="0" w:line="240" w:lineRule="auto"/>
              <w:jc w:val="left"/>
            </w:pPr>
            <w:r>
              <w:t xml:space="preserve">Vocabulaire compréhensible par les parties prenantes</w:t>
            </w:r>
          </w:p>
        </w:tc>
        <w:tc>
          <w:tcPr>
            <w:tcW w:w="3216" w:type="dxa"/>
          </w:tcPr>
          <w:p>
            <w:pPr>
              <w:spacing w:after="0" w:line="240" w:lineRule="auto"/>
              <w:jc w:val="left"/>
            </w:pPr>
            <w:r>
              <w:t xml:space="preserve">§ 2.3.1 et § 2.3.2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C3.2.1</w:t>
            </w:r>
          </w:p>
        </w:tc>
        <w:tc>
          <w:tcPr>
            <w:tcW w:w="3684" w:type="dxa"/>
          </w:tcPr>
          <w:p>
            <w:pPr>
              <w:spacing w:after="0" w:line="240" w:lineRule="auto"/>
              <w:jc w:val="left"/>
            </w:pPr>
            <w:r>
              <w:t xml:space="preserve">Choix de la méthodologie justifié avec les bénéfices attendus</w:t>
            </w:r>
          </w:p>
        </w:tc>
        <w:tc>
          <w:tcPr>
            <w:tcW w:w="3216" w:type="dxa"/>
          </w:tcPr>
          <w:p>
            <w:pPr>
              <w:spacing w:after="0" w:line="240" w:lineRule="auto"/>
              <w:jc w:val="left"/>
            </w:pPr>
            <w:r>
              <w:t xml:space="preserve">§ 3.1.1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C3.2.1</w:t>
            </w:r>
          </w:p>
        </w:tc>
        <w:tc>
          <w:tcPr>
            <w:tcW w:w="3684" w:type="dxa"/>
          </w:tcPr>
          <w:p>
            <w:pPr>
              <w:spacing w:after="0" w:line="240" w:lineRule="auto"/>
              <w:jc w:val="left"/>
            </w:pPr>
            <w:r>
              <w:t xml:space="preserve">Outil de planification compatible avec la méthodologie</w:t>
            </w:r>
          </w:p>
        </w:tc>
        <w:tc>
          <w:tcPr>
            <w:tcW w:w="3216" w:type="dxa"/>
          </w:tcPr>
          <w:p>
            <w:pPr>
              <w:spacing w:after="0" w:line="240" w:lineRule="auto"/>
              <w:jc w:val="left"/>
            </w:pPr>
            <w:r>
              <w:t xml:space="preserve">§ 3.1.1 · annexe A</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C3.2.1</w:t>
            </w:r>
          </w:p>
        </w:tc>
        <w:tc>
          <w:tcPr>
            <w:tcW w:w="3684" w:type="dxa"/>
          </w:tcPr>
          <w:p>
            <w:pPr>
              <w:spacing w:after="0" w:line="240" w:lineRule="auto"/>
              <w:jc w:val="left"/>
            </w:pPr>
            <w:r>
              <w:t xml:space="preserve">Planning découpé en phases, tâches ou lots</w:t>
            </w:r>
          </w:p>
        </w:tc>
        <w:tc>
          <w:tcPr>
            <w:tcW w:w="3216" w:type="dxa"/>
          </w:tcPr>
          <w:p>
            <w:pPr>
              <w:spacing w:after="0" w:line="240" w:lineRule="auto"/>
              <w:jc w:val="left"/>
            </w:pPr>
            <w:r>
              <w:t xml:space="preserve">§ 3.1.3 · annexe A.1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C3.2.1</w:t>
            </w:r>
          </w:p>
        </w:tc>
        <w:tc>
          <w:tcPr>
            <w:tcW w:w="3684" w:type="dxa"/>
          </w:tcPr>
          <w:p>
            <w:pPr>
              <w:spacing w:after="0" w:line="240" w:lineRule="auto"/>
              <w:jc w:val="left"/>
            </w:pPr>
            <w:r>
              <w:t xml:space="preserve">Visualisation des différentes phases</w:t>
            </w:r>
          </w:p>
        </w:tc>
        <w:tc>
          <w:tcPr>
            <w:tcW w:w="3216" w:type="dxa"/>
          </w:tcPr>
          <w:p>
            <w:pPr>
              <w:spacing w:after="0" w:line="240" w:lineRule="auto"/>
              <w:jc w:val="left"/>
            </w:pPr>
            <w:r>
              <w:t xml:space="preserve">Diagramme de Gantt, § 3.1.3</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C3.2.1</w:t>
            </w:r>
          </w:p>
        </w:tc>
        <w:tc>
          <w:tcPr>
            <w:tcW w:w="3684" w:type="dxa"/>
          </w:tcPr>
          <w:p>
            <w:pPr>
              <w:spacing w:after="0" w:line="240" w:lineRule="auto"/>
              <w:jc w:val="left"/>
            </w:pPr>
            <w:r>
              <w:t xml:space="preserve">Tâches assignées selon les compétences, matrice RACI</w:t>
            </w:r>
          </w:p>
        </w:tc>
        <w:tc>
          <w:tcPr>
            <w:tcW w:w="3216" w:type="dxa"/>
          </w:tcPr>
          <w:p>
            <w:pPr>
              <w:spacing w:after="0" w:line="240" w:lineRule="auto"/>
              <w:jc w:val="left"/>
            </w:pPr>
            <w:r>
              <w:t xml:space="preserve">§ 3.1.4 · annexe B</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C3.2.1</w:t>
            </w:r>
          </w:p>
        </w:tc>
        <w:tc>
          <w:tcPr>
            <w:tcW w:w="3684" w:type="dxa"/>
          </w:tcPr>
          <w:p>
            <w:pPr>
              <w:spacing w:after="0" w:line="240" w:lineRule="auto"/>
              <w:jc w:val="left"/>
            </w:pPr>
            <w:r>
              <w:t xml:space="preserve">Prise en compte des personnes en situation de handicap</w:t>
            </w:r>
          </w:p>
        </w:tc>
        <w:tc>
          <w:tcPr>
            <w:tcW w:w="3216" w:type="dxa"/>
          </w:tcPr>
          <w:p>
            <w:pPr>
              <w:spacing w:after="0" w:line="240" w:lineRule="auto"/>
              <w:jc w:val="left"/>
            </w:pPr>
            <w:r>
              <w:t xml:space="preserve">§ 3.1.6</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C3.2.1</w:t>
            </w:r>
          </w:p>
        </w:tc>
        <w:tc>
          <w:tcPr>
            <w:tcW w:w="3684" w:type="dxa"/>
          </w:tcPr>
          <w:p>
            <w:pPr>
              <w:spacing w:after="0" w:line="240" w:lineRule="auto"/>
              <w:jc w:val="left"/>
            </w:pPr>
            <w:r>
              <w:t xml:space="preserve">Points de vigilance soulignés, chemin critique et compétences rares</w:t>
            </w:r>
          </w:p>
        </w:tc>
        <w:tc>
          <w:tcPr>
            <w:tcW w:w="3216" w:type="dxa"/>
          </w:tcPr>
          <w:p>
            <w:pPr>
              <w:spacing w:after="0" w:line="240" w:lineRule="auto"/>
              <w:jc w:val="left"/>
            </w:pPr>
            <w:r>
              <w:t xml:space="preserve">§ 3.1.5 · § 2.1.5</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C3.2.2</w:t>
            </w:r>
          </w:p>
        </w:tc>
        <w:tc>
          <w:tcPr>
            <w:tcW w:w="3684" w:type="dxa"/>
          </w:tcPr>
          <w:p>
            <w:pPr>
              <w:spacing w:after="0" w:line="240" w:lineRule="auto"/>
              <w:jc w:val="left"/>
            </w:pPr>
            <w:r>
              <w:t xml:space="preserve">Outil de suivi en adéquation avec la méthodologie</w:t>
            </w:r>
          </w:p>
        </w:tc>
        <w:tc>
          <w:tcPr>
            <w:tcW w:w="3216" w:type="dxa"/>
          </w:tcPr>
          <w:p>
            <w:pPr>
              <w:spacing w:after="0" w:line="240" w:lineRule="auto"/>
              <w:jc w:val="left"/>
            </w:pPr>
            <w:r>
              <w:t xml:space="preserve">§ 3.2.1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C3.2.2</w:t>
            </w:r>
          </w:p>
        </w:tc>
        <w:tc>
          <w:tcPr>
            <w:tcW w:w="3684" w:type="dxa"/>
          </w:tcPr>
          <w:p>
            <w:pPr>
              <w:spacing w:after="0" w:line="240" w:lineRule="auto"/>
              <w:jc w:val="left"/>
            </w:pPr>
            <w:r>
              <w:t xml:space="preserve">Choix des indicateurs qualitatifs et quantitatifs argumenté</w:t>
            </w:r>
          </w:p>
        </w:tc>
        <w:tc>
          <w:tcPr>
            <w:tcW w:w="3216" w:type="dxa"/>
          </w:tcPr>
          <w:p>
            <w:pPr>
              <w:spacing w:after="0" w:line="240" w:lineRule="auto"/>
              <w:jc w:val="left"/>
            </w:pPr>
            <w:r>
              <w:t xml:space="preserve">§ 3.2.2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C3.2.2</w:t>
            </w:r>
          </w:p>
        </w:tc>
        <w:tc>
          <w:tcPr>
            <w:tcW w:w="3684" w:type="dxa"/>
          </w:tcPr>
          <w:p>
            <w:pPr>
              <w:spacing w:after="0" w:line="240" w:lineRule="auto"/>
              <w:jc w:val="left"/>
            </w:pPr>
            <w:r>
              <w:t xml:space="preserve">Suivi de l’avancement, des délais et des coûts</w:t>
            </w:r>
          </w:p>
        </w:tc>
        <w:tc>
          <w:tcPr>
            <w:tcW w:w="3216" w:type="dxa"/>
          </w:tcPr>
          <w:p>
            <w:pPr>
              <w:spacing w:after="0" w:line="240" w:lineRule="auto"/>
              <w:jc w:val="left"/>
            </w:pPr>
            <w:r>
              <w:t xml:space="preserve">§ 3.2.2, valeurs relevées comprises</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C3.2.2</w:t>
            </w:r>
          </w:p>
        </w:tc>
        <w:tc>
          <w:tcPr>
            <w:tcW w:w="3684" w:type="dxa"/>
          </w:tcPr>
          <w:p>
            <w:pPr>
              <w:spacing w:after="0" w:line="240" w:lineRule="auto"/>
              <w:jc w:val="left"/>
            </w:pPr>
            <w:r>
              <w:t xml:space="preserve">Reportings et comptes rendus de réunion</w:t>
            </w:r>
          </w:p>
        </w:tc>
        <w:tc>
          <w:tcPr>
            <w:tcW w:w="3216" w:type="dxa"/>
          </w:tcPr>
          <w:p>
            <w:pPr>
              <w:spacing w:after="0" w:line="240" w:lineRule="auto"/>
              <w:jc w:val="left"/>
            </w:pPr>
            <w:r>
              <w:t xml:space="preserve">§ 3.2.3 · annexe E</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C3.3.1</w:t>
            </w:r>
          </w:p>
        </w:tc>
        <w:tc>
          <w:tcPr>
            <w:tcW w:w="3684" w:type="dxa"/>
          </w:tcPr>
          <w:p>
            <w:pPr>
              <w:spacing w:after="0" w:line="240" w:lineRule="auto"/>
              <w:jc w:val="left"/>
            </w:pPr>
            <w:r>
              <w:t xml:space="preserve">Compétences à mobiliser identifiées</w:t>
            </w:r>
          </w:p>
        </w:tc>
        <w:tc>
          <w:tcPr>
            <w:tcW w:w="3216" w:type="dxa"/>
          </w:tcPr>
          <w:p>
            <w:pPr>
              <w:spacing w:after="0" w:line="240" w:lineRule="auto"/>
              <w:jc w:val="left"/>
            </w:pPr>
            <w:r>
              <w:t xml:space="preserve">§ 4.1.1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C3.3.1</w:t>
            </w:r>
          </w:p>
        </w:tc>
        <w:tc>
          <w:tcPr>
            <w:tcW w:w="3684" w:type="dxa"/>
          </w:tcPr>
          <w:p>
            <w:pPr>
              <w:spacing w:after="0" w:line="240" w:lineRule="auto"/>
              <w:jc w:val="left"/>
            </w:pPr>
            <w:r>
              <w:t xml:space="preserve">Grille d’évaluation commentée</w:t>
            </w:r>
          </w:p>
        </w:tc>
        <w:tc>
          <w:tcPr>
            <w:tcW w:w="3216" w:type="dxa"/>
          </w:tcPr>
          <w:p>
            <w:pPr>
              <w:spacing w:after="0" w:line="240" w:lineRule="auto"/>
              <w:jc w:val="left"/>
            </w:pPr>
            <w:r>
              <w:t xml:space="preserve">§ 4.1.2 · annexe F.1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C3.3.1</w:t>
            </w:r>
          </w:p>
        </w:tc>
        <w:tc>
          <w:tcPr>
            <w:tcW w:w="3684" w:type="dxa"/>
          </w:tcPr>
          <w:p>
            <w:pPr>
              <w:spacing w:after="0" w:line="240" w:lineRule="auto"/>
              <w:jc w:val="left"/>
            </w:pPr>
            <w:r>
              <w:t xml:space="preserve">Plan de développement établi et détaillé</w:t>
            </w:r>
          </w:p>
        </w:tc>
        <w:tc>
          <w:tcPr>
            <w:tcW w:w="3216" w:type="dxa"/>
          </w:tcPr>
          <w:p>
            <w:pPr>
              <w:spacing w:after="0" w:line="240" w:lineRule="auto"/>
              <w:jc w:val="left"/>
            </w:pPr>
            <w:r>
              <w:t xml:space="preserve">§ 4.1.3 · annexe F.2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C3.3.1</w:t>
            </w:r>
          </w:p>
        </w:tc>
        <w:tc>
          <w:tcPr>
            <w:tcW w:w="3684" w:type="dxa"/>
          </w:tcPr>
          <w:p>
            <w:pPr>
              <w:spacing w:after="0" w:line="240" w:lineRule="auto"/>
              <w:jc w:val="left"/>
            </w:pPr>
            <w:r>
              <w:t xml:space="preserve">Formations préconisées selon les besoins et les profils</w:t>
            </w:r>
          </w:p>
        </w:tc>
        <w:tc>
          <w:tcPr>
            <w:tcW w:w="3216" w:type="dxa"/>
          </w:tcPr>
          <w:p>
            <w:pPr>
              <w:spacing w:after="0" w:line="240" w:lineRule="auto"/>
              <w:jc w:val="left"/>
            </w:pPr>
            <w:r>
              <w:t xml:space="preserve">§ 4.1.3</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C3.3.1</w:t>
            </w:r>
          </w:p>
        </w:tc>
        <w:tc>
          <w:tcPr>
            <w:tcW w:w="3684" w:type="dxa"/>
          </w:tcPr>
          <w:p>
            <w:pPr>
              <w:spacing w:after="0" w:line="240" w:lineRule="auto"/>
              <w:jc w:val="left"/>
            </w:pPr>
            <w:r>
              <w:t xml:space="preserve">Modalités adaptées aux spécificités liées au handicap</w:t>
            </w:r>
          </w:p>
        </w:tc>
        <w:tc>
          <w:tcPr>
            <w:tcW w:w="3216" w:type="dxa"/>
          </w:tcPr>
          <w:p>
            <w:pPr>
              <w:spacing w:after="0" w:line="240" w:lineRule="auto"/>
              <w:jc w:val="left"/>
            </w:pPr>
            <w:r>
              <w:t xml:space="preserve">§ 4.1.4</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C3.3.2</w:t>
            </w:r>
          </w:p>
        </w:tc>
        <w:tc>
          <w:tcPr>
            <w:tcW w:w="3684" w:type="dxa"/>
          </w:tcPr>
          <w:p>
            <w:pPr>
              <w:spacing w:after="0" w:line="240" w:lineRule="auto"/>
              <w:jc w:val="left"/>
            </w:pPr>
            <w:r>
              <w:t xml:space="preserve">Charge de travail répartie de manière équilibrée</w:t>
            </w:r>
          </w:p>
        </w:tc>
        <w:tc>
          <w:tcPr>
            <w:tcW w:w="3216" w:type="dxa"/>
          </w:tcPr>
          <w:p>
            <w:pPr>
              <w:spacing w:after="0" w:line="240" w:lineRule="auto"/>
              <w:jc w:val="left"/>
            </w:pPr>
            <w:r>
              <w:t xml:space="preserve">§ 4.2.2 · annexes B et C.4</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C3.3.2</w:t>
            </w:r>
          </w:p>
        </w:tc>
        <w:tc>
          <w:tcPr>
            <w:tcW w:w="3684" w:type="dxa"/>
          </w:tcPr>
          <w:p>
            <w:pPr>
              <w:spacing w:after="0" w:line="240" w:lineRule="auto"/>
              <w:jc w:val="left"/>
            </w:pPr>
            <w:r>
              <w:t xml:space="preserve">Outils collaboratifs et routines managériales détaillés et justifiés</w:t>
            </w:r>
          </w:p>
        </w:tc>
        <w:tc>
          <w:tcPr>
            <w:tcW w:w="3216" w:type="dxa"/>
          </w:tcPr>
          <w:p>
            <w:pPr>
              <w:spacing w:after="0" w:line="240" w:lineRule="auto"/>
              <w:jc w:val="left"/>
            </w:pPr>
            <w:r>
              <w:t xml:space="preserve">§ 4.2.1 et § 4.2.3</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C3.3.2</w:t>
            </w:r>
          </w:p>
        </w:tc>
        <w:tc>
          <w:tcPr>
            <w:tcW w:w="3684" w:type="dxa"/>
          </w:tcPr>
          <w:p>
            <w:pPr>
              <w:spacing w:after="0" w:line="240" w:lineRule="auto"/>
              <w:jc w:val="left"/>
            </w:pPr>
            <w:r>
              <w:t xml:space="preserve">Contexte multiculturel et international</w:t>
            </w:r>
          </w:p>
        </w:tc>
        <w:tc>
          <w:tcPr>
            <w:tcW w:w="3216" w:type="dxa"/>
          </w:tcPr>
          <w:p>
            <w:pPr>
              <w:spacing w:after="0" w:line="240" w:lineRule="auto"/>
              <w:jc w:val="left"/>
            </w:pPr>
            <w:r>
              <w:t xml:space="preserve">§ 4.2.4</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C3.3.2</w:t>
            </w:r>
          </w:p>
        </w:tc>
        <w:tc>
          <w:tcPr>
            <w:tcW w:w="3684" w:type="dxa"/>
          </w:tcPr>
          <w:p>
            <w:pPr>
              <w:spacing w:after="0" w:line="240" w:lineRule="auto"/>
              <w:jc w:val="left"/>
            </w:pPr>
            <w:r>
              <w:t xml:space="preserve">Personnes en situation de handicap prises en compte</w:t>
            </w:r>
          </w:p>
        </w:tc>
        <w:tc>
          <w:tcPr>
            <w:tcW w:w="3216" w:type="dxa"/>
          </w:tcPr>
          <w:p>
            <w:pPr>
              <w:spacing w:after="0" w:line="240" w:lineRule="auto"/>
              <w:jc w:val="left"/>
            </w:pPr>
            <w:r>
              <w:t xml:space="preserve">§ 4.2.5</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C3.3.3</w:t>
            </w:r>
          </w:p>
        </w:tc>
        <w:tc>
          <w:tcPr>
            <w:tcW w:w="3684" w:type="dxa"/>
          </w:tcPr>
          <w:p>
            <w:pPr>
              <w:spacing w:after="0" w:line="240" w:lineRule="auto"/>
              <w:jc w:val="left"/>
            </w:pPr>
            <w:r>
              <w:t xml:space="preserve">Problématique exposée avec ses conséquences potentielles</w:t>
            </w:r>
          </w:p>
        </w:tc>
        <w:tc>
          <w:tcPr>
            <w:tcW w:w="3216" w:type="dxa"/>
          </w:tcPr>
          <w:p>
            <w:pPr>
              <w:spacing w:after="0" w:line="240" w:lineRule="auto"/>
              <w:jc w:val="left"/>
            </w:pPr>
            <w:r>
              <w:t xml:space="preserve">§ 4.3.1 et § 4.3.2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C3.3.3</w:t>
            </w:r>
          </w:p>
        </w:tc>
        <w:tc>
          <w:tcPr>
            <w:tcW w:w="3684" w:type="dxa"/>
          </w:tcPr>
          <w:p>
            <w:pPr>
              <w:spacing w:after="0" w:line="240" w:lineRule="auto"/>
              <w:jc w:val="left"/>
            </w:pPr>
            <w:r>
              <w:t xml:space="preserve">Options possibles détaillées</w:t>
            </w:r>
          </w:p>
        </w:tc>
        <w:tc>
          <w:tcPr>
            <w:tcW w:w="3216" w:type="dxa"/>
          </w:tcPr>
          <w:p>
            <w:pPr>
              <w:spacing w:after="0" w:line="240" w:lineRule="auto"/>
              <w:jc w:val="left"/>
            </w:pPr>
            <w:r>
              <w:t xml:space="preserve">§ 4.3.1 et § 4.3.2 · annexe G.3</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C3.3.3</w:t>
            </w:r>
          </w:p>
        </w:tc>
        <w:tc>
          <w:tcPr>
            <w:tcW w:w="3684" w:type="dxa"/>
          </w:tcPr>
          <w:p>
            <w:pPr>
              <w:spacing w:after="0" w:line="240" w:lineRule="auto"/>
              <w:jc w:val="left"/>
            </w:pPr>
            <w:r>
              <w:t xml:space="preserve">Décision argumentée résolvant la problématique</w:t>
            </w:r>
          </w:p>
        </w:tc>
        <w:tc>
          <w:tcPr>
            <w:tcW w:w="3216" w:type="dxa"/>
          </w:tcPr>
          <w:p>
            <w:pPr>
              <w:spacing w:after="0" w:line="240" w:lineRule="auto"/>
              <w:jc w:val="left"/>
            </w:pPr>
            <w:r>
              <w:t xml:space="preserve">§ 4.3.1 et § 4.3.2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C3.3.3</w:t>
            </w:r>
          </w:p>
        </w:tc>
        <w:tc>
          <w:tcPr>
            <w:tcW w:w="3684" w:type="dxa"/>
          </w:tcPr>
          <w:p>
            <w:pPr>
              <w:spacing w:after="0" w:line="240" w:lineRule="auto"/>
              <w:jc w:val="left"/>
            </w:pPr>
            <w:r>
              <w:t xml:space="preserve">Outil d’aide à la décision</w:t>
            </w:r>
          </w:p>
        </w:tc>
        <w:tc>
          <w:tcPr>
            <w:tcW w:w="3216" w:type="dxa"/>
          </w:tcPr>
          <w:p>
            <w:pPr>
              <w:spacing w:after="0" w:line="240" w:lineRule="auto"/>
              <w:jc w:val="left"/>
            </w:pPr>
            <w:r>
              <w:t xml:space="preserve">Grille multicritère, § 4.3.1 · annexe G.2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C3.3.3</w:t>
            </w:r>
          </w:p>
        </w:tc>
        <w:tc>
          <w:tcPr>
            <w:tcW w:w="3684" w:type="dxa"/>
          </w:tcPr>
          <w:p>
            <w:pPr>
              <w:spacing w:after="0" w:line="240" w:lineRule="auto"/>
              <w:jc w:val="left"/>
            </w:pPr>
            <w:r>
              <w:t xml:space="preserve">Analyse de l’écart entre le prévisionnel et l’état à date</w:t>
            </w:r>
          </w:p>
        </w:tc>
        <w:tc>
          <w:tcPr>
            <w:tcW w:w="3216" w:type="dxa"/>
          </w:tcPr>
          <w:p>
            <w:pPr>
              <w:spacing w:after="0" w:line="240" w:lineRule="auto"/>
              <w:jc w:val="left"/>
            </w:pPr>
            <w:r>
              <w:t xml:space="preserve">§ 4.3.2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C3.4.1</w:t>
            </w:r>
          </w:p>
        </w:tc>
        <w:tc>
          <w:tcPr>
            <w:tcW w:w="3684" w:type="dxa"/>
          </w:tcPr>
          <w:p>
            <w:pPr>
              <w:spacing w:after="0" w:line="240" w:lineRule="auto"/>
              <w:jc w:val="left"/>
            </w:pPr>
            <w:r>
              <w:t xml:space="preserve">Choix de la méthodologie de recueil argumenté avec les bénéfices</w:t>
            </w:r>
          </w:p>
        </w:tc>
        <w:tc>
          <w:tcPr>
            <w:tcW w:w="3216" w:type="dxa"/>
          </w:tcPr>
          <w:p>
            <w:pPr>
              <w:spacing w:after="0" w:line="240" w:lineRule="auto"/>
              <w:jc w:val="left"/>
            </w:pPr>
            <w:r>
              <w:t xml:space="preserve">§ 5.1.1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C3.4.1</w:t>
            </w:r>
          </w:p>
        </w:tc>
        <w:tc>
          <w:tcPr>
            <w:tcW w:w="3684" w:type="dxa"/>
          </w:tcPr>
          <w:p>
            <w:pPr>
              <w:spacing w:after="0" w:line="240" w:lineRule="auto"/>
              <w:jc w:val="left"/>
            </w:pPr>
            <w:r>
              <w:t xml:space="preserve">Résultat d’une action de veille présenté</w:t>
            </w:r>
          </w:p>
        </w:tc>
        <w:tc>
          <w:tcPr>
            <w:tcW w:w="3216" w:type="dxa"/>
          </w:tcPr>
          <w:p>
            <w:pPr>
              <w:spacing w:after="0" w:line="240" w:lineRule="auto"/>
              <w:jc w:val="left"/>
            </w:pPr>
            <w:r>
              <w:t xml:space="preserve">§ 5.1.2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C3.4.1</w:t>
            </w:r>
          </w:p>
        </w:tc>
        <w:tc>
          <w:tcPr>
            <w:tcW w:w="3684" w:type="dxa"/>
          </w:tcPr>
          <w:p>
            <w:pPr>
              <w:spacing w:after="0" w:line="240" w:lineRule="auto"/>
              <w:jc w:val="left"/>
            </w:pPr>
            <w:r>
              <w:t xml:space="preserve">Impact engendré sur les pratiques métier</w:t>
            </w:r>
          </w:p>
        </w:tc>
        <w:tc>
          <w:tcPr>
            <w:tcW w:w="3216" w:type="dxa"/>
          </w:tcPr>
          <w:p>
            <w:pPr>
              <w:spacing w:after="0" w:line="240" w:lineRule="auto"/>
              <w:jc w:val="left"/>
            </w:pPr>
            <w:r>
              <w:t xml:space="preserve">§ 5.1.2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C3.4.2</w:t>
            </w:r>
          </w:p>
        </w:tc>
        <w:tc>
          <w:tcPr>
            <w:tcW w:w="3684" w:type="dxa"/>
          </w:tcPr>
          <w:p>
            <w:pPr>
              <w:spacing w:after="0" w:line="240" w:lineRule="auto"/>
              <w:jc w:val="left"/>
            </w:pPr>
            <w:r>
              <w:t xml:space="preserve">Enjeux RSE de la science des données détaillés</w:t>
            </w:r>
          </w:p>
        </w:tc>
        <w:tc>
          <w:tcPr>
            <w:tcW w:w="3216" w:type="dxa"/>
          </w:tcPr>
          <w:p>
            <w:pPr>
              <w:spacing w:after="0" w:line="240" w:lineRule="auto"/>
              <w:jc w:val="left"/>
            </w:pPr>
            <w:r>
              <w:t xml:space="preserve">§ 5.2.1</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C3.4.2</w:t>
            </w:r>
          </w:p>
        </w:tc>
        <w:tc>
          <w:tcPr>
            <w:tcW w:w="3684" w:type="dxa"/>
          </w:tcPr>
          <w:p>
            <w:pPr>
              <w:spacing w:after="0" w:line="240" w:lineRule="auto"/>
              <w:jc w:val="left"/>
            </w:pPr>
            <w:r>
              <w:t xml:space="preserve">Arbitrages de priorisation précisés et justifiés</w:t>
            </w:r>
          </w:p>
        </w:tc>
        <w:tc>
          <w:tcPr>
            <w:tcW w:w="3216" w:type="dxa"/>
          </w:tcPr>
          <w:p>
            <w:pPr>
              <w:spacing w:after="0" w:line="240" w:lineRule="auto"/>
              <w:jc w:val="left"/>
            </w:pPr>
            <w:r>
              <w:t xml:space="preserve">§ 5.2.2</w:t>
            </w:r>
          </w:p>
        </w:tc>
      </w:tr>
      <w:tr>
        <w:trPr>
          <w:cantSplit/>
        </w:trPr>
        <w:tc>
          <w:tcPr>
            <w:cnfStyle w:val="001000000000" w:firstRow="0" w:lastRow="0" w:firstColumn="1" w:lastColumn="0" w:oddVBand="0" w:evenVBand="0" w:oddHBand="0" w:evenHBand="0" w:firstRowFirstColumn="0" w:firstRowLastColumn="0" w:lastRowFirstColumn="0" w:lastRowLastColumn="0"/>
            <w:tcW w:w="1740" w:type="dxa"/>
          </w:tcPr>
          <w:p>
            <w:pPr>
              <w:spacing w:after="0" w:line="240" w:lineRule="auto"/>
              <w:jc w:val="left"/>
            </w:pPr>
            <w:r>
              <w:t xml:space="preserve">C3.4.2</w:t>
            </w:r>
          </w:p>
        </w:tc>
        <w:tc>
          <w:tcPr>
            <w:tcW w:w="3684" w:type="dxa"/>
          </w:tcPr>
          <w:p>
            <w:pPr>
              <w:spacing w:after="0" w:line="240" w:lineRule="auto"/>
              <w:jc w:val="left"/>
            </w:pPr>
            <w:r>
              <w:t xml:space="preserve">Plan précisant le sujet, l’action et les délais</w:t>
            </w:r>
          </w:p>
        </w:tc>
        <w:tc>
          <w:tcPr>
            <w:tcW w:w="3216" w:type="dxa"/>
          </w:tcPr>
          <w:p>
            <w:pPr>
              <w:spacing w:after="0" w:line="240" w:lineRule="auto"/>
              <w:jc w:val="left"/>
            </w:pPr>
            <w:r>
              <w:t xml:space="preserve">§ 5.2.3 · annexe H</w:t>
            </w:r>
          </w:p>
        </w:tc>
      </w:tr>
    </w:tbl>
    <w:p>
      <w:pPr>
        <w:spacing w:after="0" w:line="120" w:lineRule="exact"/>
      </w:pPr>
    </w:p>
    <w:sectPr>
      <w:headerReference w:type="default" r:id="rIdHdr"/>
      <w:footerReference w:type="default" r:id="rIdFtr"/>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0885" w14:textId="77777777" w:rsidR="00FB2F55" w:rsidRDefault="00FB2F55">
      <w:pPr>
        <w:spacing w:after="0" w:line="240" w:lineRule="auto"/>
      </w:pPr>
      <w:r>
        <w:separator/>
      </w:r>
    </w:p>
  </w:endnote>
  <w:endnote w:type="continuationSeparator" w:id="0">
    <w:p w14:paraId="6C298C4D" w14:textId="77777777" w:rsidR="00FB2F55" w:rsidRDefault="00FB2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rPr>
        <w:color w:val="5A6470"/>
        <w:sz w:val="18"/>
      </w:rPr>
    </w:pPr>
    <w:r>
      <w:rPr>
        <w:color w:val="5A6470"/>
        <w:sz w:val="18"/>
      </w:rPr>
      <w:fldChar w:fldCharType="begin"/>
    </w:r>
    <w:r>
      <w:rPr>
        <w:color w:val="5A6470"/>
        <w:sz w:val="18"/>
      </w:rPr>
      <w:instrText xml:space="preserve"> PAGE </w:instrText>
    </w:r>
    <w:r>
      <w:rPr>
        <w:color w:val="5A6470"/>
        <w:sz w:val="18"/>
      </w:rPr>
      <w:fldChar w:fldCharType="separate"/>
    </w:r>
    <w:r>
      <w:rPr>
        <w:color w:val="5A6470"/>
        <w:sz w:val="18"/>
      </w:rPr>
      <w:t>2</w:t>
    </w:r>
    <w:r>
      <w:rPr>
        <w:color w:val="5A64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74CC" w14:textId="77777777" w:rsidR="00FB2F55" w:rsidRDefault="00FB2F55">
      <w:pPr>
        <w:spacing w:after="0" w:line="240" w:lineRule="auto"/>
      </w:pPr>
      <w:r>
        <w:separator/>
      </w:r>
    </w:p>
  </w:footnote>
  <w:footnote w:type="continuationSeparator" w:id="0">
    <w:p w14:paraId="131AC516" w14:textId="77777777" w:rsidR="00FB2F55" w:rsidRDefault="00FB2F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Bdr>
        <w:bottom w:val="single" w:sz="4" w:space="2" w:color="C4CDD8"/>
      </w:pBdr>
      <w:jc w:val="right"/>
      <w:rPr>
        <w:color w:val="5A6470"/>
        <w:sz w:val="18"/>
      </w:rPr>
    </w:pPr>
    <w:r>
      <w:rPr>
        <w:color w:val="5A6470"/>
        <w:sz w:val="18"/>
      </w:rPr>
      <w:t>HAOUARI Salem — Bloc 3 · RNCP 39586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8424749">
    <w:abstractNumId w:val="8"/>
  </w:num>
  <w:num w:numId="2" w16cid:durableId="1842548963">
    <w:abstractNumId w:val="6"/>
  </w:num>
  <w:num w:numId="3" w16cid:durableId="571430507">
    <w:abstractNumId w:val="5"/>
  </w:num>
  <w:num w:numId="4" w16cid:durableId="94248109">
    <w:abstractNumId w:val="4"/>
  </w:num>
  <w:num w:numId="5" w16cid:durableId="1264651359">
    <w:abstractNumId w:val="7"/>
  </w:num>
  <w:num w:numId="6" w16cid:durableId="18893990">
    <w:abstractNumId w:val="3"/>
  </w:num>
  <w:num w:numId="7" w16cid:durableId="1765880477">
    <w:abstractNumId w:val="2"/>
  </w:num>
  <w:num w:numId="8" w16cid:durableId="1519198277">
    <w:abstractNumId w:val="1"/>
  </w:num>
  <w:num w:numId="9" w16cid:durableId="1489204006">
    <w:abstractNumId w:val="0"/>
  </w:num>
  <w:num w:numId="10" w16cid:durableId="1301838752">
    <w:abstractNumId w:val="7"/>
    <w:lvlOverride w:ilvl="0">
      <w:startOverride w:val="1"/>
    </w:lvlOverride>
  </w:num>
  <w:num w:numId="11" w16cid:durableId="4278466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015"/>
    <w:rsid w:val="0029639D"/>
    <w:rsid w:val="00326F90"/>
    <w:rsid w:val="004229E9"/>
    <w:rsid w:val="00861B50"/>
    <w:rsid w:val="008F1FA1"/>
    <w:rsid w:val="009416F4"/>
    <w:rsid w:val="00A318EB"/>
    <w:rsid w:val="00AA1D8D"/>
    <w:rsid w:val="00B47730"/>
    <w:rsid w:val="00BB6A55"/>
    <w:rsid w:val="00BD729A"/>
    <w:rsid w:val="00CB0664"/>
    <w:rsid w:val="00DC6394"/>
    <w:rsid w:val="00DD2E72"/>
    <w:rsid w:val="00E676E2"/>
    <w:rsid w:val="00E80A0C"/>
    <w:rsid w:val="00EF2E1D"/>
    <w:rsid w:val="00FB2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1376F"/>
  <w14:defaultImageDpi w14:val="300"/>
  <w15:docId w15:val="{C9D5D3A7-7F79-431F-A1B3-5D28515B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563EB"/>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B5563"/>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B5563"/>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EF2E1D"/>
    <w:rPr>
      <w:color w:val="0000FF" w:themeColor="hyperlink"/>
      <w:u w:val="single"/>
    </w:rPr>
  </w:style>
  <w:style w:type="character" w:styleId="Mentionnonrsolue">
    <w:name w:val="Unresolved Mention"/>
    <w:basedOn w:val="Policepardfaut"/>
    <w:uiPriority w:val="99"/>
    <w:semiHidden/>
    <w:unhideWhenUsed/>
    <w:rsid w:val="00EF2E1D"/>
    <w:rPr>
      <w:color w:val="605E5C"/>
      <w:shd w:val="clear" w:color="auto" w:fill="E1DFDD"/>
    </w:rPr>
  </w:style>
  <w:style w:type="character" w:styleId="Lienhypertextesuivivisit">
    <w:name w:val="FollowedHyperlink"/>
    <w:basedOn w:val="Policepardfaut"/>
    <w:uiPriority w:val="99"/>
    <w:semiHidden/>
    <w:unhideWhenUsed/>
    <w:rsid w:val="00EF2E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Thm" Type="http://schemas.openxmlformats.org/officeDocument/2006/relationships/theme" Target="theme/theme1.xml"/>
<Relationship Id="rIdFnt" Type="http://schemas.openxmlformats.org/officeDocument/2006/relationships/fontTable" Target="fontTable.xml"/>
<Relationship Id="rIdSet" Type="http://schemas.openxmlformats.org/officeDocument/2006/relationships/settings" Target="settings.xml"/>
<Relationship Id="rIdWeb" Type="http://schemas.openxmlformats.org/officeDocument/2006/relationships/webSettings" Target="webSettings.xml"/>
<Relationship Id="rIdHdr" Type="http://schemas.openxmlformats.org/officeDocument/2006/relationships/header" Target="header1.xml"/>
<Relationship Id="rIdFtr" Type="http://schemas.openxmlformats.org/officeDocument/2006/relationships/footer" Target="footer1.xml"/>
<Relationship Id="rIdImg1" Type="http://schemas.openxmlformats.org/officeDocument/2006/relationships/image" Target="media/bloc3_gantt.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18</Pages>
  <Words>4950</Words>
  <Characters>27226</Characters>
  <Application>Microsoft Office Word</Application>
  <DocSecurity>0</DocSecurity>
  <Lines>226</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Salem Haouari</cp:lastModifiedBy>
  <cp:revision>8</cp:revision>
  <cp:lastPrinted>2026-07-17T13:17:00Z</cp:lastPrinted>
  <dcterms:created xsi:type="dcterms:W3CDTF">2013-12-23T23:15:00Z</dcterms:created>
  <dcterms:modified xsi:type="dcterms:W3CDTF">2026-07-17T14:00:00Z</dcterms:modified>
  <cp:category/>
</cp:coreProperties>
</file>