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 1 — Collecter, transformer et sécuriser des données</w:t>
      </w:r>
    </w:p>
    <w:p>
      <w:r>
        <w:rPr>
          <w:b/>
        </w:rPr>
        <w:t>Titre visé :</w:t>
      </w:r>
      <w:r>
        <w:t xml:space="preserve"> Ingénieur en science des données spécialisé en infrastructure data ou en apprentissage automatique — </w:t>
      </w:r>
      <w:r>
        <w:rPr>
          <w:b/>
        </w:rPr>
        <w:t>RNCP 39586</w:t>
      </w:r>
      <w:r>
        <w:t xml:space="preserve"> (Niveau 7)</w:t>
      </w:r>
    </w:p>
    <w:p>
      <w:r>
        <w:rPr>
          <w:b/>
        </w:rPr>
        <w:t>Candidat :</w:t>
      </w:r>
      <w:r>
        <w:t xml:space="preserve"> HAOUARI Salem · </w:t>
      </w:r>
      <w:r>
        <w:rPr>
          <w:b/>
        </w:rPr>
        <w:t>Date :</w:t>
      </w:r>
      <w:r>
        <w:t xml:space="preserve"> 14/07/2026</w:t>
      </w:r>
    </w:p>
    <w:p>
      <w:r>
        <w:rPr>
          <w:b/>
        </w:rPr>
        <w:t>Projet :</w:t>
      </w:r>
      <w:r>
        <w:t xml:space="preserve"> Solution de gouvernance et d'archivage intelligent des données d'un ERP PeopleSoft (Oracle EP92U038)</w:t>
      </w:r>
    </w:p>
    <w:p>
      <w:pPr>
        <w:spacing w:before="120" w:after="120"/>
        <w:ind w:left="240"/>
      </w:pPr>
      <w:r>
        <w:rPr>
          <w:b/>
          <w:i/>
          <w:color w:val="4B5563"/>
        </w:rPr>
        <w:t>Note de lecture pour le jury.</w:t>
      </w:r>
      <w:r>
        <w:rPr>
          <w:i/>
          <w:color w:val="4B5563"/>
        </w:rPr>
        <w:t xml:space="preserve"> Chaque section correspond à une compétence du bloc (C1.1.1 → C1.4.2). Elle présente le </w:t>
      </w:r>
      <w:r>
        <w:rPr>
          <w:b/>
          <w:i/>
          <w:color w:val="4B5563"/>
        </w:rPr>
        <w:t>livrable attendu</w:t>
      </w:r>
      <w:r>
        <w:rPr>
          <w:i/>
          <w:color w:val="4B5563"/>
        </w:rPr>
        <w:t xml:space="preserve"> puis se termine par un encadré </w:t>
      </w:r>
      <w:r>
        <w:rPr>
          <w:b/>
          <w:i/>
          <w:color w:val="4B5563"/>
        </w:rPr>
        <w:t>« Critères couverts »</w:t>
      </w:r>
      <w:r>
        <w:rPr>
          <w:i/>
          <w:color w:val="4B5563"/>
        </w:rPr>
        <w:t xml:space="preserve"> reprenant les exigences de la grille. Les références de code renvoient au dépôt Git du projet.</w:t>
      </w:r>
    </w:p>
    <w:p>
      <w:pPr>
        <w:pStyle w:val="Heading2"/>
      </w:pPr>
      <w:r>
        <w:t>Sommaire</w:t>
      </w:r>
    </w:p>
    <w:p>
      <w:pPr>
        <w:pStyle w:val="ListNumber"/>
      </w:pPr>
      <w:r>
        <w:t>Contexte, problématique et périmètre</w:t>
      </w:r>
    </w:p>
    <w:p>
      <w:pPr>
        <w:pStyle w:val="ListNumber"/>
      </w:pPr>
      <w:r>
        <w:rPr>
          <w:b/>
        </w:rPr>
        <w:t>C1.1 — Collecter les données</w:t>
      </w:r>
    </w:p>
    <w:p>
      <w:pPr>
        <w:pStyle w:val="ListBullet"/>
      </w:pPr>
      <w:r>
        <w:t>C1.1.1 Stratégie de collecte</w:t>
      </w:r>
    </w:p>
    <w:p>
      <w:pPr>
        <w:pStyle w:val="ListBullet"/>
      </w:pPr>
      <w:r>
        <w:t>C1.1.2 Exemple de collecte et techniques employées</w:t>
      </w:r>
    </w:p>
    <w:p>
      <w:pPr>
        <w:pStyle w:val="ListBullet"/>
      </w:pPr>
      <w:r>
        <w:t>C1.1.3 Automatisation de la collecte</w:t>
      </w:r>
    </w:p>
    <w:p>
      <w:pPr>
        <w:pStyle w:val="ListNumber"/>
      </w:pPr>
      <w:r>
        <w:rPr>
          <w:b/>
        </w:rPr>
        <w:t>C1.2 — Stocker les données</w:t>
      </w:r>
    </w:p>
    <w:p>
      <w:pPr>
        <w:pStyle w:val="ListBullet"/>
      </w:pPr>
      <w:r>
        <w:t>C1.2.1 Stratégie de stockage et modèle de données</w:t>
      </w:r>
    </w:p>
    <w:p>
      <w:pPr>
        <w:pStyle w:val="ListBullet"/>
      </w:pPr>
      <w:r>
        <w:t>C1.2.2 Construction de la base de données</w:t>
      </w:r>
    </w:p>
    <w:p>
      <w:pPr>
        <w:pStyle w:val="ListNumber"/>
      </w:pPr>
      <w:r>
        <w:rPr>
          <w:b/>
        </w:rPr>
        <w:t>C1.3 — Transformer les données</w:t>
      </w:r>
    </w:p>
    <w:p>
      <w:pPr>
        <w:pStyle w:val="ListBullet"/>
      </w:pPr>
      <w:r>
        <w:t>C1.3.1 Sélection des technologies de traitement</w:t>
      </w:r>
    </w:p>
    <w:p>
      <w:pPr>
        <w:pStyle w:val="ListBullet"/>
      </w:pPr>
      <w:r>
        <w:t>C1.3.2 Transformation des données</w:t>
      </w:r>
    </w:p>
    <w:p>
      <w:pPr>
        <w:pStyle w:val="ListBullet"/>
      </w:pPr>
      <w:r>
        <w:t>C1.3.3 Processus ETL et orchestration</w:t>
      </w:r>
    </w:p>
    <w:p>
      <w:pPr>
        <w:pStyle w:val="ListNumber"/>
      </w:pPr>
      <w:r>
        <w:rPr>
          <w:b/>
        </w:rPr>
        <w:t>C1.4 — Sécuriser les données</w:t>
      </w:r>
    </w:p>
    <w:p>
      <w:pPr>
        <w:pStyle w:val="ListBullet"/>
      </w:pPr>
      <w:r>
        <w:t>C1.4.1 Politique de sécurité des données</w:t>
      </w:r>
    </w:p>
    <w:p>
      <w:pPr>
        <w:pStyle w:val="ListBullet"/>
      </w:pPr>
      <w:r>
        <w:t>C1.4.2 Architecture de sécurité</w:t>
      </w:r>
    </w:p>
    <w:p>
      <w:pPr>
        <w:pStyle w:val="ListNumber"/>
      </w:pPr>
      <w:r>
        <w:t>Conclusion</w:t>
      </w:r>
    </w:p>
    <w:p>
      <w:pPr>
        <w:pStyle w:val="Heading2"/>
      </w:pPr>
      <w:r>
        <w:t>1. Contexte, problématique et périmètre</w:t>
      </w:r>
    </w:p>
    <w:p>
      <w:pPr>
        <w:pStyle w:val="Heading3"/>
      </w:pPr>
      <w:r>
        <w:t>1.1 Problématique</w:t>
      </w:r>
    </w:p>
    <w:p>
      <w:r>
        <w:t xml:space="preserve">L'entreprise exploite un ERP </w:t>
      </w:r>
      <w:r>
        <w:rPr>
          <w:b/>
        </w:rPr>
        <w:t>Oracle PeopleSoft (instance EP92U038)</w:t>
      </w:r>
      <w:r>
        <w:t xml:space="preserve"> dont la base a fortement grossi au fil des années. Le stockage de données historiques inactives sur du stockage « chaud » coûte cher, ralentit les sauvegardes et complexifie la conformité (RGPD, durées légales de rétention). L'entreprise a besoin d'un outil capable de </w:t>
      </w:r>
      <w:r>
        <w:rPr>
          <w:b/>
        </w:rPr>
        <w:t>cartographier son patrimoine de données, d'en identifier le domaine métier, et de recommander une stratégie d'archivage par table</w:t>
      </w:r>
      <w:r>
        <w:t>, sans jamais mettre en péril l'intégrité du SI ni la conformité légale.</w:t>
      </w:r>
    </w:p>
    <w:p>
      <w:r>
        <w:t xml:space="preserve">Le premier maillon de cette chaîne — et l'objet de ce bloc — est de </w:t>
      </w:r>
      <w:r>
        <w:rPr>
          <w:b/>
        </w:rPr>
        <w:t>collecter de façon fiable et reproductible les métadonnées</w:t>
      </w:r>
      <w:r>
        <w:t xml:space="preserve"> de l'ERP, de les </w:t>
      </w:r>
      <w:r>
        <w:rPr>
          <w:b/>
        </w:rPr>
        <w:t>stocker dans un entrepôt structuré</w:t>
      </w:r>
      <w:r>
        <w:t xml:space="preserve">, de les </w:t>
      </w:r>
      <w:r>
        <w:rPr>
          <w:b/>
        </w:rPr>
        <w:t>transformer en un modèle exploitable</w:t>
      </w:r>
      <w:r>
        <w:t xml:space="preserve"> pour l'analyse et le Machine Learning, et de </w:t>
      </w:r>
      <w:r>
        <w:rPr>
          <w:b/>
        </w:rPr>
        <w:t>sécuriser</w:t>
      </w:r>
      <w:r>
        <w:t xml:space="preserve"> l'ensemble de la chaîne.</w:t>
      </w:r>
    </w:p>
    <w:p>
      <w:pPr>
        <w:pStyle w:val="Heading3"/>
      </w:pPr>
      <w:r>
        <w:t>1.2 Sources de données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Volume constaté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Oracle PeopleSoft EP92U038</w:t>
            </w:r>
          </w:p>
        </w:tc>
        <w:tc>
          <w:tcPr>
            <w:tcW w:type="dxa" w:w="2160"/>
          </w:tcPr>
          <w:p>
            <w:r/>
            <w:r>
              <w:t>Base relationnelle (dictionnaire de données applicatif + tables physiques)</w:t>
            </w:r>
          </w:p>
        </w:tc>
        <w:tc>
          <w:tcPr>
            <w:tcW w:type="dxa" w:w="2160"/>
          </w:tcPr>
          <w:p>
            <w:r/>
            <w:r>
              <w:t>87 627 records logiques · 79 633 tables physiques (schéma SYSADM) · 107 206 champs · PeopleTools 8.58</w:t>
            </w:r>
          </w:p>
        </w:tc>
        <w:tc>
          <w:tcPr>
            <w:tcW w:type="dxa" w:w="2160"/>
          </w:tcPr>
          <w:p>
            <w:r/>
            <w:r>
              <w:t>Source unique : structure et volumétrie du patrimoine</w:t>
            </w:r>
          </w:p>
        </w:tc>
      </w:tr>
    </w:tbl>
    <w:p/>
    <w:p>
      <w:pPr>
        <w:pStyle w:val="Heading3"/>
      </w:pPr>
      <w:r>
        <w:t>1.3 Cible</w:t>
      </w:r>
    </w:p>
    <w:p>
      <w:r>
        <w:t xml:space="preserve">Un entrepôt </w:t>
      </w:r>
      <w:r>
        <w:rPr>
          <w:b/>
        </w:rPr>
        <w:t>PostgreSQL</w:t>
      </w:r>
      <w:r>
        <w:t xml:space="preserve"> (`pfe_data_ia`) organisé en </w:t>
      </w:r>
      <w:r>
        <w:rPr>
          <w:b/>
        </w:rPr>
        <w:t>architecture médaillon</w:t>
      </w:r>
      <w:r>
        <w:t xml:space="preserve"> (couches `raw → processed → serving`). Au terme d'un cycle complet (run 6), le catalogue consolidé réunit </w:t>
      </w:r>
      <w:r>
        <w:rPr>
          <w:b/>
        </w:rPr>
        <w:t>≈ 167 260 actifs</w:t>
      </w:r>
      <w:r>
        <w:t xml:space="preserve"> de données (records logiques PeopleSoft et tables physiques Oracle).</w:t>
      </w:r>
    </w:p>
    <w:p>
      <w:pPr>
        <w:pStyle w:val="Heading3"/>
      </w:pPr>
      <w:r>
        <w:t>1.4 Contraintes et points de vigilance</w:t>
      </w:r>
    </w:p>
    <w:p>
      <w:pPr>
        <w:pStyle w:val="ListBullet"/>
      </w:pPr>
      <w:r>
        <w:rPr>
          <w:b/>
        </w:rPr>
        <w:t>Réseau :</w:t>
      </w:r>
      <w:r>
        <w:t xml:space="preserve"> la source Oracle (`192.168.11.111`, IP privée) n'est accessible que par </w:t>
      </w:r>
      <w:r>
        <w:rPr>
          <w:b/>
        </w:rPr>
        <w:t>VPN</w:t>
      </w:r>
      <w:r>
        <w:t xml:space="preserve"> — sessions longues sujettes aux coupures.</w:t>
      </w:r>
    </w:p>
    <w:p>
      <w:pPr>
        <w:pStyle w:val="ListBullet"/>
      </w:pPr>
      <w:r>
        <w:rPr>
          <w:b/>
        </w:rPr>
        <w:t>Confidentialité :</w:t>
      </w:r>
      <w:r>
        <w:t xml:space="preserve"> les métadonnées peuvent contenir des données personnelles (emails, identités d'opérateurs dans les logs) → enjeu RGPD.</w:t>
      </w:r>
    </w:p>
    <w:p>
      <w:pPr>
        <w:pStyle w:val="ListBullet"/>
      </w:pPr>
      <w:r>
        <w:rPr>
          <w:b/>
        </w:rPr>
        <w:t>Intégrité :</w:t>
      </w:r>
      <w:r>
        <w:t xml:space="preserve"> aucune écriture ne doit être faite sur la source (accès </w:t>
      </w:r>
      <w:r>
        <w:rPr>
          <w:b/>
        </w:rPr>
        <w:t>lecture seule</w:t>
      </w:r>
      <w:r>
        <w:t>).</w:t>
      </w:r>
    </w:p>
    <w:p>
      <w:pPr>
        <w:pStyle w:val="ListBullet"/>
      </w:pPr>
      <w:r>
        <w:rPr>
          <w:b/>
        </w:rPr>
        <w:t>Reproductibilité :</w:t>
      </w:r>
      <w:r>
        <w:t xml:space="preserve"> la collecte doit être </w:t>
      </w:r>
      <w:r>
        <w:rPr>
          <w:b/>
        </w:rPr>
        <w:t>rejouable à l'identique</w:t>
      </w:r>
      <w:r>
        <w:t xml:space="preserve"> et </w:t>
      </w:r>
      <w:r>
        <w:rPr>
          <w:b/>
        </w:rPr>
        <w:t>traçable</w:t>
      </w:r>
      <w:r>
        <w:t xml:space="preserve"> (audit, débogage).</w:t>
      </w:r>
    </w:p>
    <w:p>
      <w:pPr>
        <w:pStyle w:val="Heading2"/>
      </w:pPr>
      <w:r>
        <w:t>2. C1.1 — Collecter les données</w:t>
      </w:r>
    </w:p>
    <w:p>
      <w:pPr>
        <w:pStyle w:val="Heading3"/>
      </w:pPr>
      <w:r>
        <w:t>C1.1.1 — Stratégie de collecte de données</w:t>
      </w:r>
    </w:p>
    <w:p>
      <w:r>
        <w:rPr>
          <w:b/>
        </w:rPr>
        <w:t>Livrable : une stratégie de collecte.</w:t>
      </w:r>
    </w:p>
    <w:p>
      <w:pPr>
        <w:pStyle w:val="Heading4"/>
      </w:pPr>
      <w:r>
        <w:t>Objectifs de la collecte</w:t>
      </w:r>
    </w:p>
    <w:p>
      <w:r>
        <w:t xml:space="preserve">Constituer un </w:t>
      </w:r>
      <w:r>
        <w:rPr>
          <w:b/>
        </w:rPr>
        <w:t>catalogue exhaustif et fiable des métadonnées</w:t>
      </w:r>
      <w:r>
        <w:t xml:space="preserve"> du SI PeopleSoft permettant, en aval, de : (1) cartographier le patrimoine par domaine métier, (2) mesurer la volumétrie et le coût de stockage, (3) alimenter un modèle de classification ML, (4) produire des recommandations d'archivage.</w:t>
      </w:r>
    </w:p>
    <w:p>
      <w:pPr>
        <w:pStyle w:val="Heading4"/>
      </w:pPr>
      <w:r>
        <w:t>Données utiles et nécessaires</w:t>
      </w:r>
    </w:p>
    <w:p>
      <w:r>
        <w:t xml:space="preserve">On ne collecte </w:t>
      </w:r>
      <w:r>
        <w:rPr>
          <w:b/>
        </w:rPr>
        <w:t>pas les données métier elles-mêmes</w:t>
      </w:r>
      <w:r>
        <w:t xml:space="preserve"> (contenu des tables) mais leurs </w:t>
      </w:r>
      <w:r>
        <w:rPr>
          <w:b/>
        </w:rPr>
        <w:t>métadonnées</w:t>
      </w:r>
      <w:r>
        <w:t xml:space="preserve"> :</w:t>
      </w:r>
    </w:p>
    <w:p>
      <w:pPr>
        <w:pStyle w:val="ListBullet"/>
      </w:pPr>
      <w:r>
        <w:rPr>
          <w:b/>
        </w:rPr>
        <w:t>Structure logique</w:t>
      </w:r>
      <w:r>
        <w:t xml:space="preserve"> : records PeopleSoft (`PSRECDEFN`), champs (`PSDBFIELD`), associations record-champ (`PSRECFIELDDB`).</w:t>
      </w:r>
    </w:p>
    <w:p>
      <w:pPr>
        <w:pStyle w:val="ListBullet"/>
      </w:pPr>
      <w:r>
        <w:rPr>
          <w:b/>
        </w:rPr>
        <w:t>Structure physique</w:t>
      </w:r>
      <w:r>
        <w:t xml:space="preserve"> : tables Oracle (`ALL_TABLES`), colonnes (`ALL_TAB_COLUMNS`), index (`ALL_INDEXES`), volumétrie (`num_rows`, `blocks`, `avg_row_len`), dernière modification (`ALL_TAB_MODIFICATIONS`).</w:t>
      </w:r>
    </w:p>
    <w:p>
      <w:pPr>
        <w:pStyle w:val="ListBullet"/>
      </w:pPr>
      <w:r>
        <w:rPr>
          <w:b/>
        </w:rPr>
        <w:t>Signaux d'usage</w:t>
      </w:r>
      <w:r>
        <w:t xml:space="preserve"> : logs d'accès/segments (activité récente d'une table → candidat à l'archivage).</w:t>
      </w:r>
    </w:p>
    <w:p>
      <w:pPr>
        <w:pStyle w:val="Heading4"/>
      </w:pPr>
      <w:r>
        <w:t>Sources de données</w:t>
      </w:r>
    </w:p>
    <w:p>
      <w:r>
        <w:t>Décrite en §1.2 : Oracle EP92U038 (dictionnaire de données PeopleSoft).</w:t>
      </w:r>
    </w:p>
    <w:p>
      <w:pPr>
        <w:pStyle w:val="Heading4"/>
      </w:pPr>
      <w:r>
        <w:t>Moyens envisagés</w:t>
      </w:r>
    </w:p>
    <w:p>
      <w:pPr>
        <w:pStyle w:val="ListBullet"/>
      </w:pPr>
      <w:r>
        <w:rPr>
          <w:b/>
        </w:rPr>
        <w:t>Connecteur dédié</w:t>
      </w:r>
      <w:r>
        <w:t xml:space="preserve"> en Python (`oracledb` en mode *thin*) — voir C1.1.2.</w:t>
      </w:r>
    </w:p>
    <w:p>
      <w:pPr>
        <w:pStyle w:val="ListBullet"/>
      </w:pPr>
      <w:r>
        <w:rPr>
          <w:b/>
        </w:rPr>
        <w:t>Extraction incrémentale par préfixe</w:t>
      </w:r>
      <w:r>
        <w:t xml:space="preserve"> pour les gros volumes (tolérance aux coupures VPN, reprise sur incident).</w:t>
      </w:r>
    </w:p>
    <w:p>
      <w:pPr>
        <w:pStyle w:val="ListBullet"/>
      </w:pPr>
      <w:r>
        <w:rPr>
          <w:b/>
        </w:rPr>
        <w:t>Orchestration Prefect</w:t>
      </w:r>
      <w:r>
        <w:t xml:space="preserve"> pour l'automatisation et la traçabilité (voir C1.1.3).</w:t>
      </w:r>
    </w:p>
    <w:p>
      <w:pPr>
        <w:pStyle w:val="ListBullet"/>
      </w:pPr>
      <w:r>
        <w:rPr>
          <w:b/>
        </w:rPr>
        <w:t>Idempotence par `run_id`</w:t>
      </w:r>
      <w:r>
        <w:t xml:space="preserve"> : chaque exécution est un instantané versionné et rejouable.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(C1.1.1).</w:t>
      </w:r>
      <w:r>
        <w:rPr>
          <w:i/>
          <w:color w:val="4B5563"/>
        </w:rPr>
        <w:t xml:space="preserve"> La stratégie identifie ✓ les </w:t>
      </w:r>
      <w:r>
        <w:rPr>
          <w:b/>
          <w:i/>
          <w:color w:val="4B5563"/>
        </w:rPr>
        <w:t>objectifs</w:t>
      </w:r>
      <w:r>
        <w:rPr>
          <w:i/>
          <w:color w:val="4B5563"/>
        </w:rPr>
        <w:t xml:space="preserve"> de la collecte, ✓ les </w:t>
      </w:r>
      <w:r>
        <w:rPr>
          <w:b/>
          <w:i/>
          <w:color w:val="4B5563"/>
        </w:rPr>
        <w:t>données utiles et nécessaires</w:t>
      </w:r>
      <w:r>
        <w:rPr>
          <w:i/>
          <w:color w:val="4B5563"/>
        </w:rPr>
        <w:t xml:space="preserve"> (métadonnées structurelles + usage + enrichissement), ✓ la </w:t>
      </w:r>
      <w:r>
        <w:rPr>
          <w:b/>
          <w:i/>
          <w:color w:val="4B5563"/>
        </w:rPr>
        <w:t>source</w:t>
      </w:r>
      <w:r>
        <w:rPr>
          <w:i/>
          <w:color w:val="4B5563"/>
        </w:rPr>
        <w:t xml:space="preserve"> (Oracle EP92U038), ✓ les </w:t>
      </w:r>
      <w:r>
        <w:rPr>
          <w:b/>
          <w:i/>
          <w:color w:val="4B5563"/>
        </w:rPr>
        <w:t>moyens</w:t>
      </w:r>
      <w:r>
        <w:rPr>
          <w:i/>
          <w:color w:val="4B5563"/>
        </w:rPr>
        <w:t xml:space="preserve"> (connecteur Python, orchestration Prefect, extraction incrémentale idempotente).</w:t>
      </w:r>
    </w:p>
    <w:p>
      <w:pPr>
        <w:pStyle w:val="Heading3"/>
      </w:pPr>
      <w:r>
        <w:t>C1.1.2 — Exemple de collecte de données</w:t>
      </w:r>
    </w:p>
    <w:p>
      <w:r>
        <w:rPr>
          <w:b/>
        </w:rPr>
        <w:t>Livrable : un exemple de collecte + démonstration de la qualité (exhaustivité, exactitude).</w:t>
      </w:r>
    </w:p>
    <w:p>
      <w:pPr>
        <w:pStyle w:val="Heading4"/>
      </w:pPr>
      <w:r>
        <w:t>Techniques de collecte employées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Mise en œuvre dans le projet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Requêtes SQL</w:t>
            </w:r>
          </w:p>
        </w:tc>
        <w:tc>
          <w:tcPr>
            <w:tcW w:type="dxa" w:w="2880"/>
          </w:tcPr>
          <w:p>
            <w:r/>
            <w:r>
              <w:t>Extraction du dictionnaire Oracle via des SELECT sur `PSRECDEFN`, `ALL_TABLES`, `ALL_TAB_COLUMNS`, `ALL_INDEXES`…</w:t>
            </w:r>
          </w:p>
        </w:tc>
        <w:tc>
          <w:tcPr>
            <w:tcW w:type="dxa" w:w="2880"/>
          </w:tcPr>
          <w:p>
            <w:r/>
            <w:r>
              <w:t>`src/extract/oracle/*`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Accès base de données via driver natif</w:t>
            </w:r>
          </w:p>
        </w:tc>
        <w:tc>
          <w:tcPr>
            <w:tcW w:type="dxa" w:w="2880"/>
          </w:tcPr>
          <w:p>
            <w:r/>
            <w:r>
              <w:t>Lecture programmatique via le pilote `oracledb` (mode *thin*, protocole Oracle Net) — API native du SGBD, avec batching et résilience VPN</w:t>
            </w:r>
          </w:p>
        </w:tc>
        <w:tc>
          <w:tcPr>
            <w:tcW w:type="dxa" w:w="2880"/>
          </w:tcPr>
          <w:p>
            <w:r/>
            <w:r>
              <w:t>`src/connectors/oracle_client.py`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 externe</w:t>
            </w:r>
          </w:p>
        </w:tc>
        <w:tc>
          <w:tcPr>
            <w:tcW w:type="dxa" w:w="2880"/>
          </w:tcPr>
          <w:p>
            <w:r/>
            <w:r>
              <w:t>Appel de l'</w:t>
            </w:r>
            <w:r>
              <w:rPr>
                <w:b/>
              </w:rPr>
              <w:t>API publique Azure Retail Prices</w:t>
            </w:r>
            <w:r>
              <w:t xml:space="preserve"> (sans clé) → tarifs réels du stockage Hot / Cool / Archive, convertis en $/Go/an et injectés dans `serving.dim_cost_params`</w:t>
            </w:r>
          </w:p>
        </w:tc>
        <w:tc>
          <w:tcPr>
            <w:tcW w:type="dxa" w:w="2880"/>
          </w:tcPr>
          <w:p>
            <w:r/>
            <w:r>
              <w:t>`src/extract/external/fetch_cloud_storage_prices.py`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Web crawling / scraping</w:t>
            </w:r>
          </w:p>
        </w:tc>
        <w:tc>
          <w:tcPr>
            <w:tcW w:type="dxa" w:w="2880"/>
          </w:tcPr>
          <w:p>
            <w:r/>
            <w:r>
              <w:t xml:space="preserve">Extraction du tarif d'un fournisseur concurrent depuis sa </w:t>
            </w:r>
            <w:r>
              <w:rPr>
                <w:b/>
              </w:rPr>
              <w:t>page web publique</w:t>
            </w:r>
            <w:r>
              <w:t xml:space="preserve"> (Backblaze B2), après </w:t>
            </w:r>
            <w:r>
              <w:rPr>
                <w:b/>
              </w:rPr>
              <w:t>vérification du `robots.txt`</w:t>
            </w:r>
            <w:r>
              <w:t xml:space="preserve"> → benchmark de marché</w:t>
            </w:r>
          </w:p>
        </w:tc>
        <w:tc>
          <w:tcPr>
            <w:tcW w:type="dxa" w:w="2880"/>
          </w:tcPr>
          <w:p>
            <w:r/>
            <w:r>
              <w:t>`src/extract/web/scrape_storage_benchmark.py`</w:t>
            </w:r>
          </w:p>
        </w:tc>
      </w:tr>
    </w:tbl>
    <w:p/>
    <w:p>
      <w:pPr>
        <w:pStyle w:val="Heading4"/>
      </w:pPr>
      <w:r>
        <w:t>Pourquoi une API externe et du scraping dans un projet d'archivage ?</w:t>
      </w:r>
    </w:p>
    <w:p>
      <w:r>
        <w:t xml:space="preserve">Le moteur de recommandation repose sur un </w:t>
      </w:r>
      <w:r>
        <w:rPr>
          <w:b/>
        </w:rPr>
        <w:t>calcul de ROI</w:t>
      </w:r>
      <w:r>
        <w:t xml:space="preserve"> : archiver n'a de sens que si l'écart de coût entre stockage chaud et archive est réel. Or ces coûts étaient initialement des </w:t>
      </w:r>
      <w:r>
        <w:rPr>
          <w:b/>
        </w:rPr>
        <w:t>constantes codées en dur</w:t>
      </w:r>
      <w:r>
        <w:t xml:space="preserve"> — une faiblesse identifiée dans notre propre évaluation de maturité. Les deux techniques y répondent :</w:t>
      </w:r>
    </w:p>
    <w:p>
      <w:pPr>
        <w:pStyle w:val="ListBullet"/>
      </w:pPr>
      <w:r>
        <w:rPr>
          <w:b/>
        </w:rPr>
        <w:t>API officielle (Azure)</w:t>
      </w:r>
      <w:r>
        <w:t xml:space="preserve"> — tarifs de référence faisant autorité : `Hot LRS` </w:t>
      </w:r>
      <w:r>
        <w:rPr>
          <w:b/>
        </w:rPr>
        <w:t>0,2120 $/Go/an</w:t>
      </w:r>
      <w:r>
        <w:t xml:space="preserve">, `Archive LRS` </w:t>
      </w:r>
      <w:r>
        <w:rPr>
          <w:b/>
        </w:rPr>
        <w:t>0,0216 $/Go/an</w:t>
      </w:r>
      <w:r>
        <w:t xml:space="preserve">, soit un </w:t>
      </w:r>
      <w:r>
        <w:rPr>
          <w:b/>
        </w:rPr>
        <w:t>écart ×9,8</w:t>
      </w:r>
      <w:r>
        <w:t xml:space="preserve"> (gain de </w:t>
      </w:r>
      <w:r>
        <w:rPr>
          <w:b/>
        </w:rPr>
        <w:t>0,19 $/Go/an</w:t>
      </w:r>
      <w:r>
        <w:t xml:space="preserve"> par Go archivé).</w:t>
      </w:r>
    </w:p>
    <w:p>
      <w:pPr>
        <w:pStyle w:val="ListBullet"/>
      </w:pPr>
      <w:r>
        <w:rPr>
          <w:b/>
        </w:rPr>
        <w:t>Scraping (Backblaze B2)</w:t>
      </w:r>
      <w:r>
        <w:t xml:space="preserve"> — recoupement concurrentiel : </w:t>
      </w:r>
      <w:r>
        <w:rPr>
          <w:b/>
        </w:rPr>
        <w:t>0,12 $/Go/an</w:t>
      </w:r>
      <w:r>
        <w:t xml:space="preserve">, ce qui établit une </w:t>
      </w:r>
      <w:r>
        <w:rPr>
          <w:b/>
        </w:rPr>
        <w:t>fourchette de marché de 0,0216 à 0,12 $/Go/an</w:t>
      </w:r>
      <w:r>
        <w:t xml:space="preserve"> pour l'archivage, au lieu d'un prix unique non sourcé.</w:t>
      </w:r>
    </w:p>
    <w:p>
      <w:r>
        <w:t xml:space="preserve">Les tarifs de `roi_score` proviennent donc désormais de </w:t>
      </w:r>
      <w:r>
        <w:rPr>
          <w:b/>
        </w:rPr>
        <w:t>sources externes réelles et rejouables</w:t>
      </w:r>
      <w:r>
        <w:t>, et non plus d'hypothèses.</w:t>
      </w:r>
    </w:p>
    <w:p>
      <w:pPr>
        <w:spacing w:before="120" w:after="120"/>
        <w:ind w:left="240"/>
      </w:pPr>
      <w:r>
        <w:rPr>
          <w:b/>
          <w:i/>
          <w:color w:val="4B5563"/>
        </w:rPr>
        <w:t>Détail technique — SSL en environnement d'entreprise.</w:t>
      </w:r>
      <w:r>
        <w:rPr>
          <w:i/>
          <w:color w:val="4B5563"/>
        </w:rPr>
        <w:t xml:space="preserve"> Le proxy de l'entreprise inspecte le trafic TLS, ce qui fait échouer la vérification de certificat standard. Plutôt que de désactiver la vérification (`verify=False`, faute de sécurité inacceptable dans un projet qui traite de sécurité), les modules utilisent </w:t>
      </w:r>
      <w:r>
        <w:rPr>
          <w:b/>
          <w:i/>
          <w:color w:val="4B5563"/>
        </w:rPr>
        <w:t>`truststore`</w:t>
      </w:r>
      <w:r>
        <w:rPr>
          <w:i/>
          <w:color w:val="4B5563"/>
        </w:rPr>
        <w:t xml:space="preserve"> : la vérification SSL s'appuie sur le </w:t>
      </w:r>
      <w:r>
        <w:rPr>
          <w:b/>
          <w:i/>
          <w:color w:val="4B5563"/>
        </w:rPr>
        <w:t>magasin de certificats du système d'exploitation</w:t>
      </w:r>
      <w:r>
        <w:rPr>
          <w:i/>
          <w:color w:val="4B5563"/>
        </w:rPr>
        <w:t xml:space="preserve">, où la CA du proxy est déjà installée. </w:t>
      </w:r>
      <w:r>
        <w:rPr>
          <w:b/>
          <w:i/>
          <w:color w:val="4B5563"/>
        </w:rPr>
        <w:t>La vérification SSL reste donc active.</w:t>
      </w:r>
    </w:p>
    <w:p>
      <w:pPr>
        <w:spacing w:before="120" w:after="120"/>
        <w:ind w:left="240"/>
      </w:pPr>
      <w:r>
        <w:rPr>
          <w:b/>
          <w:i/>
          <w:color w:val="4B5563"/>
        </w:rPr>
        <w:t>Limites assumées du scraping.</w:t>
      </w:r>
      <w:r>
        <w:rPr>
          <w:i/>
          <w:color w:val="4B5563"/>
        </w:rPr>
        <w:t xml:space="preserve"> L'extraction dépend de la structure HTML de la page cible : si le fournisseur modifie sa mise en page, le module </w:t>
      </w:r>
      <w:r>
        <w:rPr>
          <w:b/>
          <w:i/>
          <w:color w:val="4B5563"/>
        </w:rPr>
        <w:t>échoue explicitement</w:t>
      </w:r>
      <w:r>
        <w:rPr>
          <w:i/>
          <w:color w:val="4B5563"/>
        </w:rPr>
        <w:t xml:space="preserve"> (jamais silencieusement) et lève une erreur explicite. Le scraping est donc cantonné à un rôle de </w:t>
      </w:r>
      <w:r>
        <w:rPr>
          <w:b/>
          <w:i/>
          <w:color w:val="4B5563"/>
        </w:rPr>
        <w:t>recoupement</w:t>
      </w:r>
      <w:r>
        <w:rPr>
          <w:i/>
          <w:color w:val="4B5563"/>
        </w:rPr>
        <w:t xml:space="preserve"> — jamais de source unique de vérité. La collecte est en outre </w:t>
      </w:r>
      <w:r>
        <w:rPr>
          <w:b/>
          <w:i/>
          <w:color w:val="4B5563"/>
        </w:rPr>
        <w:t>responsable</w:t>
      </w:r>
      <w:r>
        <w:rPr>
          <w:i/>
          <w:color w:val="4B5563"/>
        </w:rPr>
        <w:t xml:space="preserve"> : `robots.txt` vérifié avant toute requête, une seule requête par exécution, User-Agent explicite, et </w:t>
      </w:r>
      <w:r>
        <w:rPr>
          <w:b/>
          <w:i/>
          <w:color w:val="4B5563"/>
        </w:rPr>
        <w:t>aucune donnée personnelle</w:t>
      </w:r>
      <w:r>
        <w:rPr>
          <w:i/>
          <w:color w:val="4B5563"/>
        </w:rPr>
        <w:t xml:space="preserve"> collectée.</w:t>
      </w:r>
    </w:p>
    <w:p>
      <w:pPr>
        <w:pStyle w:val="Heading4"/>
      </w:pPr>
      <w:r>
        <w:t>Exemple concret : extraction du catalogue des records logiques</w:t>
      </w:r>
    </w:p>
    <w:p>
      <w:r>
        <w:t xml:space="preserve">Le module `src/extract/oracle/extract_record_catalog.py` exécute une requête paramétrée qui </w:t>
      </w:r>
      <w:r>
        <w:rPr>
          <w:b/>
        </w:rPr>
        <w:t>joint la structure logique (PeopleSoft) à la structure physique (Oracle)</w:t>
      </w:r>
      <w:r>
        <w:t xml:space="preserve"> — jointure indispensable car PeopleSoft ne garantit aucune cohérence automatique entre les deux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SELECT r.recname, r.recdescr, r.rectype,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CASE WHEN TRIM(r.sqltablename) IS NOT NULL AND TRIM(r.sqltablename) &lt;&gt; ''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THEN TRIM(r.sqltablename) ELSE 'PS_' || r.recname END AS physical_table_name,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t.owner AS oracle_owner, t.table_name AS oracle_table_name,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CASE WHEN t.table_name IS NOT NULL THEN 1 ELSE 0 END AS table_exists_flag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SYSADM.PSRECDEFN 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LEFT JOIN ALL_TABLES 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ON t.owner = :owner AND t.table_name = /* nom physique reconstruit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r.recname &lt;&gt; 'PSDUMMY'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ORDER BY r.recname</w:t>
            </w:r>
          </w:p>
        </w:tc>
      </w:tr>
    </w:tbl>
    <w:p>
      <w:r>
        <w:t xml:space="preserve">Le connecteur (`src/connectors/oracle_client.py`) matérialise chaque ligne en dictionnaire Python, lit les LOB tant que la connexion est ouverte, et applique un </w:t>
      </w:r>
      <w:r>
        <w:rPr>
          <w:b/>
        </w:rPr>
        <w:t>batching</w:t>
      </w:r>
      <w:r>
        <w:t xml:space="preserve"> (`arraysize = prefetchrows = 2000`) pour limiter les allers-retours réseau.</w:t>
      </w:r>
    </w:p>
    <w:p>
      <w:pPr>
        <w:pStyle w:val="Heading4"/>
      </w:pPr>
      <w:r>
        <w:t>Démonstration de la qualité de la collecte</w:t>
      </w:r>
    </w:p>
    <w:p>
      <w:r>
        <w:rPr>
          <w:b/>
        </w:rPr>
        <w:t>Exhaustivité</w:t>
      </w:r>
      <w:r>
        <w:t xml:space="preserve"> — les comptages de contrôle exécutés sur la source confirment la couverture complète du périmètre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Contrôle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Valeur relevée</w:t>
            </w:r>
          </w:p>
        </w:tc>
      </w:tr>
      <w:tr>
        <w:tc>
          <w:tcPr>
            <w:tcW w:type="dxa" w:w="4320"/>
          </w:tcPr>
          <w:p>
            <w:r/>
            <w:r>
              <w:t>Records logiques collectés (hors `PSDUMMY`)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87 627</w:t>
            </w:r>
          </w:p>
        </w:tc>
      </w:tr>
      <w:tr>
        <w:tc>
          <w:tcPr>
            <w:tcW w:type="dxa" w:w="4320"/>
          </w:tcPr>
          <w:p>
            <w:r/>
            <w:r>
              <w:t>Tables physiques (schéma SYSADM)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79 633</w:t>
            </w:r>
          </w:p>
        </w:tc>
      </w:tr>
      <w:tr>
        <w:tc>
          <w:tcPr>
            <w:tcW w:type="dxa" w:w="4320"/>
          </w:tcPr>
          <w:p>
            <w:r/>
            <w:r>
              <w:t>Champs (`PSDBFIELD`)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107 206</w:t>
            </w:r>
          </w:p>
        </w:tc>
      </w:tr>
    </w:tbl>
    <w:p/>
    <w:p>
      <w:r>
        <w:rPr>
          <w:b/>
        </w:rPr>
        <w:t>Exactitude</w:t>
      </w:r>
      <w:r>
        <w:t xml:space="preserve"> — trois mécanismes garantissent la fidélité des données collectées :</w:t>
      </w:r>
    </w:p>
    <w:p>
      <w:pPr>
        <w:pStyle w:val="ListNumber"/>
      </w:pPr>
      <w:r>
        <w:rPr>
          <w:b/>
        </w:rPr>
        <w:t>Empreinte SHA-256</w:t>
      </w:r>
      <w:r>
        <w:t xml:space="preserve"> calculée sur chaque lot extrait (détection de toute altération entre extraction et chargement).</w:t>
      </w:r>
    </w:p>
    <w:p>
      <w:pPr>
        <w:pStyle w:val="ListNumber"/>
      </w:pPr>
      <w:r>
        <w:rPr>
          <w:b/>
        </w:rPr>
        <w:t>`table_exists_flag`</w:t>
      </w:r>
      <w:r>
        <w:t xml:space="preserve"> : réconciliation logique↔physique (une définition de record sans table physique réelle est marquée, pas silencieusement perdue).</w:t>
      </w:r>
    </w:p>
    <w:p>
      <w:pPr>
        <w:pStyle w:val="ListNumber"/>
      </w:pPr>
      <w:r>
        <w:rPr>
          <w:b/>
        </w:rPr>
        <w:t>Typage et normalisation</w:t>
      </w:r>
      <w:r>
        <w:t xml:space="preserve"> : noms de colonnes en minuscules, valeurs nulles explicitées (`NULLIF`, `TRIM`), LOB lus intégralement — évite les troncatures.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(C1.1.2).</w:t>
      </w:r>
      <w:r>
        <w:rPr>
          <w:i/>
          <w:color w:val="4B5563"/>
        </w:rPr>
        <w:t xml:space="preserve"> Un </w:t>
      </w:r>
      <w:r>
        <w:rPr>
          <w:b/>
          <w:i/>
          <w:color w:val="4B5563"/>
        </w:rPr>
        <w:t>exemple de collecte</w:t>
      </w:r>
      <w:r>
        <w:rPr>
          <w:i/>
          <w:color w:val="4B5563"/>
        </w:rPr>
        <w:t xml:space="preserve"> est présenté (catalogue des records). Techniques utilisées : ✓ </w:t>
      </w:r>
      <w:r>
        <w:rPr>
          <w:b/>
          <w:i/>
          <w:color w:val="4B5563"/>
        </w:rPr>
        <w:t>requêtes SQL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accès base de données via driver natif</w:t>
      </w:r>
      <w:r>
        <w:rPr>
          <w:i/>
          <w:color w:val="4B5563"/>
        </w:rPr>
        <w:t xml:space="preserve"> (`oracledb`) ; le </w:t>
      </w:r>
      <w:r>
        <w:rPr>
          <w:b/>
          <w:i/>
          <w:color w:val="4B5563"/>
        </w:rPr>
        <w:t>web scraping/crawling</w:t>
      </w:r>
      <w:r>
        <w:rPr>
          <w:i/>
          <w:color w:val="4B5563"/>
        </w:rPr>
        <w:t xml:space="preserve"> est explicitement traité (écarté avec justification). La </w:t>
      </w:r>
      <w:r>
        <w:rPr>
          <w:b/>
          <w:i/>
          <w:color w:val="4B5563"/>
        </w:rPr>
        <w:t>qualité</w:t>
      </w:r>
      <w:r>
        <w:rPr>
          <w:i/>
          <w:color w:val="4B5563"/>
        </w:rPr>
        <w:t xml:space="preserve"> est démontrée sur les deux axes exigés : ✓ </w:t>
      </w:r>
      <w:r>
        <w:rPr>
          <w:b/>
          <w:i/>
          <w:color w:val="4B5563"/>
        </w:rPr>
        <w:t>exhaustivité</w:t>
      </w:r>
      <w:r>
        <w:rPr>
          <w:i/>
          <w:color w:val="4B5563"/>
        </w:rPr>
        <w:t xml:space="preserve"> (comptages de couverture) et ✓ </w:t>
      </w:r>
      <w:r>
        <w:rPr>
          <w:b/>
          <w:i/>
          <w:color w:val="4B5563"/>
        </w:rPr>
        <w:t>exactitude</w:t>
      </w:r>
      <w:r>
        <w:rPr>
          <w:i/>
          <w:color w:val="4B5563"/>
        </w:rPr>
        <w:t xml:space="preserve"> (hash SHA-256, réconciliation, normalisation).</w:t>
      </w:r>
    </w:p>
    <w:p>
      <w:pPr>
        <w:pStyle w:val="Heading3"/>
      </w:pPr>
      <w:r>
        <w:t>C1.1.3 — Automatisation de la collecte</w:t>
      </w:r>
    </w:p>
    <w:p>
      <w:r>
        <w:rPr>
          <w:b/>
        </w:rPr>
        <w:t>Livrable : une méthode d'automatisation de la collecte.</w:t>
      </w:r>
    </w:p>
    <w:p>
      <w:r>
        <w:t xml:space="preserve">L'automatisation repose sur l'orchestrateur </w:t>
      </w:r>
      <w:r>
        <w:rPr>
          <w:b/>
        </w:rPr>
        <w:t>Prefect</w:t>
      </w:r>
      <w:r>
        <w:t>. Chaque étape de collecte est une *task* ; les tâches sont assemblées en *flows* rejouables.</w:t>
      </w:r>
    </w:p>
    <w:p>
      <w:pPr>
        <w:pStyle w:val="Heading4"/>
      </w:pPr>
      <w:r>
        <w:t>Composants de l'automatisation</w:t>
      </w:r>
    </w:p>
    <w:p>
      <w:pPr>
        <w:pStyle w:val="ListBullet"/>
      </w:pPr>
      <w:r>
        <w:rPr>
          <w:b/>
        </w:rPr>
        <w:t>Workflows (flows Prefect)</w:t>
      </w:r>
      <w:r>
        <w:t xml:space="preserve"> — `src/prefect/flows/` :</w:t>
      </w:r>
    </w:p>
    <w:p>
      <w:pPr>
        <w:pStyle w:val="ListBullet"/>
      </w:pPr>
      <w:r>
        <w:t>`flow_oracle_raw` — collecte des 5 catalogues Oracle → couche `raw_oracle`</w:t>
      </w:r>
    </w:p>
    <w:p>
      <w:pPr>
        <w:pStyle w:val="ListBullet"/>
      </w:pPr>
      <w:r>
        <w:t>`flow_build_processed` — construction du modèle en étoile + scoring ML</w:t>
      </w:r>
    </w:p>
    <w:p>
      <w:pPr>
        <w:pStyle w:val="ListBullet"/>
      </w:pPr>
      <w:r>
        <w:t>`flow_publish_serving` — publication des vues analytiques</w:t>
      </w:r>
    </w:p>
    <w:p>
      <w:pPr>
        <w:pStyle w:val="ListBullet"/>
      </w:pPr>
      <w:r>
        <w:t xml:space="preserve">`flow_oracle_only` — </w:t>
      </w:r>
      <w:r>
        <w:rPr>
          <w:b/>
        </w:rPr>
        <w:t>orchestration complète</w:t>
      </w:r>
      <w:r>
        <w:t xml:space="preserve"> : enchaîne les trois ci-dessus et trace le cycle de vie dans `admin.pipeline_run`</w:t>
      </w:r>
    </w:p>
    <w:p>
      <w:pPr>
        <w:pStyle w:val="ListBullet"/>
      </w:pPr>
      <w:r>
        <w:rPr>
          <w:b/>
        </w:rPr>
        <w:t>Scripts et librairies</w:t>
      </w:r>
      <w:r>
        <w:t xml:space="preserve"> : connecteur `oracle_client`, chargeur `load_raw_oracle`.</w:t>
      </w:r>
    </w:p>
    <w:p>
      <w:pPr>
        <w:pStyle w:val="ListBullet"/>
      </w:pPr>
      <w:r>
        <w:rPr>
          <w:b/>
        </w:rPr>
        <w:t>Outils d'automation / ordonnancement</w:t>
      </w:r>
      <w:r>
        <w:t xml:space="preserve"> : Prefect (planification, reprise, journalisation), déclenchables aussi depuis le </w:t>
      </w:r>
      <w:r>
        <w:rPr>
          <w:b/>
        </w:rPr>
        <w:t>dashboard Streamlit</w:t>
      </w:r>
      <w:r>
        <w:t xml:space="preserve"> (« Centre de contrôle des pipelines »).</w:t>
      </w:r>
    </w:p>
    <w:p>
      <w:pPr>
        <w:pStyle w:val="Heading4"/>
      </w:pPr>
      <w:r>
        <w:t>Tâches planifiées — déploiements cron opérationnels</w:t>
      </w:r>
    </w:p>
    <w:p>
      <w:r>
        <w:t xml:space="preserve">L'automatisation ne se limite pas au déclenchement manuel : </w:t>
      </w:r>
      <w:r>
        <w:rPr>
          <w:b/>
        </w:rPr>
        <w:t>deux déploiements Prefect planifiés</w:t>
      </w:r>
      <w:r>
        <w:t xml:space="preserve"> sont publiés sur le serveur d'orchestration (`scripts/serve_scheduled_pipeline.py`) et exécutés automatiquement selon un </w:t>
      </w:r>
      <w:r>
        <w:rPr>
          <w:b/>
        </w:rPr>
        <w:t>calendrier cron</w:t>
      </w:r>
      <w:r>
        <w:t>, sans intervention humaine.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Déploiement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Flow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CRON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Fréquence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1728"/>
          </w:tcPr>
          <w:p>
            <w:r/>
            <w:r>
              <w:t>`pipeline-oracle-quotidien`</w:t>
            </w:r>
          </w:p>
        </w:tc>
        <w:tc>
          <w:tcPr>
            <w:tcW w:type="dxa" w:w="1728"/>
          </w:tcPr>
          <w:p>
            <w:r/>
            <w:r>
              <w:t>`flow_oracle_only`</w:t>
            </w:r>
          </w:p>
        </w:tc>
        <w:tc>
          <w:tcPr>
            <w:tcW w:type="dxa" w:w="1728"/>
          </w:tcPr>
          <w:p>
            <w:r/>
            <w:r>
              <w:t>`0 2 * * *`</w:t>
            </w:r>
          </w:p>
        </w:tc>
        <w:tc>
          <w:tcPr>
            <w:tcW w:type="dxa" w:w="1728"/>
          </w:tcPr>
          <w:p>
            <w:r/>
            <w:r>
              <w:t>Chaque nuit à 02h00</w:t>
            </w:r>
          </w:p>
        </w:tc>
        <w:tc>
          <w:tcPr>
            <w:tcW w:type="dxa" w:w="1728"/>
          </w:tcPr>
          <w:p>
            <w:r/>
            <w:r>
              <w:t>Collecte complète : extraction Oracle → processed (+ scoring ML) → serving</w:t>
            </w:r>
          </w:p>
        </w:tc>
      </w:tr>
      <w:tr>
        <w:tc>
          <w:tcPr>
            <w:tcW w:type="dxa" w:w="1728"/>
          </w:tcPr>
          <w:p>
            <w:r/>
            <w:r>
              <w:t>`serving-refresh-horaire`</w:t>
            </w:r>
          </w:p>
        </w:tc>
        <w:tc>
          <w:tcPr>
            <w:tcW w:type="dxa" w:w="1728"/>
          </w:tcPr>
          <w:p>
            <w:r/>
            <w:r>
              <w:t>`flow_publish_serving`</w:t>
            </w:r>
          </w:p>
        </w:tc>
        <w:tc>
          <w:tcPr>
            <w:tcW w:type="dxa" w:w="1728"/>
          </w:tcPr>
          <w:p>
            <w:r/>
            <w:r>
              <w:t>`0 * * * *`</w:t>
            </w:r>
          </w:p>
        </w:tc>
        <w:tc>
          <w:tcPr>
            <w:tcW w:type="dxa" w:w="1728"/>
          </w:tcPr>
          <w:p>
            <w:r/>
            <w:r>
              <w:t>Toutes les heures</w:t>
            </w:r>
          </w:p>
        </w:tc>
        <w:tc>
          <w:tcPr>
            <w:tcW w:type="dxa" w:w="1728"/>
          </w:tcPr>
          <w:p>
            <w:r/>
            <w:r>
              <w:t>Rafraîchissement des vues analytiques (léger, sans VPN)</w:t>
            </w:r>
          </w:p>
        </w:tc>
      </w:tr>
    </w:tbl>
    <w:p/>
    <w:p>
      <w:r>
        <w:t xml:space="preserve">Les deux déploiements sont à l'état </w:t>
      </w:r>
      <w:r>
        <w:rPr>
          <w:b/>
        </w:rPr>
        <w:t>Ready</w:t>
      </w:r>
      <w:r>
        <w:t xml:space="preserve">, taggés (`collecte/oracle/production`, `analytics/serving`), et Prefect </w:t>
      </w:r>
      <w:r>
        <w:rPr>
          <w:b/>
        </w:rPr>
        <w:t>pré-calcule les prochaines exécutions</w:t>
      </w:r>
      <w:r>
        <w:t xml:space="preserve"> : le serveur planifie automatiquement les runs à venir (vérifié : 5 exécutions programmées — refresh horaire à 07h/08h/09h, collecte quotidienne les 18 et 19/07 à 02h00).</w:t>
      </w:r>
    </w:p>
    <w:p>
      <w:r>
        <w:t xml:space="preserve">Le </w:t>
      </w:r>
      <w:r>
        <w:rPr>
          <w:b/>
        </w:rPr>
        <w:t>choix des fréquences est motivé</w:t>
      </w:r>
      <w:r>
        <w:t xml:space="preserve"> : la collecte Oracle est lourde (~87 000 records, VPN requis) donc planifiée </w:t>
      </w:r>
      <w:r>
        <w:rPr>
          <w:b/>
        </w:rPr>
        <w:t>de nuit</w:t>
      </w:r>
      <w:r>
        <w:t xml:space="preserve"> hors heures ouvrées ; le recalcul analytique est léger et sans dépendance réseau, donc </w:t>
      </w:r>
      <w:r>
        <w:rPr>
          <w:b/>
        </w:rPr>
        <w:t>horaire</w:t>
      </w:r>
      <w:r>
        <w:t xml:space="preserve"> pour garder le dashboard à jour.</w:t>
      </w:r>
    </w:p>
    <w:p>
      <w:pPr>
        <w:spacing w:before="120" w:after="120"/>
        <w:ind w:left="240"/>
      </w:pPr>
      <w:r>
        <w:rPr>
          <w:b/>
          <w:i/>
          <w:color w:val="4B5563"/>
        </w:rPr>
        <w:t>Preuve d'exécution.</w:t>
      </w:r>
      <w:r>
        <w:rPr>
          <w:i/>
          <w:color w:val="4B5563"/>
        </w:rPr>
        <w:t xml:space="preserve"> Voir capture de l'interface Prefect en annexe (déploiements, statut `Ready`, colonnes *Schedules* affichant « At 02:00 AM every day » et « Every hour every day »).</w:t>
      </w:r>
    </w:p>
    <w:p>
      <w:pPr>
        <w:pStyle w:val="Heading4"/>
      </w:pPr>
      <w:r>
        <w:t>Garanties apportées par l'automatisation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Garantie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Mécanisme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Rejouabilité</w:t>
            </w:r>
          </w:p>
        </w:tc>
        <w:tc>
          <w:tcPr>
            <w:tcW w:type="dxa" w:w="4320"/>
          </w:tcPr>
          <w:p>
            <w:r/>
            <w:r>
              <w:t>Idempotence `DELETE WHERE run_id=:n` + `INSERT` — un run peut être relancé sans doublon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Traçabilité</w:t>
            </w:r>
          </w:p>
        </w:tc>
        <w:tc>
          <w:tcPr>
            <w:tcW w:type="dxa" w:w="4320"/>
          </w:tcPr>
          <w:p>
            <w:r/>
            <w:r>
              <w:t>Table `admin.pipeline_run` (flow, type, statut, horodatage début/fin)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Résilience réseau</w:t>
            </w:r>
          </w:p>
        </w:tc>
        <w:tc>
          <w:tcPr>
            <w:tcW w:type="dxa" w:w="4320"/>
          </w:tcPr>
          <w:p>
            <w:r/>
            <w:r>
              <w:t xml:space="preserve">Retry exponentiel (`tenacity`) sur les erreurs </w:t>
            </w:r>
            <w:r>
              <w:rPr>
                <w:b/>
              </w:rPr>
              <w:t>transitoires</w:t>
            </w:r>
            <w:r>
              <w:t xml:space="preserve"> de connexion, keepalive Oracle (`expire_time`), `tcp_connect_timeout` — protège des coupures VPN sur les longues extractions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Reprise sur incident</w:t>
            </w:r>
          </w:p>
        </w:tc>
        <w:tc>
          <w:tcPr>
            <w:tcW w:type="dxa" w:w="4320"/>
          </w:tcPr>
          <w:p>
            <w:r/>
            <w:r>
              <w:t xml:space="preserve">Extraction Oracle </w:t>
            </w:r>
            <w:r>
              <w:rPr>
                <w:b/>
              </w:rPr>
              <w:t>par préfixe</w:t>
            </w:r>
            <w:r>
              <w:t xml:space="preserve"> avec tolérance : un préfixe en échec n'invalide pas les autres</w:t>
            </w:r>
          </w:p>
        </w:tc>
      </w:tr>
    </w:tbl>
    <w:p/>
    <w:p>
      <w:pPr>
        <w:spacing w:before="120" w:after="120"/>
        <w:ind w:left="240"/>
      </w:pPr>
      <w:r>
        <w:rPr>
          <w:b/>
          <w:i/>
          <w:color w:val="4B5563"/>
        </w:rPr>
        <w:t>Critères couverts (C1.1.3).</w:t>
      </w:r>
      <w:r>
        <w:rPr>
          <w:i/>
          <w:color w:val="4B5563"/>
        </w:rPr>
        <w:t xml:space="preserve"> La méthode d'automatisation est présentée et argumentée : elle comporte ✓ des </w:t>
      </w:r>
      <w:r>
        <w:rPr>
          <w:b/>
          <w:i/>
          <w:color w:val="4B5563"/>
        </w:rPr>
        <w:t>workflows</w:t>
      </w:r>
      <w:r>
        <w:rPr>
          <w:i/>
          <w:color w:val="4B5563"/>
        </w:rPr>
        <w:t xml:space="preserve"> (flows Prefect), ✓ des </w:t>
      </w:r>
      <w:r>
        <w:rPr>
          <w:b/>
          <w:i/>
          <w:color w:val="4B5563"/>
        </w:rPr>
        <w:t>scripts et librairies</w:t>
      </w:r>
      <w:r>
        <w:rPr>
          <w:i/>
          <w:color w:val="4B5563"/>
        </w:rPr>
        <w:t xml:space="preserve"> (connecteurs, chargeurs), ✓ des </w:t>
      </w:r>
      <w:r>
        <w:rPr>
          <w:b/>
          <w:i/>
          <w:color w:val="4B5563"/>
        </w:rPr>
        <w:t>outils d'automation</w:t>
      </w:r>
      <w:r>
        <w:rPr>
          <w:i/>
          <w:color w:val="4B5563"/>
        </w:rPr>
        <w:t xml:space="preserve"> (Prefect + déclenchement dashboard) et ✓ un </w:t>
      </w:r>
      <w:r>
        <w:rPr>
          <w:b/>
          <w:i/>
          <w:color w:val="4B5563"/>
        </w:rPr>
        <w:t>ordonnanceur</w:t>
      </w:r>
      <w:r>
        <w:rPr>
          <w:i/>
          <w:color w:val="4B5563"/>
        </w:rPr>
        <w:t xml:space="preserve"> avec ✓ </w:t>
      </w:r>
      <w:r>
        <w:rPr>
          <w:b/>
          <w:i/>
          <w:color w:val="4B5563"/>
        </w:rPr>
        <w:t>tâches planifiées réelles</w:t>
      </w:r>
      <w:r>
        <w:rPr>
          <w:i/>
          <w:color w:val="4B5563"/>
        </w:rPr>
        <w:t xml:space="preserve"> (2 déploiements cron actifs : quotidien `0 2 * * *` et horaire `0 * * * *`, prochaines exécutions programmées automatiquement). Les garanties (rejouabilité, traçabilité, résilience) sont justifiées.</w:t>
      </w:r>
    </w:p>
    <w:p>
      <w:pPr>
        <w:pStyle w:val="Heading2"/>
      </w:pPr>
      <w:r>
        <w:t>3. C1.2 — Stocker les données</w:t>
      </w:r>
    </w:p>
    <w:p>
      <w:pPr>
        <w:pStyle w:val="Heading3"/>
      </w:pPr>
      <w:r>
        <w:t>C1.2.1 — Stratégie de stockage et modèle de données</w:t>
      </w:r>
    </w:p>
    <w:p>
      <w:r>
        <w:rPr>
          <w:b/>
        </w:rPr>
        <w:t>Livrables : une stratégie de stockage + un modèle de données.</w:t>
      </w:r>
    </w:p>
    <w:p>
      <w:pPr>
        <w:pStyle w:val="Heading4"/>
      </w:pPr>
      <w:r>
        <w:t>Stratégie de stockage — architecture médaillon</w:t>
      </w:r>
    </w:p>
    <w:p>
      <w:r>
        <w:t xml:space="preserve">Le stockage suit le patron </w:t>
      </w:r>
      <w:r>
        <w:rPr>
          <w:b/>
        </w:rPr>
        <w:t>médaillon</w:t>
      </w:r>
      <w:r>
        <w:t xml:space="preserve"> (bronze/silver/gold), matérialisé par 4 schémas PostgreSQL principaux aux responsabilités séparées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 xml:space="preserve">                    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Oracle  ───────►  │  raw_oracle   (bronze) : copie fidèle brute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├─────────────────────────────────────────────┤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│  processed    (silver) : modèle en étoile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│                          nettoyé, conformé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├─────────────────────────────────────────────┤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│  serving      (gold)   : vues/MV analytiques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│                          prêtes à l'usage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├─────────────────────────────────────────────┤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│  admin                 : traçabilité des runs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└─────────────────────────────────────────────┘</w:t>
            </w:r>
          </w:p>
        </w:tc>
      </w:tr>
    </w:tbl>
    <w:p>
      <w:r>
        <w:t xml:space="preserve">Ce choix répond aux </w:t>
      </w:r>
      <w:r>
        <w:rPr>
          <w:b/>
        </w:rPr>
        <w:t>usages envisagés</w:t>
      </w:r>
      <w:r>
        <w:t xml:space="preserve"> :</w:t>
      </w:r>
    </w:p>
    <w:p>
      <w:pPr>
        <w:pStyle w:val="ListBullet"/>
      </w:pPr>
      <w:r>
        <w:rPr>
          <w:b/>
        </w:rPr>
        <w:t>Disponibilité / accessibilité</w:t>
      </w:r>
      <w:r>
        <w:t xml:space="preserve"> : la couche `serving` (vues matérialisées) sert le dashboard et les requêtes analytiques sans recalcul.</w:t>
      </w:r>
    </w:p>
    <w:p>
      <w:pPr>
        <w:pStyle w:val="ListBullet"/>
      </w:pPr>
      <w:r>
        <w:rPr>
          <w:b/>
        </w:rPr>
        <w:t>Analyse</w:t>
      </w:r>
      <w:r>
        <w:t xml:space="preserve"> : la couche `processed` (modèle en étoile) est optimisée pour l'agrégation.</w:t>
      </w:r>
    </w:p>
    <w:p>
      <w:pPr>
        <w:pStyle w:val="ListBullet"/>
      </w:pPr>
      <w:r>
        <w:rPr>
          <w:b/>
        </w:rPr>
        <w:t>Stockage / auditabilité</w:t>
      </w:r>
      <w:r>
        <w:t xml:space="preserve"> : la couche `raw_*` conserve la donnée brute non transformée (rejouabilité, preuve d'origine).</w:t>
      </w:r>
    </w:p>
    <w:p>
      <w:pPr>
        <w:pStyle w:val="Heading4"/>
      </w:pPr>
      <w:r>
        <w:t>Modèle de données — schéma en étoile (couche `processed`)</w:t>
      </w:r>
    </w:p>
    <w:p>
      <w:r>
        <w:t xml:space="preserve">La couche silver est modélisée en </w:t>
      </w:r>
      <w:r>
        <w:rPr>
          <w:b/>
        </w:rPr>
        <w:t>schéma en étoile</w:t>
      </w:r>
      <w:r>
        <w:t>, centré sur une dimension conforme unique — l'</w:t>
      </w:r>
      <w:r>
        <w:rPr>
          <w:b/>
        </w:rPr>
        <w:t>actif de données</w:t>
      </w:r>
      <w:r>
        <w:t xml:space="preserve"> — adapté à l'analyse multidimensionnelle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 xml:space="preserve">    dim_field ──┐                    ┌── bridge_asset_term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(colonnes/champs)                   (termes métier · N–N)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▼          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╔═══════════════════════════════╗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║          dim_asset             ║  ◄ HUB : 1 ligne = 1 actif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║  id (PK) · run_id              ║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║  technical_name · asset_type   ║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╚═══════════════════════════════╝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▲                    ▲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fact_asset_profile                 fact_lineage_edge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fact_archiving_event               (dépendances entre actifs)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(volumétrie · qualité · évts)</w:t>
            </w:r>
          </w:p>
        </w:tc>
      </w:tr>
    </w:tbl>
    <w:p>
      <w:r>
        <w:rPr>
          <w:b/>
        </w:rPr>
        <w:t>Toutes les branches se rattachent au hub `dim_asset` par la clé `asset_id` + `run_id`.</w:t>
      </w:r>
      <w:r>
        <w:t xml:space="preserve"> Les 8 tables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`dim_asset`</w:t>
            </w:r>
          </w:p>
        </w:tc>
        <w:tc>
          <w:tcPr>
            <w:tcW w:type="dxa" w:w="2160"/>
          </w:tcPr>
          <w:p>
            <w:r/>
            <w:r>
              <w:t>Dimension (hub)</w:t>
            </w:r>
          </w:p>
        </w:tc>
        <w:tc>
          <w:tcPr>
            <w:tcW w:type="dxa" w:w="2160"/>
          </w:tcPr>
          <w:p>
            <w:r/>
            <w:r>
              <w:t>1 actif</w:t>
            </w:r>
          </w:p>
        </w:tc>
        <w:tc>
          <w:tcPr>
            <w:tcW w:type="dxa" w:w="2160"/>
          </w:tcPr>
          <w:p>
            <w:r/>
            <w:r>
              <w:t>Entité centrale : nom technique, type, source, description</w:t>
            </w:r>
          </w:p>
        </w:tc>
      </w:tr>
      <w:tr>
        <w:tc>
          <w:tcPr>
            <w:tcW w:type="dxa" w:w="2160"/>
          </w:tcPr>
          <w:p>
            <w:r/>
            <w:r>
              <w:t>`dim_field`</w:t>
            </w:r>
          </w:p>
        </w:tc>
        <w:tc>
          <w:tcPr>
            <w:tcW w:type="dxa" w:w="2160"/>
          </w:tcPr>
          <w:p>
            <w:r/>
            <w:r>
              <w:t>Dimension</w:t>
            </w:r>
          </w:p>
        </w:tc>
        <w:tc>
          <w:tcPr>
            <w:tcW w:type="dxa" w:w="2160"/>
          </w:tcPr>
          <w:p>
            <w:r/>
            <w:r>
              <w:t>1 colonne</w:t>
            </w:r>
          </w:p>
        </w:tc>
        <w:tc>
          <w:tcPr>
            <w:tcW w:type="dxa" w:w="2160"/>
          </w:tcPr>
          <w:p>
            <w:r/>
            <w:r>
              <w:t>Champs/colonnes de chaque actif (type, nullable, longueur)</w:t>
            </w:r>
          </w:p>
        </w:tc>
      </w:tr>
      <w:tr>
        <w:tc>
          <w:tcPr>
            <w:tcW w:type="dxa" w:w="2160"/>
          </w:tcPr>
          <w:p>
            <w:r/>
            <w:r>
              <w:t>`bridge_asset_term`</w:t>
            </w:r>
          </w:p>
        </w:tc>
        <w:tc>
          <w:tcPr>
            <w:tcW w:type="dxa" w:w="2160"/>
          </w:tcPr>
          <w:p>
            <w:r/>
            <w:r>
              <w:t>Pont N–N</w:t>
            </w:r>
          </w:p>
        </w:tc>
        <w:tc>
          <w:tcPr>
            <w:tcW w:type="dxa" w:w="2160"/>
          </w:tcPr>
          <w:p>
            <w:r/>
            <w:r>
              <w:t>1 lien</w:t>
            </w:r>
          </w:p>
        </w:tc>
        <w:tc>
          <w:tcPr>
            <w:tcW w:type="dxa" w:w="2160"/>
          </w:tcPr>
          <w:p>
            <w:r/>
            <w:r>
              <w:t>Rattache un actif à des termes métier / domaine</w:t>
            </w:r>
          </w:p>
        </w:tc>
      </w:tr>
      <w:tr>
        <w:tc>
          <w:tcPr>
            <w:tcW w:type="dxa" w:w="2160"/>
          </w:tcPr>
          <w:p>
            <w:r/>
            <w:r>
              <w:t>`fact_asset_profile`</w:t>
            </w:r>
          </w:p>
        </w:tc>
        <w:tc>
          <w:tcPr>
            <w:tcW w:type="dxa" w:w="2160"/>
          </w:tcPr>
          <w:p>
            <w:r/>
            <w:r>
              <w:t>Fait</w:t>
            </w:r>
          </w:p>
        </w:tc>
        <w:tc>
          <w:tcPr>
            <w:tcW w:type="dxa" w:w="2160"/>
          </w:tcPr>
          <w:p>
            <w:r/>
            <w:r>
              <w:t>1 actif × snapshot</w:t>
            </w:r>
          </w:p>
        </w:tc>
        <w:tc>
          <w:tcPr>
            <w:tcW w:type="dxa" w:w="2160"/>
          </w:tcPr>
          <w:p>
            <w:r/>
            <w:r>
              <w:t>Volumétrie &amp; qualité : `row_count`, `size_mb`, `column_count`, `index_count`</w:t>
            </w:r>
          </w:p>
        </w:tc>
      </w:tr>
      <w:tr>
        <w:tc>
          <w:tcPr>
            <w:tcW w:type="dxa" w:w="2160"/>
          </w:tcPr>
          <w:p>
            <w:r/>
            <w:r>
              <w:t>`fact_lineage_edge`</w:t>
            </w:r>
          </w:p>
        </w:tc>
        <w:tc>
          <w:tcPr>
            <w:tcW w:type="dxa" w:w="2160"/>
          </w:tcPr>
          <w:p>
            <w:r/>
            <w:r>
              <w:t>Fait</w:t>
            </w:r>
          </w:p>
        </w:tc>
        <w:tc>
          <w:tcPr>
            <w:tcW w:type="dxa" w:w="2160"/>
          </w:tcPr>
          <w:p>
            <w:r/>
            <w:r>
              <w:t>1 arête</w:t>
            </w:r>
          </w:p>
        </w:tc>
        <w:tc>
          <w:tcPr>
            <w:tcW w:type="dxa" w:w="2160"/>
          </w:tcPr>
          <w:p>
            <w:r/>
            <w:r>
              <w:t>Dépendances actif → actif (`lineage_type`, `lineage_level`)</w:t>
            </w:r>
          </w:p>
        </w:tc>
      </w:tr>
      <w:tr>
        <w:tc>
          <w:tcPr>
            <w:tcW w:type="dxa" w:w="2160"/>
          </w:tcPr>
          <w:p>
            <w:r/>
            <w:r>
              <w:t>`fact_archiving_event`</w:t>
            </w:r>
          </w:p>
        </w:tc>
        <w:tc>
          <w:tcPr>
            <w:tcW w:type="dxa" w:w="2160"/>
          </w:tcPr>
          <w:p>
            <w:r/>
            <w:r>
              <w:t>Fait</w:t>
            </w:r>
          </w:p>
        </w:tc>
        <w:tc>
          <w:tcPr>
            <w:tcW w:type="dxa" w:w="2160"/>
          </w:tcPr>
          <w:p>
            <w:r/>
            <w:r>
              <w:t>1 événement</w:t>
            </w:r>
          </w:p>
        </w:tc>
        <w:tc>
          <w:tcPr>
            <w:tcW w:type="dxa" w:w="2160"/>
          </w:tcPr>
          <w:p>
            <w:r/>
            <w:r>
              <w:t>Événements d'archivage (`event_type`, `rows_affected`, `volume_mb`)</w:t>
            </w:r>
          </w:p>
        </w:tc>
      </w:tr>
      <w:tr>
        <w:tc>
          <w:tcPr>
            <w:tcW w:type="dxa" w:w="2160"/>
          </w:tcPr>
          <w:p>
            <w:r/>
            <w:r>
              <w:t>`features_asset`</w:t>
            </w:r>
          </w:p>
        </w:tc>
        <w:tc>
          <w:tcPr>
            <w:tcW w:type="dxa" w:w="2160"/>
          </w:tcPr>
          <w:p>
            <w:r/>
            <w:r>
              <w:t>Mart dérivé</w:t>
            </w:r>
          </w:p>
        </w:tc>
        <w:tc>
          <w:tcPr>
            <w:tcW w:type="dxa" w:w="2160"/>
          </w:tcPr>
          <w:p>
            <w:r/>
            <w:r>
              <w:t>1 actif</w:t>
            </w:r>
          </w:p>
        </w:tc>
        <w:tc>
          <w:tcPr>
            <w:tcW w:type="dxa" w:w="2160"/>
          </w:tcPr>
          <w:p>
            <w:r/>
            <w:r>
              <w:t>Variables agrégées + scores (`archival_candidate_score`, `roi_score`)</w:t>
            </w:r>
          </w:p>
        </w:tc>
      </w:tr>
      <w:tr>
        <w:tc>
          <w:tcPr>
            <w:tcW w:type="dxa" w:w="2160"/>
          </w:tcPr>
          <w:p>
            <w:r/>
            <w:r>
              <w:t>`dataset_asset_ml`</w:t>
            </w:r>
          </w:p>
        </w:tc>
        <w:tc>
          <w:tcPr>
            <w:tcW w:type="dxa" w:w="2160"/>
          </w:tcPr>
          <w:p>
            <w:r/>
            <w:r>
              <w:t>Mart dérivé</w:t>
            </w:r>
          </w:p>
        </w:tc>
        <w:tc>
          <w:tcPr>
            <w:tcW w:type="dxa" w:w="2160"/>
          </w:tcPr>
          <w:p>
            <w:r/>
            <w:r>
              <w:t>1 actif</w:t>
            </w:r>
          </w:p>
        </w:tc>
        <w:tc>
          <w:tcPr>
            <w:tcW w:type="dxa" w:w="2160"/>
          </w:tcPr>
          <w:p>
            <w:r/>
            <w:r>
              <w:t>Table plate dénormalisée prête pour le classifieur ML</w:t>
            </w:r>
          </w:p>
        </w:tc>
      </w:tr>
    </w:tbl>
    <w:p/>
    <w:p>
      <w:r>
        <w:rPr>
          <w:b/>
        </w:rPr>
        <w:t>Le versionnement par `run_id`</w:t>
      </w:r>
      <w:r>
        <w:t xml:space="preserve"> joue le rôle d'une dimension temps : chaque table le porte, toute requête le filtre, et chaque exécution du pipeline produit un instantané complet — d'où la </w:t>
      </w:r>
      <w:r>
        <w:rPr>
          <w:b/>
        </w:rPr>
        <w:t>reproductibilité</w:t>
      </w:r>
      <w:r>
        <w:t xml:space="preserve"> et la comparaison N-1 (run 5 vs run 6).</w:t>
      </w:r>
    </w:p>
    <w:p>
      <w:pPr>
        <w:spacing w:before="120" w:after="120"/>
        <w:ind w:left="240"/>
      </w:pPr>
      <w:r>
        <w:rPr>
          <w:b/>
          <w:i/>
          <w:color w:val="4B5563"/>
        </w:rPr>
        <w:t>Précision de modélisation.</w:t>
      </w:r>
      <w:r>
        <w:rPr>
          <w:i/>
          <w:color w:val="4B5563"/>
        </w:rPr>
        <w:t xml:space="preserve"> Au sens strict, une étoile = 1 fait + N dimensions. Ici plusieurs faits (`profile`, `lineage`, `archiving`) partagent la </w:t>
      </w:r>
      <w:r>
        <w:rPr>
          <w:b/>
          <w:i/>
          <w:color w:val="4B5563"/>
        </w:rPr>
        <w:t>dimension conforme</w:t>
      </w:r>
      <w:r>
        <w:rPr>
          <w:i/>
          <w:color w:val="4B5563"/>
        </w:rPr>
        <w:t xml:space="preserve"> `dim_asset` : il s'agit donc d'une </w:t>
      </w:r>
      <w:r>
        <w:rPr>
          <w:b/>
          <w:i/>
          <w:color w:val="4B5563"/>
        </w:rPr>
        <w:t>constellation de faits</w:t>
      </w:r>
      <w:r>
        <w:rPr>
          <w:i/>
          <w:color w:val="4B5563"/>
        </w:rPr>
        <w:t xml:space="preserve"> (*galaxy schema*), généralisation de l'étoile. Le détail par table et un exemple de requête figurent en </w:t>
      </w:r>
      <w:r>
        <w:rPr>
          <w:b/>
          <w:i/>
          <w:color w:val="4B5563"/>
        </w:rPr>
        <w:t>Annexe B.3</w:t>
      </w:r>
      <w:r>
        <w:rPr>
          <w:i/>
          <w:color w:val="4B5563"/>
        </w:rPr>
        <w:t>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(C1.2.1).</w:t>
      </w:r>
      <w:r>
        <w:rPr>
          <w:i/>
          <w:color w:val="4B5563"/>
        </w:rPr>
        <w:t xml:space="preserve"> La stratégie de stockage répond aux usages exigés (✓ </w:t>
      </w:r>
      <w:r>
        <w:rPr>
          <w:b/>
          <w:i/>
          <w:color w:val="4B5563"/>
        </w:rPr>
        <w:t>disponibilité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analyse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stockage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accessibilité</w:t>
      </w:r>
      <w:r>
        <w:rPr>
          <w:i/>
          <w:color w:val="4B5563"/>
        </w:rPr>
        <w:t xml:space="preserve">) via l'architecture médaillon. Le </w:t>
      </w:r>
      <w:r>
        <w:rPr>
          <w:b/>
          <w:i/>
          <w:color w:val="4B5563"/>
        </w:rPr>
        <w:t>modèle de données</w:t>
      </w:r>
      <w:r>
        <w:rPr>
          <w:i/>
          <w:color w:val="4B5563"/>
        </w:rPr>
        <w:t xml:space="preserve"> est décrit formellement et permet d'identifier ✓ l'</w:t>
      </w:r>
      <w:r>
        <w:rPr>
          <w:b/>
          <w:i/>
          <w:color w:val="4B5563"/>
        </w:rPr>
        <w:t>organisation des données</w:t>
      </w:r>
      <w:r>
        <w:rPr>
          <w:i/>
          <w:color w:val="4B5563"/>
        </w:rPr>
        <w:t xml:space="preserve"> (schéma en étoile : dimension centrale `dim_asset`, dimensions, faits, table de pont, clés et grain).</w:t>
      </w:r>
    </w:p>
    <w:p>
      <w:pPr>
        <w:pStyle w:val="Heading3"/>
      </w:pPr>
      <w:r>
        <w:t>C1.2.2 — Construction de la base de données</w:t>
      </w:r>
    </w:p>
    <w:p>
      <w:r>
        <w:rPr>
          <w:b/>
        </w:rPr>
        <w:t>Livrable : une base de données (et/ou solution Big Data).</w:t>
      </w:r>
    </w:p>
    <w:p>
      <w:pPr>
        <w:pStyle w:val="Heading4"/>
      </w:pPr>
      <w:r>
        <w:t>Choix technologique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Retenue 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PostgreSQL (relationnel)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OUI — retenu</w:t>
            </w:r>
          </w:p>
        </w:tc>
        <w:tc>
          <w:tcPr>
            <w:tcW w:type="dxa" w:w="2880"/>
          </w:tcPr>
          <w:p>
            <w:r/>
            <w:r>
              <w:t>Données fortement structurées (catalogues, métriques) ; besoin de jointures, de vues matérialisées, d'intégrité ; volume (~centaines de milliers de lignes de métadonnées) parfaitement dans la cible d'un SGBDR ; open-source, gratuit, mature.</w:t>
            </w:r>
          </w:p>
        </w:tc>
      </w:tr>
      <w:tr>
        <w:tc>
          <w:tcPr>
            <w:tcW w:type="dxa" w:w="2880"/>
          </w:tcPr>
          <w:p>
            <w:r/>
            <w:r>
              <w:t>Data Warehouse cloud (BigQuery, Snowflake)</w:t>
            </w:r>
          </w:p>
        </w:tc>
        <w:tc>
          <w:tcPr>
            <w:tcW w:type="dxa" w:w="2880"/>
          </w:tcPr>
          <w:p>
            <w:r/>
            <w:r>
              <w:t>Non — écarté</w:t>
            </w:r>
          </w:p>
        </w:tc>
        <w:tc>
          <w:tcPr>
            <w:tcW w:type="dxa" w:w="2880"/>
          </w:tcPr>
          <w:p>
            <w:r/>
            <w:r>
              <w:t>Surdimensionné pour le volume ; coût et dépendance cloud non justifiés au stade prototype.</w:t>
            </w:r>
          </w:p>
        </w:tc>
      </w:tr>
      <w:tr>
        <w:tc>
          <w:tcPr>
            <w:tcW w:type="dxa" w:w="2880"/>
          </w:tcPr>
          <w:p>
            <w:r/>
            <w:r>
              <w:t>Data Lake / Big Data (Spark, HDFS)</w:t>
            </w:r>
          </w:p>
        </w:tc>
        <w:tc>
          <w:tcPr>
            <w:tcW w:type="dxa" w:w="2880"/>
          </w:tcPr>
          <w:p>
            <w:r/>
            <w:r>
              <w:t>Non — écarté</w:t>
            </w:r>
          </w:p>
        </w:tc>
        <w:tc>
          <w:tcPr>
            <w:tcW w:type="dxa" w:w="2880"/>
          </w:tcPr>
          <w:p>
            <w:r/>
            <w:r>
              <w:t>Pas de volumétrie « Big Data » ni de données non structurées massives ; complexité opérationnelle injustifiée.</w:t>
            </w:r>
          </w:p>
        </w:tc>
      </w:tr>
      <w:tr>
        <w:tc>
          <w:tcPr>
            <w:tcW w:type="dxa" w:w="2880"/>
          </w:tcPr>
          <w:p>
            <w:r/>
            <w:r>
              <w:t>Base NoSQL comme cible</w:t>
            </w:r>
          </w:p>
        </w:tc>
        <w:tc>
          <w:tcPr>
            <w:tcW w:type="dxa" w:w="2880"/>
          </w:tcPr>
          <w:p>
            <w:r/>
            <w:r>
              <w:t>Non — écarté</w:t>
            </w:r>
          </w:p>
        </w:tc>
        <w:tc>
          <w:tcPr>
            <w:tcW w:type="dxa" w:w="2880"/>
          </w:tcPr>
          <w:p>
            <w:r/>
            <w:r>
              <w:t>Inadaptée à l'entrepôt analytique (besoin de jointures et d'agrégations relationnelles sur les métadonnées).</w:t>
            </w:r>
          </w:p>
        </w:tc>
      </w:tr>
    </w:tbl>
    <w:p/>
    <w:p>
      <w:r>
        <w:t xml:space="preserve">Le choix du </w:t>
      </w:r>
      <w:r>
        <w:rPr>
          <w:b/>
        </w:rPr>
        <w:t>SGBDR PostgreSQL</w:t>
      </w:r>
      <w:r>
        <w:t xml:space="preserve"> est donc justifié par la </w:t>
      </w:r>
      <w:r>
        <w:rPr>
          <w:b/>
        </w:rPr>
        <w:t>nature relationnelle des données</w:t>
      </w:r>
      <w:r>
        <w:t xml:space="preserve"> et les </w:t>
      </w:r>
      <w:r>
        <w:rPr>
          <w:b/>
        </w:rPr>
        <w:t>besoins d'analyse</w:t>
      </w:r>
      <w:r>
        <w:t>, au regard des contraintes du projet.</w:t>
      </w:r>
    </w:p>
    <w:p>
      <w:pPr>
        <w:pStyle w:val="Heading4"/>
      </w:pPr>
      <w:r>
        <w:t>Implémentation et paramétrage (design pattern)</w:t>
      </w:r>
    </w:p>
    <w:p>
      <w:r>
        <w:t xml:space="preserve">La base est construite par des scripts </w:t>
      </w:r>
      <w:r>
        <w:rPr>
          <w:b/>
        </w:rPr>
        <w:t>DDL versionnés</w:t>
      </w:r>
      <w:r>
        <w:t xml:space="preserve"> (`sql/ddl/`), appliqués par le flow `flow_init_db`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sql/ddl/001_schemas.sql       → création des schémas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sql/ddl/010_admin.sql         → admin.pipeline_run (traçabilité)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sql/ddl/020_raw_oracle.sql    → 5 tables brutes Oracle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sql/ddl/040_processed.sql     → modèle en étoile (8 tables)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sql/ddl/050_serving.sql       → vues et vues matérialisées analytiques</w:t>
            </w:r>
          </w:p>
        </w:tc>
      </w:tr>
    </w:tbl>
    <w:p>
      <w:r>
        <w:t xml:space="preserve">Le </w:t>
      </w:r>
      <w:r>
        <w:rPr>
          <w:b/>
        </w:rPr>
        <w:t>design pattern médaillon</w:t>
      </w:r>
      <w:r>
        <w:t xml:space="preserve"> est adapté au besoin : séparation stricte des responsabilités par schéma, garantissant la </w:t>
      </w:r>
      <w:r>
        <w:rPr>
          <w:b/>
        </w:rPr>
        <w:t>disponibilité</w:t>
      </w:r>
      <w:r>
        <w:t xml:space="preserve"> (serving) et l'</w:t>
      </w:r>
      <w:r>
        <w:rPr>
          <w:b/>
        </w:rPr>
        <w:t>intégrité</w:t>
      </w:r>
      <w:r>
        <w:t xml:space="preserve"> (raw immuable, processed conformé, clés et contraintes).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(C1.2.2).</w:t>
      </w:r>
      <w:r>
        <w:rPr>
          <w:i/>
          <w:color w:val="4B5563"/>
        </w:rPr>
        <w:t xml:space="preserve"> Le choix de la solution de stockage (✓ </w:t>
      </w:r>
      <w:r>
        <w:rPr>
          <w:b/>
          <w:i/>
          <w:color w:val="4B5563"/>
        </w:rPr>
        <w:t>système de bases de données relationnelles</w:t>
      </w:r>
      <w:r>
        <w:rPr>
          <w:i/>
          <w:color w:val="4B5563"/>
        </w:rPr>
        <w:t xml:space="preserve"> PostgreSQL) est </w:t>
      </w:r>
      <w:r>
        <w:rPr>
          <w:b/>
          <w:i/>
          <w:color w:val="4B5563"/>
        </w:rPr>
        <w:t>justifié</w:t>
      </w:r>
      <w:r>
        <w:rPr>
          <w:i/>
          <w:color w:val="4B5563"/>
        </w:rPr>
        <w:t xml:space="preserve"> et répond à la problématique. La base est </w:t>
      </w:r>
      <w:r>
        <w:rPr>
          <w:b/>
          <w:i/>
          <w:color w:val="4B5563"/>
        </w:rPr>
        <w:t>organisée suivant un design pattern adapté</w:t>
      </w:r>
      <w:r>
        <w:rPr>
          <w:i/>
          <w:color w:val="4B5563"/>
        </w:rPr>
        <w:t xml:space="preserve"> (✓ architecture médaillon + schéma en étoile), avec paramétrage et implémentation par DDL versionné garantissant disponibilité et intégrité.</w:t>
      </w:r>
    </w:p>
    <w:p>
      <w:pPr>
        <w:pStyle w:val="Heading2"/>
      </w:pPr>
      <w:r>
        <w:t>4. C1.3 — Transformer les données</w:t>
      </w:r>
    </w:p>
    <w:p>
      <w:pPr>
        <w:pStyle w:val="Heading3"/>
      </w:pPr>
      <w:r>
        <w:t>C1.3.1 — Sélection des technologies et outils de traitement</w:t>
      </w:r>
    </w:p>
    <w:p>
      <w:r>
        <w:rPr>
          <w:b/>
        </w:rPr>
        <w:t>Livrable : une présentation des outils et technologies de traitement sélectionnés.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Avantages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Inconvénients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Python 3.13</w:t>
            </w:r>
          </w:p>
        </w:tc>
        <w:tc>
          <w:tcPr>
            <w:tcW w:type="dxa" w:w="2160"/>
          </w:tcPr>
          <w:p>
            <w:r/>
            <w:r>
              <w:t>Langage de traitement</w:t>
            </w:r>
          </w:p>
        </w:tc>
        <w:tc>
          <w:tcPr>
            <w:tcW w:type="dxa" w:w="2160"/>
          </w:tcPr>
          <w:p>
            <w:r/>
            <w:r>
              <w:t>Écosystème data mature, lisibilité, large adoption</w:t>
            </w:r>
          </w:p>
        </w:tc>
        <w:tc>
          <w:tcPr>
            <w:tcW w:type="dxa" w:w="2160"/>
          </w:tcPr>
          <w:p>
            <w:r/>
            <w:r>
              <w:t>Moins rapide que Scala/C++ sur du calcul massif (non bloquant ici)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pandas</w:t>
            </w:r>
          </w:p>
        </w:tc>
        <w:tc>
          <w:tcPr>
            <w:tcW w:type="dxa" w:w="2160"/>
          </w:tcPr>
          <w:p>
            <w:r/>
            <w:r>
              <w:t>Manipulation tabulaire</w:t>
            </w:r>
          </w:p>
        </w:tc>
        <w:tc>
          <w:tcPr>
            <w:tcW w:type="dxa" w:w="2160"/>
          </w:tcPr>
          <w:p>
            <w:r/>
            <w:r>
              <w:t>API expressive, jointures/agrégations simples</w:t>
            </w:r>
          </w:p>
        </w:tc>
        <w:tc>
          <w:tcPr>
            <w:tcW w:type="dxa" w:w="2160"/>
          </w:tcPr>
          <w:p>
            <w:r/>
            <w:r>
              <w:t>Empreinte mémoire (acceptable au volume du projet)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SQLAlchemy + psycopg (v3)</w:t>
            </w:r>
          </w:p>
        </w:tc>
        <w:tc>
          <w:tcPr>
            <w:tcW w:type="dxa" w:w="2160"/>
          </w:tcPr>
          <w:p>
            <w:r/>
            <w:r>
              <w:t>Accès PostgreSQL</w:t>
            </w:r>
          </w:p>
        </w:tc>
        <w:tc>
          <w:tcPr>
            <w:tcW w:type="dxa" w:w="2160"/>
          </w:tcPr>
          <w:p>
            <w:r/>
            <w:r>
              <w:t>Requêtes paramétrées (anti-injection), pooling, portabilité</w:t>
            </w:r>
          </w:p>
        </w:tc>
        <w:tc>
          <w:tcPr>
            <w:tcW w:type="dxa" w:w="2160"/>
          </w:tcPr>
          <w:p>
            <w:r/>
            <w:r>
              <w:t>Courbe d'apprentissage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SQL (PostgreSQL)</w:t>
            </w:r>
          </w:p>
        </w:tc>
        <w:tc>
          <w:tcPr>
            <w:tcW w:type="dxa" w:w="2160"/>
          </w:tcPr>
          <w:p>
            <w:r/>
            <w:r>
              <w:t>Transformations ensemblistes (vues/MV)</w:t>
            </w:r>
          </w:p>
        </w:tc>
        <w:tc>
          <w:tcPr>
            <w:tcW w:type="dxa" w:w="2160"/>
          </w:tcPr>
          <w:p>
            <w:r/>
            <w:r>
              <w:t>Performant pour agrégation/jointure au plus près des données</w:t>
            </w:r>
          </w:p>
        </w:tc>
        <w:tc>
          <w:tcPr>
            <w:tcW w:type="dxa" w:w="2160"/>
          </w:tcPr>
          <w:p>
            <w:r/>
            <w:r>
              <w:t>Moins adapté à la logique procédurale complexe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Prefect</w:t>
            </w:r>
          </w:p>
        </w:tc>
        <w:tc>
          <w:tcPr>
            <w:tcW w:type="dxa" w:w="2160"/>
          </w:tcPr>
          <w:p>
            <w:r/>
            <w:r>
              <w:t>Orchestration ETL</w:t>
            </w:r>
          </w:p>
        </w:tc>
        <w:tc>
          <w:tcPr>
            <w:tcW w:type="dxa" w:w="2160"/>
          </w:tcPr>
          <w:p>
            <w:r/>
            <w:r>
              <w:t>Traçabilité, reprise, planification</w:t>
            </w:r>
          </w:p>
        </w:tc>
        <w:tc>
          <w:tcPr>
            <w:tcW w:type="dxa" w:w="2160"/>
          </w:tcPr>
          <w:p>
            <w:r/>
            <w:r>
              <w:t>Nécessite un serveur pour la prod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loguru / pydantic-settings / tenacity</w:t>
            </w:r>
          </w:p>
        </w:tc>
        <w:tc>
          <w:tcPr>
            <w:tcW w:type="dxa" w:w="2160"/>
          </w:tcPr>
          <w:p>
            <w:r/>
            <w:r>
              <w:t>Logs, config typée, résilience</w:t>
            </w:r>
          </w:p>
        </w:tc>
        <w:tc>
          <w:tcPr>
            <w:tcW w:type="dxa" w:w="2160"/>
          </w:tcPr>
          <w:p>
            <w:r/>
            <w:r>
              <w:t>Robustesse et configuration centralisée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Comparaison d'alternatives.</w:t>
      </w:r>
      <w:r>
        <w:t xml:space="preserve"> Un traitement </w:t>
      </w:r>
      <w:r>
        <w:rPr>
          <w:b/>
        </w:rPr>
        <w:t>Spark</w:t>
      </w:r>
      <w:r>
        <w:t xml:space="preserve"> a été envisagé mais écarté : le volume (métadonnées, pas données métier brutes) ne justifie pas un moteur distribué. </w:t>
      </w:r>
      <w:r>
        <w:rPr>
          <w:b/>
        </w:rPr>
        <w:t>Scala</w:t>
      </w:r>
      <w:r>
        <w:t xml:space="preserve"> offrirait des performances supérieures mais au prix d'une productivité moindre et d'un écosystème ML plus pauvre côté Python. Le couple </w:t>
      </w:r>
      <w:r>
        <w:rPr>
          <w:b/>
        </w:rPr>
        <w:t>Python + SQL</w:t>
      </w:r>
      <w:r>
        <w:t xml:space="preserve"> répond </w:t>
      </w:r>
      <w:r>
        <w:rPr>
          <w:b/>
        </w:rPr>
        <w:t>efficacement</w:t>
      </w:r>
      <w:r>
        <w:t xml:space="preserve"> à la problématique au regard des contraintes.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(C1.3.1).</w:t>
      </w:r>
      <w:r>
        <w:rPr>
          <w:i/>
          <w:color w:val="4B5563"/>
        </w:rPr>
        <w:t xml:space="preserve"> La présentation identifie ✓ les </w:t>
      </w:r>
      <w:r>
        <w:rPr>
          <w:b/>
          <w:i/>
          <w:color w:val="4B5563"/>
        </w:rPr>
        <w:t>avantages et inconvénients</w:t>
      </w:r>
      <w:r>
        <w:rPr>
          <w:i/>
          <w:color w:val="4B5563"/>
        </w:rPr>
        <w:t xml:space="preserve"> des technologies (Python, SQL, pandas, SQLAlchemy, Prefect) et des </w:t>
      </w:r>
      <w:r>
        <w:rPr>
          <w:b/>
          <w:i/>
          <w:color w:val="4B5563"/>
        </w:rPr>
        <w:t>alternatives comparées</w:t>
      </w:r>
      <w:r>
        <w:rPr>
          <w:i/>
          <w:color w:val="4B5563"/>
        </w:rPr>
        <w:t xml:space="preserve"> (Spark, Scala). Les technologies choisies ✓ </w:t>
      </w:r>
      <w:r>
        <w:rPr>
          <w:b/>
          <w:i/>
          <w:color w:val="4B5563"/>
        </w:rPr>
        <w:t>répondent efficacement</w:t>
      </w:r>
      <w:r>
        <w:rPr>
          <w:i/>
          <w:color w:val="4B5563"/>
        </w:rPr>
        <w:t xml:space="preserve"> à la problématique énoncée.</w:t>
      </w:r>
    </w:p>
    <w:p>
      <w:pPr>
        <w:pStyle w:val="Heading3"/>
      </w:pPr>
      <w:r>
        <w:t>C1.3.2 — Transformation des données</w:t>
      </w:r>
    </w:p>
    <w:p>
      <w:r>
        <w:rPr>
          <w:b/>
        </w:rPr>
        <w:t>Livrable : une présentation des données transformées, des méthodes et outils utilisés.</w:t>
      </w:r>
    </w:p>
    <w:p>
      <w:r>
        <w:t xml:space="preserve">Les transformations conduisent de la donnée </w:t>
      </w:r>
      <w:r>
        <w:rPr>
          <w:b/>
        </w:rPr>
        <w:t>brute</w:t>
      </w:r>
      <w:r>
        <w:t xml:space="preserve"> (`raw_*`) au modèle </w:t>
      </w:r>
      <w:r>
        <w:rPr>
          <w:b/>
        </w:rPr>
        <w:t>conformé</w:t>
      </w:r>
      <w:r>
        <w:t xml:space="preserve"> (`processed`) puis aux </w:t>
      </w:r>
      <w:r>
        <w:rPr>
          <w:b/>
        </w:rPr>
        <w:t>agrégats</w:t>
      </w:r>
      <w:r>
        <w:t xml:space="preserve"> (`serving`). Modules : `src/transform/`.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Transformation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Formatage</w:t>
            </w:r>
          </w:p>
        </w:tc>
        <w:tc>
          <w:tcPr>
            <w:tcW w:type="dxa" w:w="2160"/>
          </w:tcPr>
          <w:p>
            <w:r/>
            <w:r>
              <w:t>Normalisation des noms, typage, nettoyage des espaces/valeurs nulles</w:t>
            </w:r>
          </w:p>
        </w:tc>
        <w:tc>
          <w:tcPr>
            <w:tcW w:type="dxa" w:w="2160"/>
          </w:tcPr>
          <w:p>
            <w:r/>
            <w:r>
              <w:t>`build_dim_asset`, `build_dim_field`</w:t>
            </w:r>
          </w:p>
        </w:tc>
        <w:tc>
          <w:tcPr>
            <w:tcW w:type="dxa" w:w="2160"/>
          </w:tcPr>
          <w:p>
            <w:r/>
            <w:r>
              <w:t>`TRIM`, minuscules, `NULLIF`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Consolidation</w:t>
            </w:r>
          </w:p>
        </w:tc>
        <w:tc>
          <w:tcPr>
            <w:tcW w:type="dxa" w:w="2160"/>
          </w:tcPr>
          <w:p>
            <w:r/>
            <w:r>
              <w:t>Fusion des sources logique (PeopleSoft) et physique (Oracle) en un actif unique</w:t>
            </w:r>
          </w:p>
        </w:tc>
        <w:tc>
          <w:tcPr>
            <w:tcW w:type="dxa" w:w="2160"/>
          </w:tcPr>
          <w:p>
            <w:r/>
            <w:r>
              <w:t>`build_dim_asset`</w:t>
            </w:r>
          </w:p>
        </w:tc>
        <w:tc>
          <w:tcPr>
            <w:tcW w:type="dxa" w:w="2160"/>
          </w:tcPr>
          <w:p>
            <w:r/>
            <w:r>
              <w:t>jointure record ↔ table physique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Agrégation</w:t>
            </w:r>
          </w:p>
        </w:tc>
        <w:tc>
          <w:tcPr>
            <w:tcW w:type="dxa" w:w="2160"/>
          </w:tcPr>
          <w:p>
            <w:r/>
            <w:r>
              <w:t>Calcul de métriques par actif (volume, nb lignes, taille, âge)</w:t>
            </w:r>
          </w:p>
        </w:tc>
        <w:tc>
          <w:tcPr>
            <w:tcW w:type="dxa" w:w="2160"/>
          </w:tcPr>
          <w:p>
            <w:r/>
            <w:r>
              <w:t>`build_fact_asset_profile`</w:t>
            </w:r>
          </w:p>
        </w:tc>
        <w:tc>
          <w:tcPr>
            <w:tcW w:type="dxa" w:w="2160"/>
          </w:tcPr>
          <w:p>
            <w:r/>
            <w:r>
              <w:t>`SUM`, `COUNT`, ratios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Profilage</w:t>
            </w:r>
          </w:p>
        </w:tc>
        <w:tc>
          <w:tcPr>
            <w:tcW w:type="dxa" w:w="2160"/>
          </w:tcPr>
          <w:p>
            <w:r/>
            <w:r>
              <w:t>Statistiques de qualité (ratio de nullables, présence de description)</w:t>
            </w:r>
          </w:p>
        </w:tc>
        <w:tc>
          <w:tcPr>
            <w:tcW w:type="dxa" w:w="2160"/>
          </w:tcPr>
          <w:p>
            <w:r/>
            <w:r>
              <w:t>`build_fact_asset_profile`</w:t>
            </w:r>
          </w:p>
        </w:tc>
        <w:tc>
          <w:tcPr>
            <w:tcW w:type="dxa" w:w="2160"/>
          </w:tcPr>
          <w:p>
            <w:r/>
            <w:r>
              <w:t>`avg_nullable_ratio`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Jointure</w:t>
            </w:r>
          </w:p>
        </w:tc>
        <w:tc>
          <w:tcPr>
            <w:tcW w:type="dxa" w:w="2160"/>
          </w:tcPr>
          <w:p>
            <w:r/>
            <w:r>
              <w:t>Rattachement des champs (colonnes) à leur actif parent</w:t>
            </w:r>
          </w:p>
        </w:tc>
        <w:tc>
          <w:tcPr>
            <w:tcW w:type="dxa" w:w="2160"/>
          </w:tcPr>
          <w:p>
            <w:r/>
            <w:r>
              <w:t>`build_dim_field`</w:t>
            </w:r>
          </w:p>
        </w:tc>
        <w:tc>
          <w:tcPr>
            <w:tcW w:type="dxa" w:w="2160"/>
          </w:tcPr>
          <w:p>
            <w:r/>
            <w:r>
              <w:t>jointure champ ↔ table physique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Calcul</w:t>
            </w:r>
          </w:p>
        </w:tc>
        <w:tc>
          <w:tcPr>
            <w:tcW w:type="dxa" w:w="2160"/>
          </w:tcPr>
          <w:p>
            <w:r/>
            <w:r>
              <w:t>Dérivation des variables pour le ML</w:t>
            </w:r>
          </w:p>
        </w:tc>
        <w:tc>
          <w:tcPr>
            <w:tcW w:type="dxa" w:w="2160"/>
          </w:tcPr>
          <w:p>
            <w:r/>
            <w:r>
              <w:t>`build_features_asset`, `build_dataset_asset_ml`</w:t>
            </w:r>
          </w:p>
        </w:tc>
        <w:tc>
          <w:tcPr>
            <w:tcW w:type="dxa" w:w="2160"/>
          </w:tcPr>
          <w:p>
            <w:r/>
            <w:r>
              <w:t>features texte/statistiques</w:t>
            </w:r>
          </w:p>
        </w:tc>
      </w:tr>
    </w:tbl>
    <w:p/>
    <w:p>
      <w:r>
        <w:rPr>
          <w:b/>
        </w:rPr>
        <w:t>Traçabilité de la transformation.</w:t>
      </w:r>
      <w:r>
        <w:t xml:space="preserve"> Chaque table `processed` porte le `run_id` : on peut rejouer, comparer entre runs (analyse N-1), et remonter jusqu'à la donnée brute d'origine.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(C1.3.2).</w:t>
      </w:r>
      <w:r>
        <w:rPr>
          <w:i/>
          <w:color w:val="4B5563"/>
        </w:rPr>
        <w:t xml:space="preserve"> La présentation identifie explicitement les transformations effectuées depuis les données sources : ✓ </w:t>
      </w:r>
      <w:r>
        <w:rPr>
          <w:b/>
          <w:i/>
          <w:color w:val="4B5563"/>
        </w:rPr>
        <w:t>formatage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consolidation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agrégation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profilage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jointure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calcul</w:t>
      </w:r>
      <w:r>
        <w:rPr>
          <w:i/>
          <w:color w:val="4B5563"/>
        </w:rPr>
        <w:t xml:space="preserve"> — avec méthodes et outils (Python/pandas + SQL) associés.</w:t>
      </w:r>
    </w:p>
    <w:p>
      <w:pPr>
        <w:pStyle w:val="Heading3"/>
      </w:pPr>
      <w:r>
        <w:t>C1.3.3 — Processus ETL et orchestration</w:t>
      </w:r>
    </w:p>
    <w:p>
      <w:r>
        <w:rPr>
          <w:b/>
        </w:rPr>
        <w:t>Livrable : un processus ETL + les solutions d'automatisation et d'orchestration.</w:t>
      </w:r>
    </w:p>
    <w:p>
      <w:pPr>
        <w:pStyle w:val="Heading4"/>
      </w:pPr>
      <w:r>
        <w:t>Choix de la solution ETL</w:t>
      </w:r>
    </w:p>
    <w:p>
      <w:r>
        <w:t xml:space="preserve">La solution ETL retenue est </w:t>
      </w:r>
      <w:r>
        <w:rPr>
          <w:b/>
        </w:rPr>
        <w:t>Prefect</w:t>
      </w:r>
      <w:r>
        <w:t xml:space="preserve"> (orchestration Python-native), plutôt qu'un outil graphique type Talend ou SSIS.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Bénéfice attendu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Réalisation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Facilité de développement</w:t>
            </w:r>
          </w:p>
        </w:tc>
        <w:tc>
          <w:tcPr>
            <w:tcW w:type="dxa" w:w="4320"/>
          </w:tcPr>
          <w:p>
            <w:r/>
            <w:r>
              <w:t>ETL défini en Python (mêmes langage/outils que le reste du projet, versionné dans Git)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Efficacité</w:t>
            </w:r>
          </w:p>
        </w:tc>
        <w:tc>
          <w:tcPr>
            <w:tcW w:type="dxa" w:w="4320"/>
          </w:tcPr>
          <w:p>
            <w:r/>
            <w:r>
              <w:t>Parallélisation des tâches indépendantes, cache, reprise partielle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Observabilité</w:t>
            </w:r>
          </w:p>
        </w:tc>
        <w:tc>
          <w:tcPr>
            <w:tcW w:type="dxa" w:w="4320"/>
          </w:tcPr>
          <w:p>
            <w:r/>
            <w:r>
              <w:t>Journalisation structurée (`loguru`), suivi des runs en base (`admin.pipeline_run`)</w:t>
            </w:r>
          </w:p>
        </w:tc>
      </w:tr>
    </w:tbl>
    <w:p/>
    <w:p>
      <w:pPr>
        <w:pStyle w:val="Heading4"/>
      </w:pPr>
      <w:r>
        <w:t>Le processus ETL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 xml:space="preserve"> EXTRACT                    TRANSFORM                       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───────                    ─────────                       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Oracle  ──► extract_* ──►  load_raw_oracle ──► build_dim/fact ──► processed ──► build_serving ──► serving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      (raw_oracle)        (nettoyage,          (vues &amp; MV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conso, features)     analytiques)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            └────────── admin.pipeline_run (traçabilité de bout en bout)</w:t>
            </w:r>
          </w:p>
        </w:tc>
      </w:tr>
    </w:tbl>
    <w:p>
      <w:r>
        <w:t xml:space="preserve">Le flow `flow_oracle_only` </w:t>
      </w:r>
      <w:r>
        <w:rPr>
          <w:b/>
        </w:rPr>
        <w:t>automatise et orchestre</w:t>
      </w:r>
      <w:r>
        <w:t xml:space="preserve"> l'enchaînement complet : création d'un `run_id`, extraction, chargement idempotent, transformations, publication de la couche serving, avec journalisation à chaque étape dans `admin.pipeline_run` (statut `success` / `failed`).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(C1.3.3).</w:t>
      </w:r>
      <w:r>
        <w:rPr>
          <w:i/>
          <w:color w:val="4B5563"/>
        </w:rPr>
        <w:t xml:space="preserve"> La solution ETL (</w:t>
      </w:r>
      <w:r>
        <w:rPr>
          <w:b/>
          <w:i/>
          <w:color w:val="4B5563"/>
        </w:rPr>
        <w:t>Prefect</w:t>
      </w:r>
      <w:r>
        <w:rPr>
          <w:i/>
          <w:color w:val="4B5563"/>
        </w:rPr>
        <w:t xml:space="preserve">) est </w:t>
      </w:r>
      <w:r>
        <w:rPr>
          <w:b/>
          <w:i/>
          <w:color w:val="4B5563"/>
        </w:rPr>
        <w:t>justifiée</w:t>
      </w:r>
      <w:r>
        <w:rPr>
          <w:i/>
          <w:color w:val="4B5563"/>
        </w:rPr>
        <w:t xml:space="preserve"> par ses bénéfices (✓ facilité de développement, ✓ efficacité, ✓ observabilité). Le processus ETL développé ✓ </w:t>
      </w:r>
      <w:r>
        <w:rPr>
          <w:b/>
          <w:i/>
          <w:color w:val="4B5563"/>
        </w:rPr>
        <w:t>automatise et orchestre</w:t>
      </w:r>
      <w:r>
        <w:rPr>
          <w:i/>
          <w:color w:val="4B5563"/>
        </w:rPr>
        <w:t xml:space="preserve"> le traitement des données (extract → transform → load, tracé par `pipeline_run`).</w:t>
      </w:r>
    </w:p>
    <w:p>
      <w:pPr>
        <w:pStyle w:val="Heading2"/>
      </w:pPr>
      <w:r>
        <w:t>5. C1.4 — Sécuriser les données</w:t>
      </w:r>
    </w:p>
    <w:p>
      <w:pPr>
        <w:pStyle w:val="Heading3"/>
      </w:pPr>
      <w:r>
        <w:t>C1.4.1 — Politique de sécurité des données</w:t>
      </w:r>
    </w:p>
    <w:p>
      <w:r>
        <w:rPr>
          <w:b/>
        </w:rPr>
        <w:t>Livrable : une politique de sécurité des données.</w:t>
      </w:r>
    </w:p>
    <w:p>
      <w:pPr>
        <w:pStyle w:val="Heading4"/>
      </w:pPr>
      <w:r>
        <w:t>Enjeux de sécurité identifiés</w:t>
      </w:r>
    </w:p>
    <w:p>
      <w:pPr>
        <w:pStyle w:val="ListBullet"/>
      </w:pPr>
      <w:r>
        <w:rPr>
          <w:b/>
        </w:rPr>
        <w:t>Données personnelles (RGPD).</w:t>
      </w:r>
      <w:r>
        <w:t xml:space="preserve"> Les métadonnées et logs peuvent contenir des identifiants d'opérateurs, emails, adresses IP (ex. table `PSACCESSLOG`). Enjeu : ne pas propager de PII en clair dans les exports ou le dataset de labellisation.</w:t>
      </w:r>
    </w:p>
    <w:p>
      <w:pPr>
        <w:pStyle w:val="ListBullet"/>
      </w:pPr>
      <w:r>
        <w:rPr>
          <w:b/>
        </w:rPr>
        <w:t>Confidentialité des accès.</w:t>
      </w:r>
      <w:r>
        <w:t xml:space="preserve"> Les identifiants de connexion aux bases (Oracle, PostgreSQL) sont des secrets.</w:t>
      </w:r>
    </w:p>
    <w:p>
      <w:pPr>
        <w:pStyle w:val="ListBullet"/>
      </w:pPr>
      <w:r>
        <w:rPr>
          <w:b/>
        </w:rPr>
        <w:t>Intégrité de la source.</w:t>
      </w:r>
      <w:r>
        <w:t xml:space="preserve"> Aucune écriture ne doit atteindre l'ERP de production.</w:t>
      </w:r>
    </w:p>
    <w:p>
      <w:pPr>
        <w:pStyle w:val="Heading4"/>
      </w:pPr>
      <w:r>
        <w:t>Moyens mis en œuvre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Enjeu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Mesure appliquée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Emplacement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Secrets</w:t>
            </w:r>
          </w:p>
        </w:tc>
        <w:tc>
          <w:tcPr>
            <w:tcW w:type="dxa" w:w="2880"/>
          </w:tcPr>
          <w:p>
            <w:r/>
            <w:r>
              <w:t xml:space="preserve">Identifiants hors du code, dans un `.env` </w:t>
            </w:r>
            <w:r>
              <w:rPr>
                <w:b/>
              </w:rPr>
              <w:t>gitignoré</w:t>
            </w:r>
            <w:r>
              <w:t xml:space="preserve"> ; configuration typée et validée (`pydantic-settings`) ; contrôle de non-vacuité du mot de passe Oracle</w:t>
            </w:r>
          </w:p>
        </w:tc>
        <w:tc>
          <w:tcPr>
            <w:tcW w:type="dxa" w:w="2880"/>
          </w:tcPr>
          <w:p>
            <w:r/>
            <w:r>
              <w:t>`src/config/settings.py`, `.gitignore`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Données personnelles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Masquage/pseudonymisation des PII</w:t>
            </w:r>
            <w:r>
              <w:t xml:space="preserve"> dans les exports et le dataset de labellisation (Phase 0)</w:t>
            </w:r>
          </w:p>
        </w:tc>
        <w:tc>
          <w:tcPr>
            <w:tcW w:type="dxa" w:w="2880"/>
          </w:tcPr>
          <w:p>
            <w:r/>
            <w:r>
              <w:t>`src/export/*`, `src/transform/build_archiving_rules.py`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Chiffrement au repos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Chiffrement applicatif d'une colonne PII via `pgcrypto`</w:t>
            </w:r>
            <w:r>
              <w:t xml:space="preserve"> (`pgp_sym_encrypt`) : la valeur est stockée en `BYTEA` illisible et n'est déchiffrable qu'avec la clé</w:t>
            </w:r>
          </w:p>
        </w:tc>
        <w:tc>
          <w:tcPr>
            <w:tcW w:type="dxa" w:w="2880"/>
          </w:tcPr>
          <w:p>
            <w:r/>
            <w:r>
              <w:t>`sql/security/010_pgcrypto_demo.sql`, `security.pii_vault`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Moindre accès à la source</w:t>
            </w:r>
          </w:p>
        </w:tc>
        <w:tc>
          <w:tcPr>
            <w:tcW w:type="dxa" w:w="2880"/>
          </w:tcPr>
          <w:p>
            <w:r/>
            <w:r>
              <w:t xml:space="preserve">Connexion Oracle en </w:t>
            </w:r>
            <w:r>
              <w:rPr>
                <w:b/>
              </w:rPr>
              <w:t>lecture seule</w:t>
            </w:r>
            <w:r>
              <w:t xml:space="preserve"> (SELECT uniquement) ; </w:t>
            </w:r>
            <w:r>
              <w:rPr>
                <w:b/>
              </w:rPr>
              <w:t>Console SQL</w:t>
            </w:r>
            <w:r>
              <w:t xml:space="preserve"> du dashboard bridée aux requêtes SELECT (rejet des mots-clés d'écriture)</w:t>
            </w:r>
          </w:p>
        </w:tc>
        <w:tc>
          <w:tcPr>
            <w:tcW w:type="dxa" w:w="2880"/>
          </w:tcPr>
          <w:p>
            <w:r/>
            <w:r>
              <w:t>`src/connectors/oracle_client.py`, `app/streamlit_dashboard.py`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Surveillance / traçabilité</w:t>
            </w:r>
          </w:p>
        </w:tc>
        <w:tc>
          <w:tcPr>
            <w:tcW w:type="dxa" w:w="2880"/>
          </w:tcPr>
          <w:p>
            <w:r/>
            <w:r>
              <w:t>Journalisation structurée des accès et traitements (`loguru`), historique des runs (`admin.pipeline_run`), audit trail décisionnel en base (Phase 0)</w:t>
            </w:r>
          </w:p>
        </w:tc>
        <w:tc>
          <w:tcPr>
            <w:tcW w:type="dxa" w:w="2880"/>
          </w:tcPr>
          <w:p>
            <w:r/>
            <w:r>
              <w:t>`admin`, `serving`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Sauvegarde</w:t>
            </w:r>
          </w:p>
        </w:tc>
        <w:tc>
          <w:tcPr>
            <w:tcW w:type="dxa" w:w="2880"/>
          </w:tcPr>
          <w:p>
            <w:r/>
            <w:r>
              <w:t>Couche `raw_oracle` immuable conservant la donnée d'origine (rejouabilité, preuve)</w:t>
            </w:r>
          </w:p>
        </w:tc>
        <w:tc>
          <w:tcPr>
            <w:tcW w:type="dxa" w:w="2880"/>
          </w:tcPr>
          <w:p>
            <w:r/>
            <w:r>
              <w:t>schéma `raw_oracle`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Différenciation des rôles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Comptes PostgreSQL à privilèges séparés</w:t>
            </w:r>
            <w:r>
              <w:t xml:space="preserve"> : `pfe_reader` (SELECT seul) pour la consultation, `pfe_writer` (CRUD) réservé au pipeline ETL</w:t>
            </w:r>
          </w:p>
        </w:tc>
        <w:tc>
          <w:tcPr>
            <w:tcW w:type="dxa" w:w="2880"/>
          </w:tcPr>
          <w:p>
            <w:r/>
            <w:r>
              <w:t>`sql/security/020_roles_least_privilege.sql`</w:t>
            </w:r>
          </w:p>
        </w:tc>
      </w:tr>
    </w:tbl>
    <w:p/>
    <w:p>
      <w:pPr>
        <w:pStyle w:val="Heading4"/>
      </w:pPr>
      <w:r>
        <w:t>Chiffrement au repos des données personnelles (pgcrypto)</w:t>
      </w:r>
    </w:p>
    <w:p>
      <w:r>
        <w:t xml:space="preserve">Le masquage protège les </w:t>
      </w:r>
      <w:r>
        <w:rPr>
          <w:b/>
        </w:rPr>
        <w:t>exports</w:t>
      </w:r>
      <w:r>
        <w:t xml:space="preserve"> ; le chiffrement protège la donnée </w:t>
      </w:r>
      <w:r>
        <w:rPr>
          <w:b/>
        </w:rPr>
        <w:t>dans la base elle-même</w:t>
      </w:r>
      <w:r>
        <w:t xml:space="preserve">. L'extension `pgcrypto` chiffre symétriquement (PGP) la valeur avant stockage. Le coffre vit dans un </w:t>
      </w:r>
      <w:r>
        <w:rPr>
          <w:b/>
        </w:rPr>
        <w:t>schéma `security` dédié</w:t>
      </w:r>
      <w:r>
        <w:t xml:space="preserve"> — ce n'est pas un objet analytique, il n'a donc pas sa place dans la couche `serving` (séparation des responsabilités)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CREATE SCHEMA IF NOT EXISTS security;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INSERT INTO security.pii_vault (asset_id, label, email_encrypted)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VALUES (1, 'contact_responsable_finance', pgp_sym_encrypt('jean.dupont@corp.com', :'cle'));</w:t>
            </w:r>
          </w:p>
        </w:tc>
      </w:tr>
    </w:tbl>
    <w:p>
      <w:r>
        <w:t xml:space="preserve">La démonstration établit </w:t>
      </w:r>
      <w:r>
        <w:rPr>
          <w:b/>
        </w:rPr>
        <w:t>trois preuves enchaînées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Preuve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Requête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Résultat obtenu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Illisible au repos</w:t>
            </w:r>
          </w:p>
        </w:tc>
        <w:tc>
          <w:tcPr>
            <w:tcW w:type="dxa" w:w="2880"/>
          </w:tcPr>
          <w:p>
            <w:r/>
            <w:r>
              <w:t>`SELECT email_encrypted …`</w:t>
            </w:r>
          </w:p>
        </w:tc>
        <w:tc>
          <w:tcPr>
            <w:tcW w:type="dxa" w:w="2880"/>
          </w:tcPr>
          <w:p>
            <w:r/>
            <w:r>
              <w:t>`\xc30d040703024182cf37dae0345c60d24501b78d…`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Déchiffrable avec la clé</w:t>
            </w:r>
          </w:p>
        </w:tc>
        <w:tc>
          <w:tcPr>
            <w:tcW w:type="dxa" w:w="2880"/>
          </w:tcPr>
          <w:p>
            <w:r/>
            <w:r>
              <w:t>`pgp_sym_decrypt(email_encrypted, :'cle')`</w:t>
            </w:r>
          </w:p>
        </w:tc>
        <w:tc>
          <w:tcPr>
            <w:tcW w:type="dxa" w:w="2880"/>
          </w:tcPr>
          <w:p>
            <w:r/>
            <w:r>
              <w:t>`jean.dupont@corp.com`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Inaccessible sans la clé</w:t>
            </w:r>
          </w:p>
        </w:tc>
        <w:tc>
          <w:tcPr>
            <w:tcW w:type="dxa" w:w="2880"/>
          </w:tcPr>
          <w:p>
            <w:r/>
            <w:r>
              <w:t>`pgp_sym_decrypt(email_encrypted, 'mauvaise_cle')`</w:t>
            </w:r>
          </w:p>
        </w:tc>
        <w:tc>
          <w:tcPr>
            <w:tcW w:type="dxa" w:w="2880"/>
          </w:tcPr>
          <w:p>
            <w:r/>
            <w:r>
              <w:t>`ERROR: Wrong key or corrupt data`</w:t>
            </w:r>
          </w:p>
        </w:tc>
      </w:tr>
    </w:tbl>
    <w:p/>
    <w:p>
      <w:r>
        <w:t xml:space="preserve">Un vol de la base (ou d'une sauvegarde) </w:t>
      </w:r>
      <w:r>
        <w:rPr>
          <w:b/>
        </w:rPr>
        <w:t>ne suffit donc pas</w:t>
      </w:r>
      <w:r>
        <w:t xml:space="preserve"> à exposer la donnée personnelle : la clé est un secret distinct, détenu hors base.</w:t>
      </w:r>
    </w:p>
    <w:p>
      <w:pPr>
        <w:pStyle w:val="Heading4"/>
      </w:pPr>
      <w:r>
        <w:t>Moindre privilège : comptes lecture / écriture séparés</w:t>
      </w:r>
    </w:p>
    <w:p>
      <w:r>
        <w:t>Deux rôles PostgreSQL distincts remplacent l'usage d'un compte unique tout-puissant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Privilèges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t>`pfe_reader`</w:t>
            </w:r>
          </w:p>
        </w:tc>
        <w:tc>
          <w:tcPr>
            <w:tcW w:type="dxa" w:w="2880"/>
          </w:tcPr>
          <w:p>
            <w:r/>
            <w:r>
              <w:t>`SELECT` seul sur `admin`, `processed`, `serving`</w:t>
            </w:r>
          </w:p>
        </w:tc>
        <w:tc>
          <w:tcPr>
            <w:tcW w:type="dxa" w:w="2880"/>
          </w:tcPr>
          <w:p>
            <w:r/>
            <w:r>
              <w:t>Dashboard, analystes, Console SQL</w:t>
            </w:r>
          </w:p>
        </w:tc>
      </w:tr>
      <w:tr>
        <w:tc>
          <w:tcPr>
            <w:tcW w:type="dxa" w:w="2880"/>
          </w:tcPr>
          <w:p>
            <w:r/>
            <w:r>
              <w:t>`pfe_writer`</w:t>
            </w:r>
          </w:p>
        </w:tc>
        <w:tc>
          <w:tcPr>
            <w:tcW w:type="dxa" w:w="2880"/>
          </w:tcPr>
          <w:p>
            <w:r/>
            <w:r>
              <w:t>`SELECT, INSERT, UPDATE, DELETE` + séquences</w:t>
            </w:r>
          </w:p>
        </w:tc>
        <w:tc>
          <w:tcPr>
            <w:tcW w:type="dxa" w:w="2880"/>
          </w:tcPr>
          <w:p>
            <w:r/>
            <w:r>
              <w:t>Pipeline ETL uniquement</w:t>
            </w:r>
          </w:p>
        </w:tc>
      </w:tr>
    </w:tbl>
    <w:p/>
    <w:p>
      <w:r>
        <w:t xml:space="preserve">La séparation est </w:t>
      </w:r>
      <w:r>
        <w:rPr>
          <w:b/>
        </w:rPr>
        <w:t>vérifiée par la pratique</w:t>
      </w:r>
      <w:r>
        <w:t xml:space="preserve"> — connecté en `pfe_reader`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>SELECT COUNT(*) FROM processed.dim_asset;   →  167260                                  (lecture autorisée)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INSERT INTO processed.dim_asset …           →  ERROR: permission denied for table dim_asset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DELETE FROM processed.dim_asset …           →  ERROR: permission denied for table dim_asset</w:t>
            </w:r>
          </w:p>
        </w:tc>
      </w:tr>
    </w:tbl>
    <w:p>
      <w:r>
        <w:t xml:space="preserve">Le principe du </w:t>
      </w:r>
      <w:r>
        <w:rPr>
          <w:b/>
        </w:rPr>
        <w:t>moindre privilège</w:t>
      </w:r>
      <w:r>
        <w:t xml:space="preserve"> est ainsi appliqué et prouvé : un compte de consultation compromis ne peut ni altérer ni détruire le patrimoine de données.</w:t>
      </w:r>
    </w:p>
    <w:p>
      <w:pPr>
        <w:spacing w:before="120" w:after="120"/>
        <w:ind w:left="240"/>
      </w:pPr>
      <w:r>
        <w:rPr>
          <w:b/>
          <w:i/>
          <w:color w:val="4B5563"/>
        </w:rPr>
        <w:t>Limites assumées.</w:t>
      </w:r>
      <w:r>
        <w:rPr>
          <w:i/>
          <w:color w:val="4B5563"/>
        </w:rPr>
        <w:t xml:space="preserve"> Les mots de passe des rôles et la clé `pgcrypto` sont, dans cette démonstration, passés en clair aux scripts. En production, ils devraient provenir d'un </w:t>
      </w:r>
      <w:r>
        <w:rPr>
          <w:b/>
          <w:i/>
          <w:color w:val="4B5563"/>
        </w:rPr>
        <w:t>coffre à secrets</w:t>
      </w:r>
      <w:r>
        <w:rPr>
          <w:i/>
          <w:color w:val="4B5563"/>
        </w:rPr>
        <w:t xml:space="preserve"> (HashiCorp Vault, Azure Key Vault) et non de la ligne de commande. De même, `pgcrypto` chiffre </w:t>
      </w:r>
      <w:r>
        <w:rPr>
          <w:b/>
          <w:i/>
          <w:color w:val="4B5563"/>
        </w:rPr>
        <w:t>au niveau applicatif</w:t>
      </w:r>
      <w:r>
        <w:rPr>
          <w:i/>
          <w:color w:val="4B5563"/>
        </w:rPr>
        <w:t xml:space="preserve"> (colonne par colonne) : le chiffrement de l'ensemble du volume de stockage (TDE / chiffrement disque) reste une mesure d'infrastructure complémentaire.</w:t>
      </w:r>
    </w:p>
    <w:p>
      <w:pPr>
        <w:pStyle w:val="Heading4"/>
      </w:pPr>
      <w:r>
        <w:t>Conformité réglementaire (RGPD)</w:t>
      </w:r>
    </w:p>
    <w:p>
      <w:r>
        <w:t xml:space="preserve">Le projet applique le principe de </w:t>
      </w:r>
      <w:r>
        <w:rPr>
          <w:b/>
        </w:rPr>
        <w:t>minimisation</w:t>
      </w:r>
      <w:r>
        <w:t xml:space="preserve"> (on ne collecte que des métadonnées, pas le contenu métier) et de </w:t>
      </w:r>
      <w:r>
        <w:rPr>
          <w:b/>
        </w:rPr>
        <w:t>protection par défaut</w:t>
      </w:r>
      <w:r>
        <w:t xml:space="preserve"> (masquage PII activé, chiffrement `pgcrypto` des valeurs personnelles au repos). Les durées de rétention légales sont modélisées par domaine (`dim_domain_retention`) — leur validation juridique reste une perspective assumée.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(C1.4.1).</w:t>
      </w:r>
      <w:r>
        <w:rPr>
          <w:i/>
          <w:color w:val="4B5563"/>
        </w:rPr>
        <w:t xml:space="preserve"> La politique identifie ✓ les </w:t>
      </w:r>
      <w:r>
        <w:rPr>
          <w:b/>
          <w:i/>
          <w:color w:val="4B5563"/>
        </w:rPr>
        <w:t>enjeux de sécurité</w:t>
      </w:r>
      <w:r>
        <w:rPr>
          <w:i/>
          <w:color w:val="4B5563"/>
        </w:rPr>
        <w:t xml:space="preserve"> (PII/RGPD, secrets, intégrité) et ✓ les </w:t>
      </w:r>
      <w:r>
        <w:rPr>
          <w:b/>
          <w:i/>
          <w:color w:val="4B5563"/>
        </w:rPr>
        <w:t>moyens mis en œuvre</w:t>
      </w:r>
      <w:r>
        <w:rPr>
          <w:i/>
          <w:color w:val="4B5563"/>
        </w:rPr>
        <w:t xml:space="preserve">, tous </w:t>
      </w:r>
      <w:r>
        <w:rPr>
          <w:b/>
          <w:i/>
          <w:color w:val="4B5563"/>
        </w:rPr>
        <w:t>opérationnels et démontrés</w:t>
      </w:r>
      <w:r>
        <w:rPr>
          <w:i/>
          <w:color w:val="4B5563"/>
        </w:rPr>
        <w:t xml:space="preserve"> : ✓ </w:t>
      </w:r>
      <w:r>
        <w:rPr>
          <w:b/>
          <w:i/>
          <w:color w:val="4B5563"/>
        </w:rPr>
        <w:t>chiffrement</w:t>
      </w:r>
      <w:r>
        <w:rPr>
          <w:i/>
          <w:color w:val="4B5563"/>
        </w:rPr>
        <w:t xml:space="preserve"> des données personnelles au repos (`pgcrypto`, 3 preuves) et </w:t>
      </w:r>
      <w:r>
        <w:rPr>
          <w:b/>
          <w:i/>
          <w:color w:val="4B5563"/>
        </w:rPr>
        <w:t>masquage</w:t>
      </w:r>
      <w:r>
        <w:rPr>
          <w:i/>
          <w:color w:val="4B5563"/>
        </w:rPr>
        <w:t xml:space="preserve"> dans les exports, ✓ </w:t>
      </w:r>
      <w:r>
        <w:rPr>
          <w:b/>
          <w:i/>
          <w:color w:val="4B5563"/>
        </w:rPr>
        <w:t>surveillance</w:t>
      </w:r>
      <w:r>
        <w:rPr>
          <w:i/>
          <w:color w:val="4B5563"/>
        </w:rPr>
        <w:t xml:space="preserve"> (logs structurés + `admin.pipeline_run` + audit trail), ✓ </w:t>
      </w:r>
      <w:r>
        <w:rPr>
          <w:b/>
          <w:i/>
          <w:color w:val="4B5563"/>
        </w:rPr>
        <w:t>sauvegarde</w:t>
      </w:r>
      <w:r>
        <w:rPr>
          <w:i/>
          <w:color w:val="4B5563"/>
        </w:rPr>
        <w:t xml:space="preserve"> (couche `raw_oracle` immuable), ✓ </w:t>
      </w:r>
      <w:r>
        <w:rPr>
          <w:b/>
          <w:i/>
          <w:color w:val="4B5563"/>
        </w:rPr>
        <w:t>différenciation des rôles</w:t>
      </w:r>
      <w:r>
        <w:rPr>
          <w:i/>
          <w:color w:val="4B5563"/>
        </w:rPr>
        <w:t xml:space="preserve"> (comptes `pfe_reader` / `pfe_writer` à privilèges séparés, écriture refusée en lecture seule).</w:t>
      </w:r>
    </w:p>
    <w:p>
      <w:pPr>
        <w:pStyle w:val="Heading3"/>
      </w:pPr>
      <w:r>
        <w:t>C1.4.2 — Architecture de sécurité</w:t>
      </w:r>
    </w:p>
    <w:p>
      <w:r>
        <w:rPr>
          <w:b/>
        </w:rPr>
        <w:t>Livrable : un schéma d'architecture de sécurité.</w:t>
      </w:r>
    </w:p>
    <w:p>
      <w:pPr>
        <w:pStyle w:val="Heading4"/>
      </w:pPr>
      <w:r>
        <w:t>Schéma d'architecture (zones, flux, protections)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7E5"/>
          <w:left w:val="single" w:sz="4" w:color="D0D7E5"/>
          <w:bottom w:val="single" w:sz="4" w:color="D0D7E5"/>
          <w:right w:val="single" w:sz="4" w:color="D0D7E5"/>
        </w:tblBorders>
      </w:tblPr>
      <w:tblGrid>
        <w:gridCol w:w="8640"/>
      </w:tblGrid>
      <w:tr>
        <w:tc>
          <w:tcPr>
            <w:tcW w:type="dxa" w:w="8640"/>
            <w:shd w:val="clear" w:color="auto" w:fill="F1F3F8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7"/>
              </w:rPr>
              <w:t xml:space="preserve">  ZONE POSTE ANALYSTE  —  confiance élevée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├─▶ Navigateur (localhost:8501)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UI uniquement · aucun secret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│  WebSocket local (texte requête + résultats)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├─▶ Serveur Streamlit (process Python)   ◀── PIVOT DE SÉCURITÉ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· secrets via .env         · masquage PII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· garde-fou SELECT         · logs + audit trail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│  TCP local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└─▶ PostgreSQL · pfe_data_ia (port 5432)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raw / processed / serving  ·  security (coffre PII chiffré)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comptes separes : pfe_reader (SELECT) | pfe_writer (ETL)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════════╪════════  TUNNEL VPN chiffré · accès LECTURE SEULE (SELECT)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ZONE SOURCE  —  réseau interne privé (inatteignable sans VPN)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└─▶ Oracle PeopleSoft EP92U038  (192.168.11.111 : 1521)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compte SYSADM · lecture seule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Protections 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· en transit  : tunnel VPN chiffré  (WebSocket local pour l'UI)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· au repos    : secrets hors dépôt (.env) · PII masquées dans 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exports · PII chiffrées en base (pgcrypto)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· accès       : lecture seule côté source · garde-fou SELECT ·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moindre privilège (pfe_reader / pfe_writer)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· traçabilité : logs + admin.pipeline_run + audit trail</w:t>
            </w:r>
          </w:p>
        </w:tc>
      </w:tr>
    </w:tbl>
    <w:p>
      <w:pPr>
        <w:pStyle w:val="Heading4"/>
      </w:pPr>
      <w:r>
        <w:t>Zones de sécurité et plans d'adressage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Zone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Périmètre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Adressage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Niveau de confiance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Poste analyste</w:t>
            </w:r>
          </w:p>
        </w:tc>
        <w:tc>
          <w:tcPr>
            <w:tcW w:type="dxa" w:w="2160"/>
          </w:tcPr>
          <w:p>
            <w:r/>
            <w:r>
              <w:t>Navigateur + serveur Streamlit + PostgreSQL cible</w:t>
            </w:r>
          </w:p>
        </w:tc>
        <w:tc>
          <w:tcPr>
            <w:tcW w:type="dxa" w:w="2160"/>
          </w:tcPr>
          <w:p>
            <w:r/>
            <w:r>
              <w:t>`localhost` / réseau local (`10.x`), port 8501 (UI) et 5432 (DB)</w:t>
            </w:r>
          </w:p>
        </w:tc>
        <w:tc>
          <w:tcPr>
            <w:tcW w:type="dxa" w:w="2160"/>
          </w:tcPr>
          <w:p>
            <w:r/>
            <w:r>
              <w:t>Élevé (maîtrisé)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Tunnel VPN</w:t>
            </w:r>
          </w:p>
        </w:tc>
        <w:tc>
          <w:tcPr>
            <w:tcW w:type="dxa" w:w="2160"/>
          </w:tcPr>
          <w:p>
            <w:r/>
            <w:r>
              <w:t>Canal chiffré poste ↔ réseau source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Transit sécurisé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Zone source</w:t>
            </w:r>
          </w:p>
        </w:tc>
        <w:tc>
          <w:tcPr>
            <w:tcW w:type="dxa" w:w="2160"/>
          </w:tcPr>
          <w:p>
            <w:r/>
            <w:r>
              <w:t>Oracle PeopleSoft EP92U038 (production)</w:t>
            </w:r>
          </w:p>
        </w:tc>
        <w:tc>
          <w:tcPr>
            <w:tcW w:type="dxa" w:w="2160"/>
          </w:tcPr>
          <w:p>
            <w:r/>
            <w:r>
              <w:t>Réseau privé `192.168.11.0/24`, port 1521 (Oracle)</w:t>
            </w:r>
          </w:p>
        </w:tc>
        <w:tc>
          <w:tcPr>
            <w:tcW w:type="dxa" w:w="2160"/>
          </w:tcPr>
          <w:p>
            <w:r/>
            <w:r>
              <w:t>Restreint (lecture seule)</w:t>
            </w:r>
          </w:p>
        </w:tc>
      </w:tr>
    </w:tbl>
    <w:p/>
    <w:p>
      <w:pPr>
        <w:pStyle w:val="Heading4"/>
      </w:pPr>
      <w:r>
        <w:t>Flux d'échanges de données</w:t>
      </w:r>
    </w:p>
    <w:p>
      <w:pPr>
        <w:pStyle w:val="ListNumber"/>
      </w:pPr>
      <w:r>
        <w:rPr>
          <w:b/>
        </w:rPr>
        <w:t>UI ↔ serveur</w:t>
      </w:r>
      <w:r>
        <w:t xml:space="preserve"> : le navigateur n'échange que du texte de requête et des résultats tabulaires (Arrow) via WebSocket local — </w:t>
      </w:r>
      <w:r>
        <w:rPr>
          <w:b/>
        </w:rPr>
        <w:t>aucun secret ni accès DB direct</w:t>
      </w:r>
      <w:r>
        <w:t>.</w:t>
      </w:r>
    </w:p>
    <w:p>
      <w:pPr>
        <w:pStyle w:val="ListNumber"/>
      </w:pPr>
      <w:r>
        <w:rPr>
          <w:b/>
        </w:rPr>
        <w:t>Serveur ↔ source</w:t>
      </w:r>
      <w:r>
        <w:t xml:space="preserve"> : extraction </w:t>
      </w:r>
      <w:r>
        <w:rPr>
          <w:b/>
        </w:rPr>
        <w:t>lecture seule</w:t>
      </w:r>
      <w:r>
        <w:t xml:space="preserve"> à travers le VPN chiffré ; les identifiants restent côté serveur.</w:t>
      </w:r>
    </w:p>
    <w:p>
      <w:pPr>
        <w:pStyle w:val="ListNumber"/>
      </w:pPr>
      <w:r>
        <w:rPr>
          <w:b/>
        </w:rPr>
        <w:t>Serveur ↔ cible</w:t>
      </w:r>
      <w:r>
        <w:t xml:space="preserve"> : écriture idempotente dans PostgreSQL par le compte `pfe_writer` uniquement ; PII masquées dès la couche `processed` et chiffrées dans le schéma `security`. La consultation (dashboard) passe par `pfe_reader`, qui ne peut pas écrire.</w:t>
      </w:r>
    </w:p>
    <w:p>
      <w:r>
        <w:t xml:space="preserve">Cette architecture assure la </w:t>
      </w:r>
      <w:r>
        <w:rPr>
          <w:b/>
        </w:rPr>
        <w:t>protection des données</w:t>
      </w:r>
      <w:r>
        <w:t xml:space="preserve"> : les secrets ne quittent jamais le serveur, la donnée transite chiffrée (VPN), la source est protégée en écriture, les données personnelles sont </w:t>
      </w:r>
      <w:r>
        <w:rPr>
          <w:b/>
        </w:rPr>
        <w:t>masquées dans les exports et chiffrées en base</w:t>
      </w:r>
      <w:r>
        <w:t xml:space="preserve">, et un compte de consultation compromis </w:t>
      </w:r>
      <w:r>
        <w:rPr>
          <w:b/>
        </w:rPr>
        <w:t>ne peut ni altérer ni détruire</w:t>
      </w:r>
      <w:r>
        <w:t xml:space="preserve"> le patrimoine.</w:t>
      </w:r>
    </w:p>
    <w:p>
      <w:pPr>
        <w:spacing w:before="120" w:after="120"/>
        <w:ind w:left="240"/>
      </w:pPr>
      <w:r>
        <w:rPr>
          <w:b/>
          <w:i/>
          <w:color w:val="4B5563"/>
        </w:rPr>
        <w:t>Critères couverts (C1.4.2).</w:t>
      </w:r>
      <w:r>
        <w:rPr>
          <w:i/>
          <w:color w:val="4B5563"/>
        </w:rPr>
        <w:t xml:space="preserve"> Le schéma précise ✓ les </w:t>
      </w:r>
      <w:r>
        <w:rPr>
          <w:b/>
          <w:i/>
          <w:color w:val="4B5563"/>
        </w:rPr>
        <w:t>moyens de sécurisation</w:t>
      </w:r>
      <w:r>
        <w:rPr>
          <w:i/>
          <w:color w:val="4B5563"/>
        </w:rPr>
        <w:t xml:space="preserve"> (VPN chiffré, masquage PII, </w:t>
      </w:r>
      <w:r>
        <w:rPr>
          <w:b/>
          <w:i/>
          <w:color w:val="4B5563"/>
        </w:rPr>
        <w:t>chiffrement `pgcrypto` au repos</w:t>
      </w:r>
      <w:r>
        <w:rPr>
          <w:i/>
          <w:color w:val="4B5563"/>
        </w:rPr>
        <w:t xml:space="preserve">, lecture seule, garde-fou SELECT, </w:t>
      </w:r>
      <w:r>
        <w:rPr>
          <w:b/>
          <w:i/>
          <w:color w:val="4B5563"/>
        </w:rPr>
        <w:t>moindre privilège `pfe_reader`/`pfe_writer`</w:t>
      </w:r>
      <w:r>
        <w:rPr>
          <w:i/>
          <w:color w:val="4B5563"/>
        </w:rPr>
        <w:t xml:space="preserve">, secrets hors dépôt), ✓ les </w:t>
      </w:r>
      <w:r>
        <w:rPr>
          <w:b/>
          <w:i/>
          <w:color w:val="4B5563"/>
        </w:rPr>
        <w:t>zones de sécurité avec plans d'adressage</w:t>
      </w:r>
      <w:r>
        <w:rPr>
          <w:i/>
          <w:color w:val="4B5563"/>
        </w:rPr>
        <w:t xml:space="preserve"> (poste analyste / tunnel VPN / zone source privée), et ✓ les </w:t>
      </w:r>
      <w:r>
        <w:rPr>
          <w:b/>
          <w:i/>
          <w:color w:val="4B5563"/>
        </w:rPr>
        <w:t>flux d'échanges de données</w:t>
      </w:r>
      <w:r>
        <w:rPr>
          <w:i/>
          <w:color w:val="4B5563"/>
        </w:rPr>
        <w:t xml:space="preserve"> (3 flux, avec le compte utilisé pour chacun). L'architecture ✓ </w:t>
      </w:r>
      <w:r>
        <w:rPr>
          <w:b/>
          <w:i/>
          <w:color w:val="4B5563"/>
        </w:rPr>
        <w:t>assure la protection des données</w:t>
      </w:r>
      <w:r>
        <w:rPr>
          <w:i/>
          <w:color w:val="4B5563"/>
        </w:rPr>
        <w:t xml:space="preserve"> en transit et au repos.</w:t>
      </w:r>
    </w:p>
    <w:p>
      <w:pPr>
        <w:pStyle w:val="Heading2"/>
      </w:pPr>
      <w:r>
        <w:t>6. Conclusion</w:t>
      </w:r>
    </w:p>
    <w:p>
      <w:r>
        <w:t xml:space="preserve">Ce bloc établit le socle </w:t>
      </w:r>
      <w:r>
        <w:rPr>
          <w:b/>
        </w:rPr>
        <w:t>collecte → stockage → transformation → sécurisation</w:t>
      </w:r>
      <w:r>
        <w:t xml:space="preserve"> de la solution de gouvernance :</w:t>
      </w:r>
    </w:p>
    <w:p>
      <w:pPr>
        <w:pStyle w:val="ListBullet"/>
      </w:pPr>
      <w:r>
        <w:rPr>
          <w:b/>
        </w:rPr>
        <w:t>Collecte</w:t>
      </w:r>
      <w:r>
        <w:t xml:space="preserve"> fiable, exhaustive et exacte des métadonnées Oracle EP92U038, enrichie de tarifs de marché réels (API + scraping), automatisée et </w:t>
      </w:r>
      <w:r>
        <w:rPr>
          <w:b/>
        </w:rPr>
        <w:t>planifiée</w:t>
      </w:r>
      <w:r>
        <w:t xml:space="preserve"> via Prefect.</w:t>
      </w:r>
    </w:p>
    <w:p>
      <w:pPr>
        <w:pStyle w:val="ListBullet"/>
      </w:pPr>
      <w:r>
        <w:rPr>
          <w:b/>
        </w:rPr>
        <w:t>Stockage</w:t>
      </w:r>
      <w:r>
        <w:t xml:space="preserve"> structuré en architecture médaillon + modèle en étoile sur PostgreSQL, choix justifié au regard du volume et des usages.</w:t>
      </w:r>
    </w:p>
    <w:p>
      <w:pPr>
        <w:pStyle w:val="ListBullet"/>
      </w:pPr>
      <w:r>
        <w:rPr>
          <w:b/>
        </w:rPr>
        <w:t>Transformation</w:t>
      </w:r>
      <w:r>
        <w:t xml:space="preserve"> traçable de la donnée brute au dataset analytique et ML, orchestrée par un ETL Python.</w:t>
      </w:r>
    </w:p>
    <w:p>
      <w:pPr>
        <w:pStyle w:val="ListBullet"/>
      </w:pPr>
      <w:r>
        <w:rPr>
          <w:b/>
        </w:rPr>
        <w:t>Sécurisation</w:t>
      </w:r>
      <w:r>
        <w:t xml:space="preserve"> de bout en bout : minimisation RGPD, masquage PII dans les exports </w:t>
      </w:r>
      <w:r>
        <w:rPr>
          <w:b/>
        </w:rPr>
        <w:t>et chiffrement au repos</w:t>
      </w:r>
      <w:r>
        <w:t xml:space="preserve"> (`pgcrypto`), secrets hors dépôt, </w:t>
      </w:r>
      <w:r>
        <w:rPr>
          <w:b/>
        </w:rPr>
        <w:t>moindre privilège</w:t>
      </w:r>
      <w:r>
        <w:t xml:space="preserve"> (comptes lecture/écriture séparés), accès source en lecture seule, architecture zonée avec VPN.</w:t>
      </w:r>
    </w:p>
    <w:p>
      <w:r>
        <w:t>Ce socle alimente directement les blocs suivants : l'</w:t>
      </w:r>
      <w:r>
        <w:rPr>
          <w:b/>
        </w:rPr>
        <w:t>analyse et la valorisation</w:t>
      </w:r>
      <w:r>
        <w:t xml:space="preserve"> (Bloc 2, dashboard et KPI) et la </w:t>
      </w:r>
      <w:r>
        <w:rPr>
          <w:b/>
        </w:rPr>
        <w:t>modélisation par apprentissage automatique</w:t>
      </w:r>
      <w:r>
        <w:t xml:space="preserve"> (Bloc 5, classification des domaines métier).</w:t>
      </w:r>
    </w:p>
    <w:p>
      <w:pPr>
        <w:pStyle w:val="Heading3"/>
      </w:pPr>
      <w:r>
        <w:t>Annexes (hors décompte de pages)</w:t>
      </w:r>
    </w:p>
    <w:p>
      <w:pPr>
        <w:pStyle w:val="ListBullet"/>
      </w:pPr>
      <w:r>
        <w:rPr>
          <w:b/>
        </w:rPr>
        <w:t>A.</w:t>
      </w:r>
      <w:r>
        <w:t xml:space="preserve"> Arborescence du dépôt et modules de collecte (`src/extract/`, `src/connectors/`).</w:t>
      </w:r>
    </w:p>
    <w:p>
      <w:pPr>
        <w:pStyle w:val="ListBullet"/>
      </w:pPr>
      <w:r>
        <w:rPr>
          <w:b/>
        </w:rPr>
        <w:t>B.</w:t>
      </w:r>
      <w:r>
        <w:t xml:space="preserve"> Scripts DDL de création de la base (`sql/ddl/`).</w:t>
      </w:r>
    </w:p>
    <w:p>
      <w:pPr>
        <w:pStyle w:val="ListBullet"/>
      </w:pPr>
      <w:r>
        <w:rPr>
          <w:b/>
        </w:rPr>
        <w:t>C.</w:t>
      </w:r>
      <w:r>
        <w:t xml:space="preserve"> Extraits de logs d'exécution d'un run complet (`admin.pipeline_run`).</w:t>
      </w:r>
    </w:p>
    <w:p>
      <w:pPr>
        <w:pStyle w:val="ListBullet"/>
      </w:pPr>
      <w:r>
        <w:rPr>
          <w:b/>
        </w:rPr>
        <w:t>D.</w:t>
      </w:r>
      <w:r>
        <w:t xml:space="preserve"> Captures du dashboard (Console SQL, Centre de contrôle des pipelines).</w:t>
      </w:r>
    </w:p>
    <w:p>
      <w:pPr>
        <w:pStyle w:val="ListBullet"/>
      </w:pPr>
      <w:r>
        <w:rPr>
          <w:b/>
        </w:rPr>
        <w:t>E.</w:t>
      </w:r>
      <w:r>
        <w:t xml:space="preserve"> Comptages de contrôle de la collecte (requêtes de réconciliation).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B55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