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 2 — Annexes</w:t>
      </w:r>
    </w:p>
    <w:p>
      <w:r>
        <w:rPr>
          <w:b/>
        </w:rPr>
        <w:t>Titre RNCP 39586 · Bloc 2 — Analyser, organiser et valoriser des données</w:t>
      </w:r>
    </w:p>
    <w:p>
      <w:r>
        <w:t>Candidat : HAOUARI Salem · Date : 27/07/2026 · Annexes au dossier écrit (hors décompte de pages)</w:t>
      </w:r>
    </w:p>
    <w:p>
      <w:r>
        <w:t xml:space="preserve">Ces annexes apportent les </w:t>
      </w:r>
      <w:r>
        <w:rPr>
          <w:b/>
        </w:rPr>
        <w:t>preuves d'analyse</w:t>
      </w:r>
      <w:r>
        <w:t xml:space="preserve"> décrites dans le dossier. Les chiffres proviennent d'exécutions réelles sur l'entrepôt PostgreSQL pfe_data_ia (run 9).</w:t>
      </w:r>
    </w:p>
    <w:p>
      <w:pPr>
        <w:pStyle w:val="Heading2"/>
      </w:pPr>
      <w:r>
        <w:t>Annexe A — Analyse du besoin</w:t>
      </w:r>
    </w:p>
    <w:p>
      <w:r>
        <w:t>Synthèse du cadrage de l'analyse à partir du besoin exprimé par le commanditaire (DSI).</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r>
            <w:r>
              <w:rPr>
                <w:b/>
              </w:rPr>
              <w:t>Dimension</w:t>
            </w:r>
          </w:p>
        </w:tc>
        <w:tc>
          <w:tcPr>
            <w:tcW w:type="dxa" w:w="4873"/>
          </w:tcPr>
          <w:p>
            <w:r>
              <w:rPr>
                <w:b/>
              </w:rPr>
            </w:r>
            <w:r>
              <w:rPr>
                <w:b/>
              </w:rPr>
              <w:t>Contenu</w:t>
            </w:r>
          </w:p>
        </w:tc>
      </w:tr>
      <w:tr>
        <w:tc>
          <w:tcPr>
            <w:tcW w:type="dxa" w:w="4873"/>
          </w:tcPr>
          <w:p>
            <w:r/>
            <w:r>
              <w:t>Enjeux / problématique</w:t>
            </w:r>
          </w:p>
        </w:tc>
        <w:tc>
          <w:tcPr>
            <w:tcW w:type="dxa" w:w="4873"/>
          </w:tcPr>
          <w:p>
            <w:r/>
            <w:r>
              <w:t>Cartographier, chiffrer et recommander l'archivage d'un patrimoine ERP sans risque</w:t>
            </w:r>
          </w:p>
        </w:tc>
      </w:tr>
      <w:tr>
        <w:tc>
          <w:tcPr>
            <w:tcW w:type="dxa" w:w="4873"/>
          </w:tcPr>
          <w:p>
            <w:r/>
            <w:r>
              <w:t>Contexte</w:t>
            </w:r>
          </w:p>
        </w:tc>
        <w:tc>
          <w:tcPr>
            <w:tcW w:type="dxa" w:w="4873"/>
          </w:tcPr>
          <w:p>
            <w:r/>
            <w:r>
              <w:t>ERP PeopleSoft en forte croissance, sans cartographie ni chiffrage à jour</w:t>
            </w:r>
          </w:p>
        </w:tc>
      </w:tr>
      <w:tr>
        <w:tc>
          <w:tcPr>
            <w:tcW w:type="dxa" w:w="4873"/>
          </w:tcPr>
          <w:p>
            <w:r/>
            <w:r>
              <w:t>Environnement</w:t>
            </w:r>
          </w:p>
        </w:tc>
        <w:tc>
          <w:tcPr>
            <w:tcW w:type="dxa" w:w="4873"/>
          </w:tcPr>
          <w:p>
            <w:r/>
            <w:r>
              <w:t>Source Oracle EP92U038 (lecture seule) → entrepôt PostgreSQL médaillon ; Python, SQL, dashboard, Excel</w:t>
            </w:r>
          </w:p>
        </w:tc>
      </w:tr>
      <w:tr>
        <w:tc>
          <w:tcPr>
            <w:tcW w:type="dxa" w:w="4873"/>
          </w:tcPr>
          <w:p>
            <w:r/>
            <w:r>
              <w:t>Contrainte technique</w:t>
            </w:r>
          </w:p>
        </w:tc>
        <w:tc>
          <w:tcPr>
            <w:tcW w:type="dxa" w:w="4873"/>
          </w:tcPr>
          <w:p>
            <w:r/>
            <w:r>
              <w:t>VPN, aucune écriture sur la source, noms de tables opaques, &gt;160 k actifs</w:t>
            </w:r>
          </w:p>
        </w:tc>
      </w:tr>
      <w:tr>
        <w:tc>
          <w:tcPr>
            <w:tcW w:type="dxa" w:w="4873"/>
          </w:tcPr>
          <w:p>
            <w:r/>
            <w:r>
              <w:t>Contrainte réglementaire</w:t>
            </w:r>
          </w:p>
        </w:tc>
        <w:tc>
          <w:tcPr>
            <w:tcW w:type="dxa" w:w="4873"/>
          </w:tcPr>
          <w:p>
            <w:r/>
            <w:r>
              <w:t>RGPD ; durées légales de rétention</w:t>
            </w:r>
          </w:p>
        </w:tc>
      </w:tr>
      <w:tr>
        <w:tc>
          <w:tcPr>
            <w:tcW w:type="dxa" w:w="4873"/>
          </w:tcPr>
          <w:p>
            <w:r/>
            <w:r>
              <w:t>Contrainte coût</w:t>
            </w:r>
          </w:p>
        </w:tc>
        <w:tc>
          <w:tcPr>
            <w:tcW w:type="dxa" w:w="4873"/>
          </w:tcPr>
          <w:p>
            <w:r/>
            <w:r>
              <w:t>Prototype : outils open-source imposés (PostgreSQL, Python)</w:t>
            </w:r>
          </w:p>
        </w:tc>
      </w:tr>
      <w:tr>
        <w:tc>
          <w:tcPr>
            <w:tcW w:type="dxa" w:w="4873"/>
          </w:tcPr>
          <w:p>
            <w:r/>
            <w:r>
              <w:t>Contrainte délai / produit</w:t>
            </w:r>
          </w:p>
        </w:tc>
        <w:tc>
          <w:tcPr>
            <w:tcW w:type="dxa" w:w="4873"/>
          </w:tcPr>
          <w:p>
            <w:r/>
            <w:r>
              <w:t>Analyses rejouables (run_id) ; solution générique (base substituable, vendable)</w:t>
            </w:r>
          </w:p>
        </w:tc>
      </w:tr>
    </w:tbl>
    <w:p>
      <w:pPr>
        <w:pStyle w:val="Heading2"/>
      </w:pPr>
      <w:r>
        <w:t>Annexe B — Plan d'analyse</w:t>
      </w:r>
    </w:p>
    <w:p>
      <w:r>
        <w:t>Traduction de la problématique métier en problème numérique, en trois axes.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r>
            <w:r>
              <w:rPr>
                <w:b/>
              </w:rPr>
              <w:t>Axe</w:t>
            </w:r>
          </w:p>
        </w:tc>
        <w:tc>
          <w:tcPr>
            <w:tcW w:type="dxa" w:w="3249"/>
          </w:tcPr>
          <w:p>
            <w:r>
              <w:rPr>
                <w:b/>
              </w:rPr>
            </w:r>
            <w:r>
              <w:rPr>
                <w:b/>
              </w:rPr>
              <w:t>Métriques</w:t>
            </w:r>
          </w:p>
        </w:tc>
        <w:tc>
          <w:tcPr>
            <w:tcW w:type="dxa" w:w="3249"/>
          </w:tcPr>
          <w:p>
            <w:r>
              <w:rPr>
                <w:b/>
              </w:rPr>
            </w:r>
            <w:r>
              <w:rPr>
                <w:b/>
              </w:rPr>
              <w:t>Traduction numérique</w:t>
            </w:r>
          </w:p>
        </w:tc>
      </w:tr>
      <w:tr>
        <w:tc>
          <w:tcPr>
            <w:tcW w:type="dxa" w:w="3249"/>
          </w:tcPr>
          <w:p>
            <w:r/>
            <w:r>
              <w:t>1 · Cartographie par domaine</w:t>
            </w:r>
          </w:p>
        </w:tc>
        <w:tc>
          <w:tcPr>
            <w:tcW w:type="dxa" w:w="3249"/>
          </w:tcPr>
          <w:p>
            <w:r/>
            <w:r>
              <w:t>Nb actifs/domaine, part, bandes de confiance, taux de revue</w:t>
            </w:r>
          </w:p>
        </w:tc>
        <w:tc>
          <w:tcPr>
            <w:tcW w:type="dxa" w:w="3249"/>
          </w:tcPr>
          <w:p>
            <w:r/>
            <w:r>
              <w:t>Classification supervisée multiclasse (7 domaines)</w:t>
            </w:r>
          </w:p>
        </w:tc>
      </w:tr>
      <w:tr>
        <w:tc>
          <w:tcPr>
            <w:tcW w:type="dxa" w:w="3249"/>
          </w:tcPr>
          <w:p>
            <w:r/>
            <w:r>
              <w:t>2 · Coûts &amp; archivage</w:t>
            </w:r>
          </w:p>
        </w:tc>
        <w:tc>
          <w:tcPr>
            <w:tcW w:type="dxa" w:w="3249"/>
          </w:tcPr>
          <w:p>
            <w:r/>
            <w:r>
              <w:t>Volume (Mo)/domaine, coût chaud, coût archive, économie €/an</w:t>
            </w:r>
          </w:p>
        </w:tc>
        <w:tc>
          <w:tcPr>
            <w:tcW w:type="dxa" w:w="3249"/>
          </w:tcPr>
          <w:p>
            <w:r/>
            <w:r>
              <w:t>Agrégation de coûts pondérés par la volumétrie</w:t>
            </w:r>
          </w:p>
        </w:tc>
      </w:tr>
      <w:tr>
        <w:tc>
          <w:tcPr>
            <w:tcW w:type="dxa" w:w="3249"/>
          </w:tcPr>
          <w:p>
            <w:r/>
            <w:r>
              <w:t>3 · Valorisation (ROI, N-1)</w:t>
            </w:r>
          </w:p>
        </w:tc>
        <w:tc>
          <w:tcPr>
            <w:tcW w:type="dxa" w:w="3249"/>
          </w:tcPr>
          <w:p>
            <w:r/>
            <w:r>
              <w:t>Score ROI, projection pluriannuelle, comparaison N-1</w:t>
            </w:r>
          </w:p>
        </w:tc>
        <w:tc>
          <w:tcPr>
            <w:tcW w:type="dxa" w:w="3249"/>
          </w:tcPr>
          <w:p>
            <w:r/>
            <w:r>
              <w:t>Scoring + simulation Monte-Carlo</w:t>
            </w:r>
          </w:p>
        </w:tc>
      </w:tr>
    </w:tbl>
    <w:p>
      <w:r>
        <w:t xml:space="preserve">Toutes les métriques s'appuient sur des tables </w:t>
      </w:r>
      <w:r>
        <w:rPr>
          <w:b/>
        </w:rPr>
        <w:t>déjà produites et versionnées</w:t>
      </w:r>
      <w:r>
        <w:t xml:space="preserve"> de la couche `serving` : le plan est directement exécutable.</w:t>
      </w:r>
    </w:p>
    <w:p>
      <w:pPr>
        <w:pStyle w:val="Heading2"/>
      </w:pPr>
      <w:r>
        <w:t>Annexe C — Requêtes et restitution en dashboard</w:t>
      </w:r>
    </w:p>
    <w:p>
      <w:r>
        <w:rPr>
          <w:b/>
        </w:rPr>
        <w:t>C.1 — Vue d'ensemble du patrimoine.</w:t>
      </w:r>
      <w:r>
        <w:t xml:space="preserve"> Cartographie des 167 260 actifs : KPIs, répartition par domaine, volume stocké et synthèse des recommandations d'archivage.</w:t>
      </w:r>
    </w:p>
    <w:p>
      <w:pPr>
        <w:jc w:val="center"/>
      </w:pPr>
      <w:r>
        <w:drawing>
          <wp:inline xmlns:a="http://schemas.openxmlformats.org/drawingml/2006/main" xmlns:pic="http://schemas.openxmlformats.org/drawingml/2006/picture">
            <wp:extent cx="5760000" cy="6568209"/>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760000" cy="6568209"/>
                    </a:xfrm>
                    <a:prstGeom prst="rect"/>
                  </pic:spPr>
                </pic:pic>
              </a:graphicData>
            </a:graphic>
          </wp:inline>
        </w:drawing>
      </w:r>
    </w:p>
    <w:p>
      <w:pPr>
        <w:jc w:val="center"/>
      </w:pPr>
      <w:r>
        <w:rPr>
          <w:i/>
          <w:color w:val="4B5563"/>
          <w:sz w:val="18"/>
        </w:rPr>
        <w:t>Capture — Page « Vue d'ensemble » : 167 260 actifs, 7 domaines, économie normalisée (C2.1.3 / C2.2.1).</w:t>
      </w:r>
    </w:p>
    <w:p>
      <w:r>
        <w:rPr>
          <w:b/>
        </w:rPr>
        <w:t>C.2 — Profil par domaine métier.</w:t>
      </w:r>
      <w:r>
        <w:t xml:space="preserve"> Volumétrie, score d'archivage et qualité des données, domaine par domaine.</w:t>
      </w:r>
    </w:p>
    <w:p>
      <w:pPr>
        <w:jc w:val="center"/>
      </w:pPr>
      <w:r>
        <w:drawing>
          <wp:inline xmlns:a="http://schemas.openxmlformats.org/drawingml/2006/main" xmlns:pic="http://schemas.openxmlformats.org/drawingml/2006/picture">
            <wp:extent cx="5760000" cy="5524775"/>
            <wp:docPr id="2" name="Picture 2"/>
            <wp:cNvGraphicFramePr>
              <a:graphicFrameLocks noChangeAspect="1"/>
            </wp:cNvGraphicFramePr>
            <a:graphic>
              <a:graphicData uri="http://schemas.openxmlformats.org/drawingml/2006/picture">
                <pic:pic>
                  <pic:nvPicPr>
                    <pic:cNvPr id="0" name="#9 Domaines.png"/>
                    <pic:cNvPicPr/>
                  </pic:nvPicPr>
                  <pic:blipFill>
                    <a:blip r:embed="rId10"/>
                    <a:stretch>
                      <a:fillRect/>
                    </a:stretch>
                  </pic:blipFill>
                  <pic:spPr>
                    <a:xfrm>
                      <a:off x="0" y="0"/>
                      <a:ext cx="5760000" cy="5524775"/>
                    </a:xfrm>
                    <a:prstGeom prst="rect"/>
                  </pic:spPr>
                </pic:pic>
              </a:graphicData>
            </a:graphic>
          </wp:inline>
        </w:drawing>
      </w:r>
    </w:p>
    <w:p>
      <w:pPr>
        <w:jc w:val="center"/>
      </w:pPr>
      <w:r>
        <w:rPr>
          <w:i/>
          <w:color w:val="4B5563"/>
          <w:sz w:val="18"/>
        </w:rPr>
        <w:t>Capture — Page « Domaines » : profil détaillé par objet métier (C2.1.3).</w:t>
      </w:r>
    </w:p>
    <w:p>
      <w:r>
        <w:rPr>
          <w:b/>
        </w:rPr>
        <w:t>C.3 — Console SQL en lecture seule.</w:t>
      </w:r>
      <w:r>
        <w:t xml:space="preserve"> L'analyste exécute ses propres requêtes sur la base, sans risque d'écriture. Exemple — répartition et volume par domaine :</w:t>
      </w:r>
    </w:p>
    <w:tbl>
      <w:tblPr>
        <w:tblW w:type="auto" w:w="0"/>
        <w:jc w:val="center"/>
        <w:tblLook w:firstColumn="1" w:firstRow="1" w:lastColumn="0" w:lastRow="0" w:noHBand="0" w:noVBand="1" w:val="04A0"/>
        <w:tblBorders>
          <w:top w:val="single" w:sz="4" w:color="D0D7E5"/>
          <w:left w:val="single" w:sz="4" w:color="D0D7E5"/>
          <w:bottom w:val="single" w:sz="4" w:color="D0D7E5"/>
          <w:right w:val="single" w:sz="4" w:color="D0D7E5"/>
        </w:tblBorders>
      </w:tblPr>
      <w:tblGrid>
        <w:gridCol w:w="9746"/>
      </w:tblGrid>
      <w:tr>
        <w:tc>
          <w:tcPr>
            <w:tcW w:type="dxa" w:w="9746"/>
            <w:shd w:val="clear" w:color="auto" w:fill="F1F3F8"/>
          </w:tcPr>
          <w:p>
            <w:pPr>
              <w:spacing w:after="0" w:before="0"/>
            </w:pPr>
            <w:r/>
            <w:r>
              <w:rPr>
                <w:rFonts w:ascii="Consolas" w:hAnsi="Consolas"/>
                <w:sz w:val="17"/>
              </w:rPr>
              <w:t>SELECT p.business_domain_predicted AS domaine,</w:t>
            </w:r>
          </w:p>
          <w:p>
            <w:pPr>
              <w:spacing w:after="0" w:before="0"/>
            </w:pPr>
            <w:r>
              <w:rPr>
                <w:rFonts w:ascii="Consolas" w:hAnsi="Consolas"/>
                <w:sz w:val="17"/>
              </w:rPr>
              <w:t xml:space="preserve">       COUNT(*)                     AS nb_actifs,</w:t>
            </w:r>
          </w:p>
          <w:p>
            <w:pPr>
              <w:spacing w:after="0" w:before="0"/>
            </w:pPr>
            <w:r>
              <w:rPr>
                <w:rFonts w:ascii="Consolas" w:hAnsi="Consolas"/>
                <w:sz w:val="17"/>
              </w:rPr>
              <w:t xml:space="preserve">       ROUND(SUM(inv.size_mb)::numeric, 1) AS volume_mo</w:t>
            </w:r>
          </w:p>
          <w:p>
            <w:pPr>
              <w:spacing w:after="0" w:before="0"/>
            </w:pPr>
            <w:r>
              <w:rPr>
                <w:rFonts w:ascii="Consolas" w:hAnsi="Consolas"/>
                <w:sz w:val="17"/>
              </w:rPr>
              <w:t>FROM serving.asset_business_domain_prediction p</w:t>
            </w:r>
          </w:p>
          <w:p>
            <w:pPr>
              <w:spacing w:after="0" w:before="0"/>
            </w:pPr>
            <w:r>
              <w:rPr>
                <w:rFonts w:ascii="Consolas" w:hAnsi="Consolas"/>
                <w:sz w:val="17"/>
              </w:rPr>
              <w:t>JOIN serving.mv_asset_inventory inv</w:t>
            </w:r>
          </w:p>
          <w:p>
            <w:pPr>
              <w:spacing w:after="0" w:before="0"/>
            </w:pPr>
            <w:r>
              <w:rPr>
                <w:rFonts w:ascii="Consolas" w:hAnsi="Consolas"/>
                <w:sz w:val="17"/>
              </w:rPr>
              <w:t xml:space="preserve">  ON inv.asset_id = p.asset_id AND inv.run_id = p.run_id</w:t>
            </w:r>
          </w:p>
          <w:p>
            <w:pPr>
              <w:spacing w:after="0" w:before="0"/>
            </w:pPr>
            <w:r>
              <w:rPr>
                <w:rFonts w:ascii="Consolas" w:hAnsi="Consolas"/>
                <w:sz w:val="17"/>
              </w:rPr>
              <w:t>WHERE p.run_id = 9</w:t>
            </w:r>
          </w:p>
          <w:p>
            <w:pPr>
              <w:spacing w:after="0" w:before="0"/>
            </w:pPr>
            <w:r>
              <w:rPr>
                <w:rFonts w:ascii="Consolas" w:hAnsi="Consolas"/>
                <w:sz w:val="17"/>
              </w:rPr>
              <w:t>GROUP BY p.business_domain_predicted</w:t>
            </w:r>
          </w:p>
          <w:p>
            <w:pPr>
              <w:spacing w:after="0" w:before="0"/>
            </w:pPr>
            <w:r>
              <w:rPr>
                <w:rFonts w:ascii="Consolas" w:hAnsi="Consolas"/>
                <w:sz w:val="17"/>
              </w:rPr>
              <w:t>ORDER BY nb_actifs DESC;</w:t>
            </w:r>
          </w:p>
        </w:tc>
      </w:tr>
    </w:tbl>
    <w:p>
      <w:pPr>
        <w:jc w:val="center"/>
      </w:pPr>
      <w:r>
        <w:drawing>
          <wp:inline xmlns:a="http://schemas.openxmlformats.org/drawingml/2006/main" xmlns:pic="http://schemas.openxmlformats.org/drawingml/2006/picture">
            <wp:extent cx="5760000" cy="2757482"/>
            <wp:docPr id="3" name="Picture 3"/>
            <wp:cNvGraphicFramePr>
              <a:graphicFrameLocks noChangeAspect="1"/>
            </wp:cNvGraphicFramePr>
            <a:graphic>
              <a:graphicData uri="http://schemas.openxmlformats.org/drawingml/2006/picture">
                <pic:pic>
                  <pic:nvPicPr>
                    <pic:cNvPr id="0" name="#2  Interroger la SOURCE Oracle en direct (collecte) .jpeg"/>
                    <pic:cNvPicPr/>
                  </pic:nvPicPr>
                  <pic:blipFill>
                    <a:blip r:embed="rId11"/>
                    <a:stretch>
                      <a:fillRect/>
                    </a:stretch>
                  </pic:blipFill>
                  <pic:spPr>
                    <a:xfrm>
                      <a:off x="0" y="0"/>
                      <a:ext cx="5760000" cy="2757482"/>
                    </a:xfrm>
                    <a:prstGeom prst="rect"/>
                  </pic:spPr>
                </pic:pic>
              </a:graphicData>
            </a:graphic>
          </wp:inline>
        </w:drawing>
      </w:r>
    </w:p>
    <w:p>
      <w:pPr>
        <w:jc w:val="center"/>
      </w:pPr>
      <w:r>
        <w:rPr>
          <w:i/>
          <w:color w:val="4B5563"/>
          <w:sz w:val="18"/>
        </w:rPr>
        <w:t>Capture — Console SQL : interrogation directe de la couche serving (C2.1.3).</w:t>
      </w:r>
    </w:p>
    <w:p>
      <w:pPr>
        <w:pStyle w:val="Heading2"/>
      </w:pPr>
      <w:r>
        <w:t>Annexe D — Tests statistiques (C2.1.4)</w:t>
      </w:r>
    </w:p>
    <w:p>
      <w:r>
        <w:t xml:space="preserve">Quatre tests d'hypothèses sur les données réelles du run 9 (seuil α = 0,05), reproductibles via `scripts/bloc2_hypothesis_tests.py`. La </w:t>
      </w:r>
      <w:r>
        <w:rPr>
          <w:b/>
        </w:rPr>
        <w:t>taille d'effet</w:t>
      </w:r>
      <w:r>
        <w:t xml:space="preserve"> est reportée systématiquement : avec n = 167 260, la seule p-value ne suffit pas à juger de l'importance d'un résultat.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rPr>
            </w:r>
            <w:r>
              <w:rPr>
                <w:b/>
              </w:rPr>
              <w:t>Hypothèse (H1)</w:t>
            </w:r>
          </w:p>
        </w:tc>
        <w:tc>
          <w:tcPr>
            <w:tcW w:type="dxa" w:w="2436"/>
          </w:tcPr>
          <w:p>
            <w:r>
              <w:rPr>
                <w:b/>
              </w:rPr>
            </w:r>
            <w:r>
              <w:rPr>
                <w:b/>
              </w:rPr>
              <w:t>Test</w:t>
            </w:r>
          </w:p>
        </w:tc>
        <w:tc>
          <w:tcPr>
            <w:tcW w:type="dxa" w:w="2436"/>
          </w:tcPr>
          <w:p>
            <w:r>
              <w:rPr>
                <w:b/>
              </w:rPr>
            </w:r>
            <w:r>
              <w:rPr>
                <w:b/>
              </w:rPr>
              <w:t>Résultat</w:t>
            </w:r>
          </w:p>
        </w:tc>
        <w:tc>
          <w:tcPr>
            <w:tcW w:type="dxa" w:w="2436"/>
          </w:tcPr>
          <w:p>
            <w:r>
              <w:rPr>
                <w:b/>
              </w:rPr>
            </w:r>
            <w:r>
              <w:rPr>
                <w:b/>
              </w:rPr>
              <w:t>Décision</w:t>
            </w:r>
          </w:p>
        </w:tc>
      </w:tr>
      <w:tr>
        <w:tc>
          <w:tcPr>
            <w:tcW w:type="dxa" w:w="2436"/>
          </w:tcPr>
          <w:p>
            <w:r/>
            <w:r>
              <w:t>Le nb de colonnes diffère selon le domaine</w:t>
            </w:r>
          </w:p>
        </w:tc>
        <w:tc>
          <w:tcPr>
            <w:tcW w:type="dxa" w:w="2436"/>
          </w:tcPr>
          <w:p>
            <w:r/>
            <w:r>
              <w:t>Kruskal-Wallis (7 grp, n=60 284)</w:t>
            </w:r>
          </w:p>
        </w:tc>
        <w:tc>
          <w:tcPr>
            <w:tcW w:type="dxa" w:w="2436"/>
          </w:tcPr>
          <w:p>
            <w:r/>
            <w:r>
              <w:t xml:space="preserve">H=12 783 · </w:t>
            </w:r>
            <w:r>
              <w:rPr>
                <w:b/>
              </w:rPr>
              <w:t>ε²=0,21 (fort)</w:t>
            </w:r>
          </w:p>
        </w:tc>
        <w:tc>
          <w:tcPr>
            <w:tcW w:type="dxa" w:w="2436"/>
          </w:tcPr>
          <w:p>
            <w:r/>
            <w:r>
              <w:t>p&lt;0,001 → rejet de H0</w:t>
            </w:r>
          </w:p>
        </w:tc>
      </w:tr>
      <w:tr>
        <w:tc>
          <w:tcPr>
            <w:tcW w:type="dxa" w:w="2436"/>
          </w:tcPr>
          <w:p>
            <w:r/>
            <w:r>
              <w:t>Taille corrélée au nb de colonnes</w:t>
            </w:r>
          </w:p>
        </w:tc>
        <w:tc>
          <w:tcPr>
            <w:tcW w:type="dxa" w:w="2436"/>
          </w:tcPr>
          <w:p>
            <w:r/>
            <w:r>
              <w:t>Spearman (n=15 854)</w:t>
            </w:r>
          </w:p>
        </w:tc>
        <w:tc>
          <w:tcPr>
            <w:tcW w:type="dxa" w:w="2436"/>
          </w:tcPr>
          <w:p>
            <w:r/>
            <w:r>
              <w:rPr>
                <w:b/>
              </w:rPr>
              <w:t>rho=0,368 (modérée)</w:t>
            </w:r>
          </w:p>
        </w:tc>
        <w:tc>
          <w:tcPr>
            <w:tcW w:type="dxa" w:w="2436"/>
          </w:tcPr>
          <w:p>
            <w:r/>
            <w:r>
              <w:t>p&lt;0,001 → rejet de H0</w:t>
            </w:r>
          </w:p>
        </w:tc>
      </w:tr>
      <w:tr>
        <w:tc>
          <w:tcPr>
            <w:tcW w:type="dxa" w:w="2436"/>
          </w:tcPr>
          <w:p>
            <w:r/>
            <w:r>
              <w:t>Description absente selon le domaine</w:t>
            </w:r>
          </w:p>
        </w:tc>
        <w:tc>
          <w:tcPr>
            <w:tcW w:type="dxa" w:w="2436"/>
          </w:tcPr>
          <w:p>
            <w:r/>
            <w:r>
              <w:t>χ² d'indépendance (ddl=6)</w:t>
            </w:r>
          </w:p>
        </w:tc>
        <w:tc>
          <w:tcPr>
            <w:tcW w:type="dxa" w:w="2436"/>
          </w:tcPr>
          <w:p>
            <w:r/>
            <w:r>
              <w:t xml:space="preserve">χ²=3 681 · </w:t>
            </w:r>
            <w:r>
              <w:rPr>
                <w:b/>
              </w:rPr>
              <w:t>V=0,148 (faible)</w:t>
            </w:r>
          </w:p>
        </w:tc>
        <w:tc>
          <w:tcPr>
            <w:tcW w:type="dxa" w:w="2436"/>
          </w:tcPr>
          <w:p>
            <w:r/>
            <w:r>
              <w:t>p&lt;0,001 → rejet de H0</w:t>
            </w:r>
          </w:p>
        </w:tc>
      </w:tr>
      <w:tr>
        <w:tc>
          <w:tcPr>
            <w:tcW w:type="dxa" w:w="2436"/>
          </w:tcPr>
          <w:p>
            <w:r/>
            <w:r>
              <w:t>Confiance keyword ≠ confiance ML</w:t>
            </w:r>
          </w:p>
        </w:tc>
        <w:tc>
          <w:tcPr>
            <w:tcW w:type="dxa" w:w="2436"/>
          </w:tcPr>
          <w:p>
            <w:r/>
            <w:r>
              <w:t>Mann-Whitney U</w:t>
            </w:r>
          </w:p>
        </w:tc>
        <w:tc>
          <w:tcPr>
            <w:tcW w:type="dxa" w:w="2436"/>
          </w:tcPr>
          <w:p>
            <w:r/>
            <w:r>
              <w:rPr>
                <w:b/>
              </w:rPr>
              <w:t>effet=−0,67 (fort)</w:t>
            </w:r>
            <w:r>
              <w:t xml:space="preserve"> · méd. 0,83 vs 0,68</w:t>
            </w:r>
          </w:p>
        </w:tc>
        <w:tc>
          <w:tcPr>
            <w:tcW w:type="dxa" w:w="2436"/>
          </w:tcPr>
          <w:p>
            <w:r/>
            <w:r>
              <w:t>p&lt;0,001 → rejet de H0</w:t>
            </w:r>
          </w:p>
        </w:tc>
      </w:tr>
    </w:tbl>
    <w:p>
      <w:r>
        <w:rPr>
          <w:b/>
        </w:rPr>
        <w:t>Interprétations clés.</w:t>
      </w:r>
      <w:r>
        <w:t xml:space="preserve"> Les tables Finance sont structurellement plus riches (médiane 17 colonnes vs 4 pour « Other ») → oriente la modélisation. La documentation est inégale selon les domaines → cible la gouvernance. Les deux passes de classification ne sont pas interchangeables → justifie l'architecture keyword + ML.</w:t>
      </w:r>
    </w:p>
    <w:p>
      <w:r>
        <w:rPr>
          <w:b/>
        </w:rPr>
        <w:t>Limite assumée.</w:t>
      </w:r>
      <w:r>
        <w:t xml:space="preserve"> Une 5ᵉ hypothèse — « le score d'archivabilité diffère selon le domaine » — a été </w:t>
      </w:r>
      <w:r>
        <w:rPr>
          <w:b/>
        </w:rPr>
        <w:t>écartée après examen</w:t>
      </w:r>
      <w:r>
        <w:t xml:space="preserve"> : en périmètre Oracle-only, ce score est quasi-constant (90 % des actifs à 45,0), faute de signal de purge/accès. Un test l'aurait déclaré « significatif » à cause du grand n, alors que les médianes sont identiques — ce serait trompeur.</w:t>
      </w:r>
    </w:p>
    <w:p>
      <w:pPr>
        <w:pStyle w:val="Heading2"/>
      </w:pPr>
      <w:r>
        <w:t>Annexe E — Visualisations et accessibilité</w:t>
      </w:r>
    </w:p>
    <w:p>
      <w:r>
        <w:rPr>
          <w:b/>
        </w:rPr>
        <w:t>E.1 — Analyse des coûts et projection ROI.</w:t>
      </w:r>
      <w:r>
        <w:t xml:space="preserve"> Répartition du coût par domaine, </w:t>
      </w:r>
      <w:r>
        <w:rPr>
          <w:b/>
        </w:rPr>
        <w:t>diagramme de Pareto</w:t>
      </w:r>
      <w:r>
        <w:t xml:space="preserve"> (identifie les domaines les plus coûteux), et projection ROI sur 5 ans avec intervalle Monte-Carlo P10–P90.</w:t>
      </w:r>
    </w:p>
    <w:p>
      <w:pPr>
        <w:jc w:val="center"/>
      </w:pPr>
      <w:r>
        <w:drawing>
          <wp:inline xmlns:a="http://schemas.openxmlformats.org/drawingml/2006/main" xmlns:pic="http://schemas.openxmlformats.org/drawingml/2006/picture">
            <wp:extent cx="5760000" cy="7237696"/>
            <wp:docPr id="4" name="Picture 4"/>
            <wp:cNvGraphicFramePr>
              <a:graphicFrameLocks noChangeAspect="1"/>
            </wp:cNvGraphicFramePr>
            <a:graphic>
              <a:graphicData uri="http://schemas.openxmlformats.org/drawingml/2006/picture">
                <pic:pic>
                  <pic:nvPicPr>
                    <pic:cNvPr id="0" name="Annexe C Cout et ROI.png"/>
                    <pic:cNvPicPr/>
                  </pic:nvPicPr>
                  <pic:blipFill>
                    <a:blip r:embed="rId12"/>
                    <a:stretch>
                      <a:fillRect/>
                    </a:stretch>
                  </pic:blipFill>
                  <pic:spPr>
                    <a:xfrm>
                      <a:off x="0" y="0"/>
                      <a:ext cx="5760000" cy="7237696"/>
                    </a:xfrm>
                    <a:prstGeom prst="rect"/>
                  </pic:spPr>
                </pic:pic>
              </a:graphicData>
            </a:graphic>
          </wp:inline>
        </w:drawing>
      </w:r>
    </w:p>
    <w:p>
      <w:pPr>
        <w:jc w:val="center"/>
      </w:pPr>
      <w:r>
        <w:rPr>
          <w:i/>
          <w:color w:val="4B5563"/>
          <w:sz w:val="18"/>
        </w:rPr>
        <w:t>Capture — Page « Coûts &amp; ROI » : Pareto des coûts et projection ROI (C2.2.1 / C2.2.2).</w:t>
      </w:r>
    </w:p>
    <w:p>
      <w:r>
        <w:rPr>
          <w:b/>
        </w:rPr>
        <w:t>E.2 — Incertitude du modèle rendue visible.</w:t>
      </w:r>
      <w:r>
        <w:t xml:space="preserve"> La page « Test du modèle » affiche la </w:t>
      </w:r>
      <w:r>
        <w:rPr>
          <w:b/>
        </w:rPr>
        <w:t>distribution des probabilités par domaine</w:t>
      </w:r>
      <w:r>
        <w:t xml:space="preserve"> : le jury voit non seulement le label gagnant mais aussi la confiance calibrée et la répartition sur les 7 classes.</w:t>
      </w:r>
    </w:p>
    <w:p>
      <w:pPr>
        <w:jc w:val="center"/>
      </w:pPr>
      <w:r>
        <w:drawing>
          <wp:inline xmlns:a="http://schemas.openxmlformats.org/drawingml/2006/main" xmlns:pic="http://schemas.openxmlformats.org/drawingml/2006/picture">
            <wp:extent cx="5760000" cy="7349277"/>
            <wp:docPr id="5" name="Picture 5"/>
            <wp:cNvGraphicFramePr>
              <a:graphicFrameLocks noChangeAspect="1"/>
            </wp:cNvGraphicFramePr>
            <a:graphic>
              <a:graphicData uri="http://schemas.openxmlformats.org/drawingml/2006/picture">
                <pic:pic>
                  <pic:nvPicPr>
                    <pic:cNvPr id="0" name="test le model.png"/>
                    <pic:cNvPicPr/>
                  </pic:nvPicPr>
                  <pic:blipFill>
                    <a:blip r:embed="rId13"/>
                    <a:stretch>
                      <a:fillRect/>
                    </a:stretch>
                  </pic:blipFill>
                  <pic:spPr>
                    <a:xfrm>
                      <a:off x="0" y="0"/>
                      <a:ext cx="5760000" cy="7349277"/>
                    </a:xfrm>
                    <a:prstGeom prst="rect"/>
                  </pic:spPr>
                </pic:pic>
              </a:graphicData>
            </a:graphic>
          </wp:inline>
        </w:drawing>
      </w:r>
    </w:p>
    <w:p>
      <w:pPr>
        <w:jc w:val="center"/>
      </w:pPr>
      <w:r>
        <w:rPr>
          <w:i/>
          <w:color w:val="4B5563"/>
          <w:sz w:val="18"/>
        </w:rPr>
        <w:t>Capture — « Test du modèle » : prédiction RH à 92,3 % et distribution des probabilités (C2.2.1).</w:t>
      </w:r>
    </w:p>
    <w:p>
      <w:r>
        <w:rPr>
          <w:b/>
        </w:rPr>
        <w:t>E.3 — Note d'accessibilité (situations de handicap).</w:t>
      </w:r>
      <w:r>
        <w:t xml:space="preserve"> Les choix visuels prennent en compte les déficiences de la vision des couleurs :</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r>
            <w:r>
              <w:rPr>
                <w:b/>
              </w:rPr>
              <w:t>Principe</w:t>
            </w:r>
          </w:p>
        </w:tc>
        <w:tc>
          <w:tcPr>
            <w:tcW w:type="dxa" w:w="4873"/>
          </w:tcPr>
          <w:p>
            <w:r>
              <w:rPr>
                <w:b/>
              </w:rPr>
            </w:r>
            <w:r>
              <w:rPr>
                <w:b/>
              </w:rPr>
              <w:t>Mise en œuvre</w:t>
            </w:r>
          </w:p>
        </w:tc>
      </w:tr>
      <w:tr>
        <w:tc>
          <w:tcPr>
            <w:tcW w:type="dxa" w:w="4873"/>
          </w:tcPr>
          <w:p>
            <w:r/>
            <w:r>
              <w:t>La couleur n'est jamais seule</w:t>
            </w:r>
          </w:p>
        </w:tc>
        <w:tc>
          <w:tcPr>
            <w:tcW w:type="dxa" w:w="4873"/>
          </w:tcPr>
          <w:p>
            <w:r/>
            <w:r>
              <w:t>Chaque catégorie porte aussi un libellé et une position (barres triées, légende)</w:t>
            </w:r>
          </w:p>
        </w:tc>
      </w:tr>
      <w:tr>
        <w:tc>
          <w:tcPr>
            <w:tcW w:type="dxa" w:w="4873"/>
          </w:tcPr>
          <w:p>
            <w:r/>
            <w:r>
              <w:t>Échelles monochromes</w:t>
            </w:r>
          </w:p>
        </w:tc>
        <w:tc>
          <w:tcPr>
            <w:tcW w:type="dxa" w:w="4873"/>
          </w:tcPr>
          <w:p>
            <w:r/>
            <w:r>
              <w:t>Dégradés d'une seule teinte pour les intensités (pas de rouge-vert)</w:t>
            </w:r>
          </w:p>
        </w:tc>
      </w:tr>
      <w:tr>
        <w:tc>
          <w:tcPr>
            <w:tcW w:type="dxa" w:w="4873"/>
          </w:tcPr>
          <w:p>
            <w:r/>
            <w:r>
              <w:t>Contraste élevé</w:t>
            </w:r>
          </w:p>
        </w:tc>
        <w:tc>
          <w:tcPr>
            <w:tcW w:type="dxa" w:w="4873"/>
          </w:tcPr>
          <w:p>
            <w:r/>
            <w:r>
              <w:t>Texte sombre (#0F172A) sur fond clair, conforme WCAG</w:t>
            </w:r>
          </w:p>
        </w:tc>
      </w:tr>
      <w:tr>
        <w:tc>
          <w:tcPr>
            <w:tcW w:type="dxa" w:w="4873"/>
          </w:tcPr>
          <w:p>
            <w:r/>
            <w:r>
              <w:t>Encodage par forme/longueur</w:t>
            </w:r>
          </w:p>
        </w:tc>
        <w:tc>
          <w:tcPr>
            <w:tcW w:type="dxa" w:w="4873"/>
          </w:tcPr>
          <w:p>
            <w:r/>
            <w:r>
              <w:t>Les barres encodent la donnée par leur longueur, indépendamment de la couleur</w:t>
            </w:r>
          </w:p>
        </w:tc>
      </w:tr>
    </w:tbl>
    <w:p>
      <w:pPr>
        <w:pStyle w:val="Heading2"/>
      </w:pPr>
      <w:r>
        <w:t>Annexe F — Recommandations (fiche de synthèse)</w:t>
      </w:r>
    </w:p>
    <w:p>
      <w:r>
        <w:t xml:space="preserve">Recommandations priorisées par </w:t>
      </w:r>
      <w:r>
        <w:rPr>
          <w:b/>
        </w:rPr>
        <w:t>effet de levier</w:t>
      </w:r>
      <w:r>
        <w:t>, destinées au décideur.</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r>
            <w:r>
              <w:rPr>
                <w:b/>
              </w:rPr>
              <w:t>#</w:t>
            </w:r>
          </w:p>
        </w:tc>
        <w:tc>
          <w:tcPr>
            <w:tcW w:type="dxa" w:w="3249"/>
          </w:tcPr>
          <w:p>
            <w:r>
              <w:rPr>
                <w:b/>
              </w:rPr>
            </w:r>
            <w:r>
              <w:rPr>
                <w:b/>
              </w:rPr>
              <w:t>Recommandation</w:t>
            </w:r>
          </w:p>
        </w:tc>
        <w:tc>
          <w:tcPr>
            <w:tcW w:type="dxa" w:w="3249"/>
          </w:tcPr>
          <w:p>
            <w:r>
              <w:rPr>
                <w:b/>
              </w:rPr>
            </w:r>
            <w:r>
              <w:rPr>
                <w:b/>
              </w:rPr>
              <w:t>Constat chiffré</w:t>
            </w:r>
          </w:p>
        </w:tc>
      </w:tr>
      <w:tr>
        <w:tc>
          <w:tcPr>
            <w:tcW w:type="dxa" w:w="3249"/>
          </w:tcPr>
          <w:p>
            <w:r/>
            <w:r>
              <w:t>1</w:t>
            </w:r>
          </w:p>
        </w:tc>
        <w:tc>
          <w:tcPr>
            <w:tcW w:type="dxa" w:w="3249"/>
          </w:tcPr>
          <w:p>
            <w:r/>
            <w:r>
              <w:t>Prioriser la gouvernance sur Finance &amp; Contrôle</w:t>
            </w:r>
          </w:p>
        </w:tc>
        <w:tc>
          <w:tcPr>
            <w:tcW w:type="dxa" w:w="3249"/>
          </w:tcPr>
          <w:p>
            <w:r/>
            <w:r>
              <w:t>45,1 % du patrimoine, tables les plus complexes (méd. 17 colonnes)</w:t>
            </w:r>
          </w:p>
        </w:tc>
      </w:tr>
      <w:tr>
        <w:tc>
          <w:tcPr>
            <w:tcW w:type="dxa" w:w="3249"/>
          </w:tcPr>
          <w:p>
            <w:r/>
            <w:r>
              <w:t>2</w:t>
            </w:r>
          </w:p>
        </w:tc>
        <w:tc>
          <w:tcPr>
            <w:tcW w:type="dxa" w:w="3249"/>
          </w:tcPr>
          <w:p>
            <w:r/>
            <w:r>
              <w:t>Traiter le taux de revue comme un chantier qualité</w:t>
            </w:r>
          </w:p>
        </w:tc>
        <w:tc>
          <w:tcPr>
            <w:tcW w:type="dxa" w:w="3249"/>
          </w:tcPr>
          <w:p>
            <w:r/>
            <w:r>
              <w:t>27,1 % des actifs `review_required`, 25,6 % en confiance low</w:t>
            </w:r>
          </w:p>
        </w:tc>
      </w:tr>
      <w:tr>
        <w:tc>
          <w:tcPr>
            <w:tcW w:type="dxa" w:w="3249"/>
          </w:tcPr>
          <w:p>
            <w:r/>
            <w:r>
              <w:t>3</w:t>
            </w:r>
          </w:p>
        </w:tc>
        <w:tc>
          <w:tcPr>
            <w:tcW w:type="dxa" w:w="3249"/>
          </w:tcPr>
          <w:p>
            <w:r/>
            <w:r>
              <w:t>Cibler la documentation sur les domaines sous-documentés</w:t>
            </w:r>
          </w:p>
        </w:tc>
        <w:tc>
          <w:tcPr>
            <w:tcW w:type="dxa" w:w="3249"/>
          </w:tcPr>
          <w:p>
            <w:r/>
            <w:r>
              <w:t>H3 : l'absence de description dépend du domaine</w:t>
            </w:r>
          </w:p>
        </w:tc>
      </w:tr>
      <w:tr>
        <w:tc>
          <w:tcPr>
            <w:tcW w:type="dxa" w:w="3249"/>
          </w:tcPr>
          <w:p>
            <w:r/>
            <w:r>
              <w:t>4</w:t>
            </w:r>
          </w:p>
        </w:tc>
        <w:tc>
          <w:tcPr>
            <w:tcW w:type="dxa" w:w="3249"/>
          </w:tcPr>
          <w:p>
            <w:r/>
            <w:r>
              <w:t>Sécuriser le modèle de coût avant d'industrialiser le ROI</w:t>
            </w:r>
          </w:p>
        </w:tc>
        <w:tc>
          <w:tcPr>
            <w:tcW w:type="dxa" w:w="3249"/>
          </w:tcPr>
          <w:p>
            <w:r/>
            <w:r>
              <w:t>Tarifs Azure réels (0,2120 vs 0,0216 $/Go/an, écart ×9,8)</w:t>
            </w:r>
          </w:p>
        </w:tc>
      </w:tr>
    </w:tbl>
    <w:p>
      <w:r>
        <w:rPr>
          <w:b/>
        </w:rPr>
        <w:t>Synthèse.</w:t>
      </w:r>
      <w:r>
        <w:t xml:space="preserve"> Le patrimoine est concentré (Finance ≈ moitié) et inégalement documenté. Le gain le plus rapide vient de l'effort ciblé sur Finance et les cas incertains, pas d'un traitement uniforme. Le potentiel d'archivage est réel, mais sa valorisation en ROI doit attendre un modèle de coût sourcé et un historique de plusieurs runs.</w:t>
      </w:r>
    </w:p>
    <w:p>
      <w:pPr>
        <w:pStyle w:val="Heading2"/>
      </w:pPr>
      <w:r>
        <w:t>Annexe G — Support de formation</w:t>
      </w:r>
    </w:p>
    <w:p>
      <w:r>
        <w:t>Le support de formation destiné aux analystes (non techniciens) est fourni en pièce jointe : `BLOC2_support_formation.docx`. Il comporte six modules courts — à quoi sert l'outil, visite guidée du dashboard, lire un KPI sans se tromper, le réflexe qualité, exporter/réutiliser, bonnes pratiques.</w:t>
      </w:r>
    </w:p>
    <w:p>
      <w:r>
        <w:rPr>
          <w:b/>
        </w:rPr>
        <w:t>Message pédagogique central :</w:t>
      </w:r>
      <w:r>
        <w:t xml:space="preserve"> une confiance *low* ou un marqueur `review_required` n'est pas un défaut du modèle mais une </w:t>
      </w:r>
      <w:r>
        <w:rPr>
          <w:b/>
        </w:rPr>
        <w:t>alerte utile</w:t>
      </w:r>
      <w:r>
        <w:t xml:space="preserve"> — on ne décide jamais d'archiver sur une classification non vérifiée.</w:t>
      </w:r>
    </w:p>
    <w:p>
      <w:pPr>
        <w:pStyle w:val="Heading2"/>
      </w:pPr>
      <w:r>
        <w:t>Annexe H — Documentation technique (dictionnaire des indicateurs)</w:t>
      </w:r>
    </w:p>
    <w:p>
      <w:r>
        <w:t>Chaque indicateur est adossé à une définition fonctionnelle, une formule technique et une source, garantissant compréhension et reproductibilité.</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r>
            <w:r>
              <w:rPr>
                <w:b/>
              </w:rPr>
              <w:t>Indicateur</w:t>
            </w:r>
          </w:p>
        </w:tc>
        <w:tc>
          <w:tcPr>
            <w:tcW w:type="dxa" w:w="3249"/>
          </w:tcPr>
          <w:p>
            <w:r>
              <w:rPr>
                <w:b/>
              </w:rPr>
            </w:r>
            <w:r>
              <w:rPr>
                <w:b/>
              </w:rPr>
              <w:t>Définition fonctionnelle</w:t>
            </w:r>
          </w:p>
        </w:tc>
        <w:tc>
          <w:tcPr>
            <w:tcW w:type="dxa" w:w="3249"/>
          </w:tcPr>
          <w:p>
            <w:r>
              <w:rPr>
                <w:b/>
              </w:rPr>
            </w:r>
            <w:r>
              <w:rPr>
                <w:b/>
              </w:rPr>
              <w:t>Source / formule</w:t>
            </w:r>
          </w:p>
        </w:tc>
      </w:tr>
      <w:tr>
        <w:tc>
          <w:tcPr>
            <w:tcW w:type="dxa" w:w="3249"/>
          </w:tcPr>
          <w:p>
            <w:r/>
            <w:r>
              <w:t>Répartition par domaine</w:t>
            </w:r>
          </w:p>
        </w:tc>
        <w:tc>
          <w:tcPr>
            <w:tcW w:type="dxa" w:w="3249"/>
          </w:tcPr>
          <w:p>
            <w:r/>
            <w:r>
              <w:t>Poids de chaque objet métier</w:t>
            </w:r>
          </w:p>
        </w:tc>
        <w:tc>
          <w:tcPr>
            <w:tcW w:type="dxa" w:w="3249"/>
          </w:tcPr>
          <w:p>
            <w:r/>
            <w:r>
              <w:t>`asset_business_domain_prediction`, COUNT par domaine</w:t>
            </w:r>
          </w:p>
        </w:tc>
      </w:tr>
      <w:tr>
        <w:tc>
          <w:tcPr>
            <w:tcW w:type="dxa" w:w="3249"/>
          </w:tcPr>
          <w:p>
            <w:r/>
            <w:r>
              <w:t>Bande de confiance</w:t>
            </w:r>
          </w:p>
        </w:tc>
        <w:tc>
          <w:tcPr>
            <w:tcW w:type="dxa" w:w="3249"/>
          </w:tcPr>
          <w:p>
            <w:r/>
            <w:r>
              <w:t>Fiabilité de la classification (high/medium/low)</w:t>
            </w:r>
          </w:p>
        </w:tc>
        <w:tc>
          <w:tcPr>
            <w:tcW w:type="dxa" w:w="3249"/>
          </w:tcPr>
          <w:p>
            <w:r/>
            <w:r>
              <w:t>`confidence` seuillée (≥0,85 / ≥0,60 / &lt;0,60)</w:t>
            </w:r>
          </w:p>
        </w:tc>
      </w:tr>
      <w:tr>
        <w:tc>
          <w:tcPr>
            <w:tcW w:type="dxa" w:w="3249"/>
          </w:tcPr>
          <w:p>
            <w:r/>
            <w:r>
              <w:t>Taux de revue</w:t>
            </w:r>
          </w:p>
        </w:tc>
        <w:tc>
          <w:tcPr>
            <w:tcW w:type="dxa" w:w="3249"/>
          </w:tcPr>
          <w:p>
            <w:r/>
            <w:r>
              <w:t>Part des actifs à vérifier manuellement</w:t>
            </w:r>
          </w:p>
        </w:tc>
        <w:tc>
          <w:tcPr>
            <w:tcW w:type="dxa" w:w="3249"/>
          </w:tcPr>
          <w:p>
            <w:r/>
            <w:r>
              <w:t>`review_required` = true</w:t>
            </w:r>
          </w:p>
        </w:tc>
      </w:tr>
      <w:tr>
        <w:tc>
          <w:tcPr>
            <w:tcW w:type="dxa" w:w="3249"/>
          </w:tcPr>
          <w:p>
            <w:r/>
            <w:r>
              <w:t>Volume par domaine</w:t>
            </w:r>
          </w:p>
        </w:tc>
        <w:tc>
          <w:tcPr>
            <w:tcW w:type="dxa" w:w="3249"/>
          </w:tcPr>
          <w:p>
            <w:r/>
            <w:r>
              <w:t>Stockage occupé par métier</w:t>
            </w:r>
          </w:p>
        </w:tc>
        <w:tc>
          <w:tcPr>
            <w:tcW w:type="dxa" w:w="3249"/>
          </w:tcPr>
          <w:p>
            <w:r/>
            <w:r>
              <w:t>SUM(`size_mb`) par domaine (`mv_asset_inventory`)</w:t>
            </w:r>
          </w:p>
        </w:tc>
      </w:tr>
      <w:tr>
        <w:tc>
          <w:tcPr>
            <w:tcW w:type="dxa" w:w="3249"/>
          </w:tcPr>
          <w:p>
            <w:r/>
            <w:r>
              <w:t>Économie annuelle potentielle</w:t>
            </w:r>
          </w:p>
        </w:tc>
        <w:tc>
          <w:tcPr>
            <w:tcW w:type="dxa" w:w="3249"/>
          </w:tcPr>
          <w:p>
            <w:r/>
            <w:r>
              <w:t>Gain si archivage des candidats</w:t>
            </w:r>
          </w:p>
        </w:tc>
        <w:tc>
          <w:tcPr>
            <w:tcW w:type="dxa" w:w="3249"/>
          </w:tcPr>
          <w:p>
            <w:r/>
            <w:r>
              <w:t>SUM(size candidats)×(coût_chaud−coût_archive)</w:t>
            </w:r>
          </w:p>
        </w:tc>
      </w:tr>
      <w:tr>
        <w:tc>
          <w:tcPr>
            <w:tcW w:type="dxa" w:w="3249"/>
          </w:tcPr>
          <w:p>
            <w:r/>
            <w:r>
              <w:t>Score de ROI</w:t>
            </w:r>
          </w:p>
        </w:tc>
        <w:tc>
          <w:tcPr>
            <w:tcW w:type="dxa" w:w="3249"/>
          </w:tcPr>
          <w:p>
            <w:r/>
            <w:r>
              <w:t>Retour attendu de l'archivage</w:t>
            </w:r>
          </w:p>
        </w:tc>
        <w:tc>
          <w:tcPr>
            <w:tcW w:type="dxa" w:w="3249"/>
          </w:tcPr>
          <w:p>
            <w:r/>
            <w:r>
              <w:t>`roi_score` (`features_asset`)</w:t>
            </w:r>
          </w:p>
        </w:tc>
      </w:tr>
    </w:tbl>
    <w:p>
      <w:r>
        <w:rPr>
          <w:b/>
        </w:rPr>
        <w:t>Sources</w:t>
      </w:r>
      <w:r>
        <w:t xml:space="preserve"> : Oracle PeopleSoft EP92U038 (métadonnées, périmètre 167 260 actifs). </w:t>
      </w:r>
      <w:r>
        <w:rPr>
          <w:b/>
        </w:rPr>
        <w:t>Méthodes</w:t>
      </w:r>
      <w:r>
        <w:t xml:space="preserve"> documentées dans `docs/B_…` à `docs/E4_…` et `scripts/bloc2_hypothesis_tests.py`. </w:t>
      </w:r>
      <w:r>
        <w:rPr>
          <w:b/>
        </w:rPr>
        <w:t>Reproductibilité</w:t>
      </w:r>
      <w:r>
        <w:t xml:space="preserve"> assurée par le versionnement `run_id` et les scripts Git.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