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800" w:after="520"/>
        <w:jc w:val="center"/>
      </w:pPr>
      <w:r>
        <w:rPr>
          <w:color w:val="5A6470"/>
          <w:sz w:val="22"/>
          <w:szCs w:val="22"/>
          <w:caps/>
          <w:spacing w:val="40"/>
        </w:rPr>
        <w:t xml:space="preserve">Annexe G au dossier de certification</w:t>
      </w:r>
    </w:p>
    <w:p>
      <w:pPr>
        <w:spacing w:after="400"/>
        <w:jc w:val="center"/>
      </w:pPr>
      <w:r>
        <w:rPr>
          <w:b/>
          <w:color w:val="1F4E79"/>
          <w:sz w:val="52"/>
          <w:szCs w:val="52"/>
        </w:rPr>
        <w:t xml:space="preserve">Support de formation et de sensibilisation</w:t>
      </w:r>
    </w:p>
    <w:p>
      <w:pPr>
        <w:jc w:val="center"/>
      </w:pPr>
      <w:r>
        <w:rPr>
          <w:color w:val="333333"/>
          <w:sz w:val="24"/>
          <w:szCs w:val="24"/>
        </w:rPr>
        <w:t xml:space="preserve">Titre visé : Ingénieur en science des données spécialisé en infrastructure data ou en apprentissage automatique — RNCP 39586 (niveau 7)</w:t>
      </w:r>
    </w:p>
    <w:p>
      <w:pPr>
        <w:jc w:val="center"/>
      </w:pPr>
      <w:r>
        <w:rPr>
          <w:color w:val="333333"/>
          <w:sz w:val="24"/>
          <w:szCs w:val="24"/>
        </w:rPr>
        <w:t xml:space="preserve">Projet : Solution de gouvernance et d’archivage intelligent des données d’un ERP PeopleSoft (Oracle EP92U038)</w:t>
      </w:r>
    </w:p>
    <w:p>
      <w:pPr>
        <w:spacing w:after="0"/>
        <w:jc w:val="center"/>
      </w:pPr>
      <w:r>
        <w:rPr>
          <w:color w:val="5A6470"/>
        </w:rPr>
        <w:t xml:space="preserve">Livrable de la compétence C2.3.1 — support de formation et de sensibilisation</w:t>
      </w:r>
    </w:p>
    <w:p>
      <w:pPr>
        <w:spacing w:after="0"/>
        <w:jc w:val="center"/>
      </w:pPr>
      <w:r>
        <w:rPr>
          <w:color w:val="5A6470"/>
        </w:rPr>
        <w:t xml:space="preserve">Pièce jointe au dossier « Bloc 2 — Analyser, organiser et valoriser des données »</w:t>
      </w:r>
    </w:p>
    <w:p>
      <w:pPr>
        <w:spacing w:after="0"/>
        <w:jc w:val="center"/>
      </w:pPr>
      <w:r>
        <w:rPr>
          <w:color w:val="5A6470"/>
        </w:rPr>
        <w:t xml:space="preserve">Exécution de référence : run_id = 9 — entrepôt PostgreSQL pfe_data_ia</w:t>
      </w:r>
    </w:p>
    <w:p>
      <w:pPr>
        <w:spacing w:before="2600" w:after="160"/>
        <w:jc w:val="center"/>
      </w:pPr>
      <w:r>
        <w:rPr>
          <w:b/>
          <w:color w:val="333333"/>
          <w:sz w:val="28"/>
          <w:szCs w:val="28"/>
        </w:rPr>
        <w:t xml:space="preserve">Candidat : HAOUARI Salem</w:t>
      </w:r>
    </w:p>
    <w:p>
      <w:pPr>
        <w:spacing w:after="160"/>
        <w:jc w:val="center"/>
      </w:pPr>
      <w:r>
        <w:rPr>
          <w:color w:val="333333"/>
          <w:sz w:val="24"/>
          <w:szCs w:val="24"/>
        </w:rPr>
        <w:t xml:space="preserve">Mastère 2 — filière IA &amp; Data · YNOV</w:t>
      </w:r>
    </w:p>
    <w:p>
      <w:pPr>
        <w:spacing w:after="0"/>
        <w:jc w:val="center"/>
      </w:pPr>
      <w:r>
        <w:rPr>
          <w:color w:val="5A6470"/>
          <w:sz w:val="24"/>
          <w:szCs w:val="24"/>
        </w:rPr>
        <w:t xml:space="preserve">Date : 29/07/2026</w:t>
      </w:r>
    </w:p>
    <w:p>
      <w:pPr>
        <w:pStyle w:val="Titre2"/>
      </w:pPr>
      <w:r>
        <w:t xml:space="preserve">Exploiter le dashboard de gouvernance des données</w:t>
      </w:r>
    </w:p>
    <w:p>
      <w:r>
        <w:rPr>
          <w:b/>
        </w:rPr>
        <w:t xml:space="preserve">Public visé :</w:t>
      </w:r>
      <w:r>
        <w:t xml:space="preserve"> analystes de gouvernance et référents métier (non techniciens)\ </w:t>
      </w:r>
      <w:r>
        <w:rPr>
          <w:b/>
        </w:rPr>
        <w:t xml:space="preserve">Durée :</w:t>
      </w:r>
      <w:r>
        <w:t xml:space="preserve"> 45 minutes · </w:t>
      </w:r>
      <w:r>
        <w:rPr>
          <w:b/>
        </w:rPr>
        <w:t xml:space="preserve">Format :</w:t>
      </w:r>
      <w:r>
        <w:t xml:space="preserve"> visite guidée pas-à-pas + quiz de validation\ </w:t>
      </w:r>
      <w:r>
        <w:rPr>
          <w:b/>
        </w:rPr>
        <w:t xml:space="preserve">Prérequis :</w:t>
      </w:r>
      <w:r>
        <w:t xml:space="preserve"> aucun — un simple navigateur web\ </w:t>
      </w:r>
      <w:r>
        <w:rPr>
          <w:b/>
        </w:rPr>
        <w:t xml:space="preserve">Auteur :</w:t>
      </w:r>
      <w:r>
        <w:t xml:space="preserve"> HAOUARI Salem · </w:t>
      </w:r>
      <w:r>
        <w:rPr>
          <w:b/>
        </w:rPr>
        <w:t xml:space="preserve">Projet :</w:t>
      </w:r>
      <w:r>
        <w:t xml:space="preserve"> gouvernance et archivage — Oracle PeopleSoft EP92U038\ </w:t>
      </w:r>
      <w:r>
        <w:rPr>
          <w:b/>
        </w:rPr>
        <w:t xml:space="preserve">Version :</w:t>
      </w:r>
      <w:r>
        <w:t xml:space="preserve"> run de référence 9 · juillet 2026</w:t>
      </w:r>
    </w:p>
    <w:p>
      <w:pPr>
        <w:spacing w:before="120" w:after="120"/>
        <w:ind w:left="240"/>
      </w:pPr>
      <w:r>
        <w:rPr>
          <w:b/>
          <w:i/>
          <w:color w:val="4B5563"/>
        </w:rPr>
        <w:t xml:space="preserve">Livrable Bloc 2 — C2.3.1.</w:t>
      </w:r>
      <w:r>
        <w:rPr>
          <w:i/>
          <w:color w:val="4B5563"/>
        </w:rPr>
        <w:t xml:space="preserve"> Ce document est le support de formation référencé au § 4.1 du dossier </w:t>
      </w:r>
      <w:r>
        <w:rPr>
          <w:i/>
          <w:color w:val="4B5563"/>
        </w:rPr>
        <w:t xml:space="preserve">BLOC 2 — Analyser, organiser et valoriser des données</w:t>
      </w:r>
      <w:r>
        <w:rPr>
          <w:i/>
          <w:color w:val="4B5563"/>
        </w:rPr>
        <w:t xml:space="preserve">. Il comporte six modules de formation (§ 3), un quiz de validation des acquis (§ 4) et une </w:t>
      </w:r>
      <w:r>
        <w:rPr>
          <w:b/>
          <w:i/>
          <w:color w:val="4B5563"/>
        </w:rPr>
        <w:t xml:space="preserve">fiche de sensibilisation diffusable séparément</w:t>
      </w:r>
      <w:r>
        <w:rPr>
          <w:i/>
          <w:color w:val="4B5563"/>
        </w:rPr>
        <w:t xml:space="preserve"> (§ 5).</w:t>
      </w:r>
    </w:p>
    <w:p>
      <w:pPr>
        <w:pStyle w:val="Titre2"/>
      </w:pPr>
      <w:r>
        <w:t xml:space="preserve">1. Pourquoi cette formation ? L'enjeu</w:t>
      </w:r>
    </w:p>
    <w:p>
      <w:r>
        <w:t xml:space="preserve">L'outil ne crée de la valeur que si vous savez le lire et vous en servir seul. Sinon, chaque question remonte à l'équipe data, et l'on reproduit le problème que le projet cherche justement à résoudre : la connaissance du patrimoine concentrée sur quelques personnes.</w:t>
      </w:r>
    </w:p>
    <w:p>
      <w:r>
        <w:t xml:space="preserve">Le second enjeu est plus sérieux. L'outil recommande des actions d'archivage. Appliquée sans discernement à une classification fausse, une recommandation d'archivage revient à archiver par erreur une donnée encore utile, voire réglementairement sensible. Savoir distinguer une classification fiable d'une classification à vérifier n'est donc pas un détail de confort ; c'est la compétence centrale de cette session.</w:t>
      </w:r>
    </w:p>
    <w:p>
      <w:r>
        <w:t xml:space="preserve">Le programme tient en trois points : naviguer dans le dashboard, comprendre chaque indicateur, et surtout savoir quand se fier à une classification et quand la réviser.</w:t>
      </w:r>
    </w:p>
    <w:p>
      <w:pPr>
        <w:pStyle w:val="Titre2"/>
      </w:pPr>
      <w:r>
        <w:t xml:space="preserve">2. Objectifs pédagogiques</w:t>
      </w:r>
    </w:p>
    <w:p>
      <w:r>
        <w:t xml:space="preserve">À l'issue de la session, vous serez capable de :</w:t>
      </w:r>
    </w:p>
    <w:tbl>
      <w:tblPr>
        <w:tblStyle w:val="Grilleclaire-Accent1"/>
        <w:tblW w:w="8640" w:type="dxa"/>
        <w:jc w:val="center"/>
        <w:tblLayout w:type="fixed"/>
        <w:tblLook w:val="04A0" w:firstRow="1" w:lastRow="0" w:firstColumn="1" w:lastColumn="0" w:noHBand="0" w:noVBand="1"/>
      </w:tblPr>
      <w:tblGrid>
        <w:gridCol w:w="1371"/>
        <w:gridCol w:w="5582"/>
        <w:gridCol w:w="1687"/>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t xml:space="preserve">N°</w:t>
            </w:r>
          </w:p>
        </w:tc>
        <w:tc>
          <w:tcPr>
            <w:tcW w:w="5582" w:type="dxa"/>
          </w:tcPr>
          <w:p>
            <w:pPr>
              <w:spacing w:after="0" w:line="240" w:lineRule="auto"/>
              <w:jc w:val="left"/>
            </w:pPr>
            <w:r>
              <w:t xml:space="preserve">Objectif</w:t>
            </w:r>
          </w:p>
        </w:tc>
        <w:tc>
          <w:tcPr>
            <w:tcW w:w="1687" w:type="dxa"/>
          </w:tcPr>
          <w:p>
            <w:pPr>
              <w:spacing w:after="0" w:line="240" w:lineRule="auto"/>
              <w:jc w:val="left"/>
            </w:pPr>
            <w:r>
              <w:t xml:space="preserve">Module</w:t>
            </w:r>
          </w:p>
        </w:tc>
      </w:tr>
      <w:tr>
        <w:trPr>
          <w:cantSplit/>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rPr>
                <w:b/>
              </w:rPr>
              <w:t xml:space="preserve">O1</w:t>
            </w:r>
          </w:p>
        </w:tc>
        <w:tc>
          <w:tcPr>
            <w:tcW w:w="5582" w:type="dxa"/>
          </w:tcPr>
          <w:p>
            <w:pPr>
              <w:spacing w:after="0" w:line="240" w:lineRule="auto"/>
              <w:jc w:val="left"/>
            </w:pPr>
            <w:r>
              <w:rPr>
                <w:b/>
              </w:rPr>
              <w:t xml:space="preserve">Situer</w:t>
            </w:r>
            <w:r>
              <w:t xml:space="preserve"> l'outil : dire à quelles trois questions métier il répond</w:t>
            </w:r>
          </w:p>
        </w:tc>
        <w:tc>
          <w:tcPr>
            <w:tcW w:w="1687" w:type="dxa"/>
          </w:tcPr>
          <w:p>
            <w:pPr>
              <w:spacing w:after="0" w:line="240" w:lineRule="auto"/>
              <w:jc w:val="left"/>
            </w:pPr>
            <w:r>
              <w:t xml:space="preserve">1</w:t>
            </w:r>
          </w:p>
        </w:tc>
      </w:tr>
      <w:tr>
        <w:trPr>
          <w:cantSplit/>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rPr>
                <w:b/>
              </w:rPr>
              <w:t xml:space="preserve">O2</w:t>
            </w:r>
          </w:p>
        </w:tc>
        <w:tc>
          <w:tcPr>
            <w:tcW w:w="5582" w:type="dxa"/>
          </w:tcPr>
          <w:p>
            <w:pPr>
              <w:spacing w:after="0" w:line="240" w:lineRule="auto"/>
              <w:jc w:val="left"/>
            </w:pPr>
            <w:r>
              <w:rPr>
                <w:b/>
              </w:rPr>
              <w:t xml:space="preserve">Naviguer</w:t>
            </w:r>
            <w:r>
              <w:t xml:space="preserve"> seul dans les pages du dashboard et identifier le run affiché</w:t>
            </w:r>
          </w:p>
        </w:tc>
        <w:tc>
          <w:tcPr>
            <w:tcW w:w="1687" w:type="dxa"/>
          </w:tcPr>
          <w:p>
            <w:pPr>
              <w:spacing w:after="0" w:line="240" w:lineRule="auto"/>
              <w:jc w:val="left"/>
            </w:pPr>
            <w:r>
              <w:t xml:space="preserve">2</w:t>
            </w:r>
          </w:p>
        </w:tc>
      </w:tr>
      <w:tr>
        <w:trPr>
          <w:cantSplit/>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rPr>
                <w:b/>
              </w:rPr>
              <w:t xml:space="preserve">O3</w:t>
            </w:r>
          </w:p>
        </w:tc>
        <w:tc>
          <w:tcPr>
            <w:tcW w:w="5582" w:type="dxa"/>
          </w:tcPr>
          <w:p>
            <w:pPr>
              <w:spacing w:after="0" w:line="240" w:lineRule="auto"/>
              <w:jc w:val="left"/>
            </w:pPr>
            <w:r>
              <w:rPr>
                <w:b/>
              </w:rPr>
              <w:t xml:space="preserve">Interpréter</w:t>
            </w:r>
            <w:r>
              <w:t xml:space="preserve"> la répartition par domaine, la bande de confiance et le taux de revue — et expliquer pourquoi une confiance de 100 % serait suspecte</w:t>
            </w:r>
          </w:p>
        </w:tc>
        <w:tc>
          <w:tcPr>
            <w:tcW w:w="1687" w:type="dxa"/>
          </w:tcPr>
          <w:p>
            <w:pPr>
              <w:spacing w:after="0" w:line="240" w:lineRule="auto"/>
              <w:jc w:val="left"/>
            </w:pPr>
            <w:r>
              <w:t xml:space="preserve">3</w:t>
            </w:r>
          </w:p>
        </w:tc>
      </w:tr>
      <w:tr>
        <w:trPr>
          <w:cantSplit/>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rPr>
                <w:b/>
              </w:rPr>
              <w:t xml:space="preserve">O4</w:t>
            </w:r>
          </w:p>
        </w:tc>
        <w:tc>
          <w:tcPr>
            <w:tcW w:w="5582" w:type="dxa"/>
          </w:tcPr>
          <w:p>
            <w:pPr>
              <w:spacing w:after="0" w:line="240" w:lineRule="auto"/>
              <w:jc w:val="left"/>
            </w:pPr>
            <w:r>
              <w:rPr>
                <w:b/>
              </w:rPr>
              <w:t xml:space="preserve">Appliquer</w:t>
            </w:r>
            <w:r>
              <w:t xml:space="preserve"> le réflexe qualité : ne jamais valider un archivage sur une classification non revue</w:t>
            </w:r>
          </w:p>
        </w:tc>
        <w:tc>
          <w:tcPr>
            <w:tcW w:w="1687" w:type="dxa"/>
          </w:tcPr>
          <w:p>
            <w:pPr>
              <w:spacing w:after="0" w:line="240" w:lineRule="auto"/>
              <w:jc w:val="left"/>
            </w:pPr>
            <w:r>
              <w:t xml:space="preserve">4</w:t>
            </w:r>
          </w:p>
        </w:tc>
      </w:tr>
      <w:tr>
        <w:trPr>
          <w:cantSplit/>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rPr>
                <w:b/>
              </w:rPr>
              <w:t xml:space="preserve">O5</w:t>
            </w:r>
          </w:p>
        </w:tc>
        <w:tc>
          <w:tcPr>
            <w:tcW w:w="5582" w:type="dxa"/>
          </w:tcPr>
          <w:p>
            <w:pPr>
              <w:spacing w:after="0" w:line="240" w:lineRule="auto"/>
              <w:jc w:val="left"/>
            </w:pPr>
            <w:r>
              <w:rPr>
                <w:b/>
              </w:rPr>
              <w:t xml:space="preserve">Distinguer</w:t>
            </w:r>
            <w:r>
              <w:t xml:space="preserve"> les stratégies de conservation des stratégies d'archivage</w:t>
            </w:r>
          </w:p>
        </w:tc>
        <w:tc>
          <w:tcPr>
            <w:tcW w:w="1687" w:type="dxa"/>
          </w:tcPr>
          <w:p>
            <w:pPr>
              <w:spacing w:after="0" w:line="240" w:lineRule="auto"/>
              <w:jc w:val="left"/>
            </w:pPr>
            <w:r>
              <w:t xml:space="preserve">4</w:t>
            </w:r>
          </w:p>
        </w:tc>
      </w:tr>
      <w:tr>
        <w:trPr>
          <w:cantSplit/>
        </w:trPr>
        <w:tc>
          <w:tcPr>
            <w:cnfStyle w:val="001000000000" w:firstRow="0" w:lastRow="0" w:firstColumn="1" w:lastColumn="0" w:oddVBand="0" w:evenVBand="0" w:oddHBand="0" w:evenHBand="0" w:firstRowFirstColumn="0" w:firstRowLastColumn="0" w:lastRowFirstColumn="0" w:lastRowLastColumn="0"/>
            <w:tcW w:w="1371" w:type="dxa"/>
          </w:tcPr>
          <w:p>
            <w:pPr>
              <w:spacing w:after="0" w:line="240" w:lineRule="auto"/>
              <w:jc w:val="left"/>
            </w:pPr>
            <w:r>
              <w:rPr>
                <w:b/>
              </w:rPr>
              <w:t xml:space="preserve">O6</w:t>
            </w:r>
          </w:p>
        </w:tc>
        <w:tc>
          <w:tcPr>
            <w:tcW w:w="5582" w:type="dxa"/>
          </w:tcPr>
          <w:p>
            <w:pPr>
              <w:spacing w:after="0" w:line="240" w:lineRule="auto"/>
              <w:jc w:val="left"/>
            </w:pPr>
            <w:r>
              <w:rPr>
                <w:b/>
              </w:rPr>
              <w:t xml:space="preserve">Exporter</w:t>
            </w:r>
            <w:r>
              <w:t xml:space="preserve"> un résultat via la Console SQL ou l'export Excel</w:t>
            </w:r>
          </w:p>
        </w:tc>
        <w:tc>
          <w:tcPr>
            <w:tcW w:w="1687" w:type="dxa"/>
          </w:tcPr>
          <w:p>
            <w:pPr>
              <w:spacing w:after="0" w:line="240" w:lineRule="auto"/>
              <w:jc w:val="left"/>
            </w:pPr>
            <w:r>
              <w:t xml:space="preserve">5</w:t>
            </w:r>
          </w:p>
        </w:tc>
      </w:tr>
    </w:tbl>
    <w:p>
      <w:pPr>
        <w:spacing w:after="0" w:line="120" w:lineRule="exact"/>
      </w:pPr>
    </w:p>
    <w:p>
      <w:pPr>
        <w:pStyle w:val="Titre3"/>
      </w:pPr>
      <w:r>
        <w:t xml:space="preserve">À qui s'adresse quoi</w:t>
      </w:r>
    </w:p>
    <w:tbl>
      <w:tblPr>
        <w:tblStyle w:val="Grilleclaire-Accent1"/>
        <w:tblW w:w="8640" w:type="dxa"/>
        <w:jc w:val="center"/>
        <w:tblLayout w:type="fixed"/>
        <w:tblLook w:val="04A0" w:firstRow="1" w:lastRow="0" w:firstColumn="1" w:lastColumn="0" w:noHBand="0" w:noVBand="1"/>
      </w:tblPr>
      <w:tblGrid>
        <w:gridCol w:w="2200"/>
        <w:gridCol w:w="3115"/>
        <w:gridCol w:w="3325"/>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200" w:type="dxa"/>
          </w:tcPr>
          <w:p>
            <w:pPr>
              <w:spacing w:after="0" w:line="240" w:lineRule="auto"/>
              <w:jc w:val="left"/>
            </w:pPr>
            <w:r>
              <w:t xml:space="preserve">Vous êtes…</w:t>
            </w:r>
          </w:p>
        </w:tc>
        <w:tc>
          <w:tcPr>
            <w:tcW w:w="3115" w:type="dxa"/>
          </w:tcPr>
          <w:p>
            <w:pPr>
              <w:spacing w:after="0" w:line="240" w:lineRule="auto"/>
              <w:jc w:val="left"/>
            </w:pPr>
            <w:r>
              <w:t xml:space="preserve">Ce qui vous concerne en priorité</w:t>
            </w:r>
          </w:p>
        </w:tc>
        <w:tc>
          <w:tcPr>
            <w:tcW w:w="3325" w:type="dxa"/>
          </w:tcPr>
          <w:p>
            <w:pPr>
              <w:spacing w:after="0" w:line="240" w:lineRule="auto"/>
              <w:jc w:val="left"/>
            </w:pPr>
            <w:r>
              <w:t xml:space="preserve">Ce que vous risquez si vous sautez cette partie</w:t>
            </w:r>
          </w:p>
        </w:tc>
      </w:tr>
      <w:tr>
        <w:trPr>
          <w:cantSplit/>
        </w:trPr>
        <w:tc>
          <w:tcPr>
            <w:cnfStyle w:val="001000000000" w:firstRow="0" w:lastRow="0" w:firstColumn="1" w:lastColumn="0" w:oddVBand="0" w:evenVBand="0" w:oddHBand="0" w:evenHBand="0" w:firstRowFirstColumn="0" w:firstRowLastColumn="0" w:lastRowFirstColumn="0" w:lastRowLastColumn="0"/>
            <w:tcW w:w="2200" w:type="dxa"/>
          </w:tcPr>
          <w:p>
            <w:pPr>
              <w:spacing w:after="0" w:line="240" w:lineRule="auto"/>
              <w:jc w:val="left"/>
            </w:pPr>
            <w:r>
              <w:rPr>
                <w:b/>
              </w:rPr>
              <w:t xml:space="preserve">Analyste de gouvernance</w:t>
            </w:r>
          </w:p>
        </w:tc>
        <w:tc>
          <w:tcPr>
            <w:tcW w:w="3115" w:type="dxa"/>
          </w:tcPr>
          <w:p>
            <w:pPr>
              <w:spacing w:after="0" w:line="240" w:lineRule="auto"/>
              <w:jc w:val="left"/>
            </w:pPr>
            <w:r>
              <w:t xml:space="preserve">Modules 2, 3, 5 — naviguer, interpréter, exporter</w:t>
            </w:r>
          </w:p>
        </w:tc>
        <w:tc>
          <w:tcPr>
            <w:tcW w:w="3325" w:type="dxa"/>
          </w:tcPr>
          <w:p>
            <w:pPr>
              <w:spacing w:after="0" w:line="240" w:lineRule="auto"/>
              <w:jc w:val="left"/>
            </w:pPr>
            <w:r>
              <w:t xml:space="preserve">Retour au tableur manuel, outil sous-utilisé</w:t>
            </w:r>
          </w:p>
        </w:tc>
      </w:tr>
      <w:tr>
        <w:trPr>
          <w:cantSplit/>
        </w:trPr>
        <w:tc>
          <w:tcPr>
            <w:cnfStyle w:val="001000000000" w:firstRow="0" w:lastRow="0" w:firstColumn="1" w:lastColumn="0" w:oddVBand="0" w:evenVBand="0" w:oddHBand="0" w:evenHBand="0" w:firstRowFirstColumn="0" w:firstRowLastColumn="0" w:lastRowFirstColumn="0" w:lastRowLastColumn="0"/>
            <w:tcW w:w="2200" w:type="dxa"/>
          </w:tcPr>
          <w:p>
            <w:pPr>
              <w:spacing w:after="0" w:line="240" w:lineRule="auto"/>
              <w:jc w:val="left"/>
            </w:pPr>
            <w:r>
              <w:rPr>
                <w:b/>
              </w:rPr>
              <w:t xml:space="preserve">Référent métier</w:t>
            </w:r>
          </w:p>
        </w:tc>
        <w:tc>
          <w:tcPr>
            <w:tcW w:w="3115" w:type="dxa"/>
          </w:tcPr>
          <w:p>
            <w:pPr>
              <w:spacing w:after="0" w:line="240" w:lineRule="auto"/>
              <w:jc w:val="left"/>
            </w:pPr>
            <w:r>
              <w:t xml:space="preserve">Modules 3 et 4 — confiance et réflexe qualité</w:t>
            </w:r>
          </w:p>
        </w:tc>
        <w:tc>
          <w:tcPr>
            <w:tcW w:w="3325" w:type="dxa"/>
          </w:tcPr>
          <w:p>
            <w:pPr>
              <w:spacing w:after="0" w:line="240" w:lineRule="auto"/>
              <w:jc w:val="left"/>
            </w:pPr>
            <w:r>
              <w:rPr>
                <w:b/>
              </w:rPr>
              <w:t xml:space="preserve">Décision d'archivage sur une classification fausse</w:t>
            </w:r>
          </w:p>
        </w:tc>
      </w:tr>
      <w:tr>
        <w:trPr>
          <w:cantSplit/>
        </w:trPr>
        <w:tc>
          <w:tcPr>
            <w:cnfStyle w:val="001000000000" w:firstRow="0" w:lastRow="0" w:firstColumn="1" w:lastColumn="0" w:oddVBand="0" w:evenVBand="0" w:oddHBand="0" w:evenHBand="0" w:firstRowFirstColumn="0" w:firstRowLastColumn="0" w:lastRowFirstColumn="0" w:lastRowLastColumn="0"/>
            <w:tcW w:w="2200" w:type="dxa"/>
          </w:tcPr>
          <w:p>
            <w:pPr>
              <w:spacing w:after="0" w:line="240" w:lineRule="auto"/>
              <w:jc w:val="left"/>
            </w:pPr>
            <w:r>
              <w:rPr>
                <w:b/>
              </w:rPr>
              <w:t xml:space="preserve">Décideur / DSI</w:t>
            </w:r>
          </w:p>
        </w:tc>
        <w:tc>
          <w:tcPr>
            <w:tcW w:w="3115" w:type="dxa"/>
          </w:tcPr>
          <w:p>
            <w:pPr>
              <w:spacing w:after="0" w:line="240" w:lineRule="auto"/>
              <w:jc w:val="left"/>
            </w:pPr>
            <w:r>
              <w:t xml:space="preserve">Module 1 et l'encadré « échelle des montants » du module 3</w:t>
            </w:r>
          </w:p>
        </w:tc>
        <w:tc>
          <w:tcPr>
            <w:tcW w:w="3325" w:type="dxa"/>
          </w:tcPr>
          <w:p>
            <w:pPr>
              <w:spacing w:after="0" w:line="240" w:lineRule="auto"/>
              <w:jc w:val="left"/>
            </w:pPr>
            <w:r>
              <w:t xml:space="preserve">Conclusion erronée sur les montants affichés</w:t>
            </w:r>
          </w:p>
        </w:tc>
      </w:tr>
    </w:tbl>
    <w:p>
      <w:pPr>
        <w:spacing w:after="0" w:line="120" w:lineRule="exact"/>
      </w:pPr>
    </w:p>
    <w:p>
      <w:pPr>
        <w:pStyle w:val="Titre2"/>
      </w:pPr>
      <w:r>
        <w:t xml:space="preserve">3. Les six modules</w:t>
      </w:r>
    </w:p>
    <w:p>
      <w:pPr>
        <w:pStyle w:val="Titre3"/>
      </w:pPr>
      <w:r>
        <w:t xml:space="preserve">Module 1 — À quoi sert l'outil ? </w:t>
      </w:r>
      <w:r>
        <w:rPr>
          <w:i/>
        </w:rPr>
        <w:t xml:space="preserve">(5 min · objectif O1)</w:t>
      </w:r>
    </w:p>
    <w:p>
      <w:r>
        <w:t xml:space="preserve">Notre ERP PeopleSoft contient des </w:t>
      </w:r>
      <w:r>
        <w:rPr>
          <w:b/>
        </w:rPr>
        <w:t xml:space="preserve">dizaines de milliers de tables</w:t>
      </w:r>
      <w:r>
        <w:t xml:space="preserve"> aux noms techniques (</w:t>
      </w:r>
      <w:r>
        <w:rPr>
          <w:rFonts w:ascii="Consolas" w:hAnsi="Consolas"/>
          <w:sz w:val="18"/>
        </w:rPr>
        <w:t xml:space="preserve">PS_JRNL_HEADER</w:t>
      </w:r>
      <w:r>
        <w:t xml:space="preserve">, </w:t>
      </w:r>
      <w:r>
        <w:rPr>
          <w:rFonts w:ascii="Consolas" w:hAnsi="Consolas"/>
          <w:sz w:val="18"/>
        </w:rPr>
        <w:t xml:space="preserve">PS_JOB</w:t>
      </w:r>
      <w:r>
        <w:t xml:space="preserve">…) que personne ne peut toutes connaître. L'outil répond à trois questions concrètes :</w:t>
      </w:r>
    </w:p>
    <w:tbl>
      <w:tblPr>
        <w:tblStyle w:val="Grilleclaire-Accent1"/>
        <w:tblW w:w="8640" w:type="dxa"/>
        <w:jc w:val="center"/>
        <w:tblLayout w:type="fixed"/>
        <w:tblLook w:val="04A0" w:firstRow="1" w:lastRow="0" w:firstColumn="1" w:lastColumn="0" w:noHBand="0" w:noVBand="1"/>
      </w:tblPr>
      <w:tblGrid>
        <w:gridCol w:w="3762"/>
        <w:gridCol w:w="4878"/>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3762" w:type="dxa"/>
          </w:tcPr>
          <w:p>
            <w:pPr>
              <w:spacing w:after="0" w:line="240" w:lineRule="auto"/>
              <w:jc w:val="left"/>
            </w:pPr>
            <w:r>
              <w:t xml:space="preserve">La question métier</w:t>
            </w:r>
          </w:p>
        </w:tc>
        <w:tc>
          <w:tcPr>
            <w:tcW w:w="4878" w:type="dxa"/>
          </w:tcPr>
          <w:p>
            <w:pPr>
              <w:spacing w:after="0" w:line="240" w:lineRule="auto"/>
              <w:jc w:val="left"/>
            </w:pPr>
            <w:r>
              <w:t xml:space="preserve">Ce que l'outil donne</w:t>
            </w:r>
          </w:p>
        </w:tc>
      </w:tr>
      <w:tr>
        <w:trPr>
          <w:cantSplit/>
        </w:trPr>
        <w:tc>
          <w:tcPr>
            <w:cnfStyle w:val="001000000000" w:firstRow="0" w:lastRow="0" w:firstColumn="1" w:lastColumn="0" w:oddVBand="0" w:evenVBand="0" w:oddHBand="0" w:evenHBand="0" w:firstRowFirstColumn="0" w:firstRowLastColumn="0" w:lastRowFirstColumn="0" w:lastRowLastColumn="0"/>
            <w:tcW w:w="3762" w:type="dxa"/>
          </w:tcPr>
          <w:p>
            <w:pPr>
              <w:spacing w:after="0" w:line="240" w:lineRule="auto"/>
              <w:jc w:val="left"/>
            </w:pPr>
            <w:r>
              <w:t xml:space="preserve">« Cette table, c'est quel métier ? »</w:t>
            </w:r>
          </w:p>
        </w:tc>
        <w:tc>
          <w:tcPr>
            <w:tcW w:w="4878" w:type="dxa"/>
          </w:tcPr>
          <w:p>
            <w:pPr>
              <w:spacing w:after="0" w:line="240" w:lineRule="auto"/>
              <w:jc w:val="left"/>
            </w:pPr>
            <w:r>
              <w:t xml:space="preserve">Une </w:t>
            </w:r>
            <w:r>
              <w:rPr>
                <w:b/>
              </w:rPr>
              <w:t xml:space="preserve">classification automatique</w:t>
            </w:r>
            <w:r>
              <w:t xml:space="preserve"> par domaine (Finance, RH, Achats…), </w:t>
            </w:r>
            <w:r>
              <w:rPr>
                <w:b/>
              </w:rPr>
              <w:t xml:space="preserve">avec un niveau de confiance</w:t>
            </w:r>
          </w:p>
        </w:tc>
      </w:tr>
      <w:tr>
        <w:trPr>
          <w:cantSplit/>
        </w:trPr>
        <w:tc>
          <w:tcPr>
            <w:cnfStyle w:val="001000000000" w:firstRow="0" w:lastRow="0" w:firstColumn="1" w:lastColumn="0" w:oddVBand="0" w:evenVBand="0" w:oddHBand="0" w:evenHBand="0" w:firstRowFirstColumn="0" w:firstRowLastColumn="0" w:lastRowFirstColumn="0" w:lastRowLastColumn="0"/>
            <w:tcW w:w="3762" w:type="dxa"/>
          </w:tcPr>
          <w:p>
            <w:pPr>
              <w:spacing w:after="0" w:line="240" w:lineRule="auto"/>
              <w:jc w:val="left"/>
            </w:pPr>
            <w:r>
              <w:t xml:space="preserve">« Combien coûte tout ça ? »</w:t>
            </w:r>
          </w:p>
        </w:tc>
        <w:tc>
          <w:tcPr>
            <w:tcW w:w="4878" w:type="dxa"/>
          </w:tcPr>
          <w:p>
            <w:pPr>
              <w:spacing w:after="0" w:line="240" w:lineRule="auto"/>
              <w:jc w:val="left"/>
            </w:pPr>
            <w:r>
              <w:t xml:space="preserve">Le </w:t>
            </w:r>
            <w:r>
              <w:rPr>
                <w:b/>
              </w:rPr>
              <w:t xml:space="preserve">coût de stockage</w:t>
            </w:r>
            <w:r>
              <w:t xml:space="preserve"> par domaine, calculé sur des tarifs réels</w:t>
            </w:r>
          </w:p>
        </w:tc>
      </w:tr>
      <w:tr>
        <w:trPr>
          <w:cantSplit/>
        </w:trPr>
        <w:tc>
          <w:tcPr>
            <w:cnfStyle w:val="001000000000" w:firstRow="0" w:lastRow="0" w:firstColumn="1" w:lastColumn="0" w:oddVBand="0" w:evenVBand="0" w:oddHBand="0" w:evenHBand="0" w:firstRowFirstColumn="0" w:firstRowLastColumn="0" w:lastRowFirstColumn="0" w:lastRowLastColumn="0"/>
            <w:tcW w:w="3762" w:type="dxa"/>
          </w:tcPr>
          <w:p>
            <w:pPr>
              <w:spacing w:after="0" w:line="240" w:lineRule="auto"/>
              <w:jc w:val="left"/>
            </w:pPr>
            <w:r>
              <w:t xml:space="preserve">« Qu'est-ce que je peux archiver ? »</w:t>
            </w:r>
          </w:p>
        </w:tc>
        <w:tc>
          <w:tcPr>
            <w:tcW w:w="4878" w:type="dxa"/>
          </w:tcPr>
          <w:p>
            <w:pPr>
              <w:spacing w:after="0" w:line="240" w:lineRule="auto"/>
              <w:jc w:val="left"/>
            </w:pPr>
            <w:r>
              <w:t xml:space="preserve">Une liste </w:t>
            </w:r>
            <w:r>
              <w:rPr>
                <w:b/>
              </w:rPr>
              <w:t xml:space="preserve">priorisée</w:t>
            </w:r>
            <w:r>
              <w:t xml:space="preserve"> de candidats, avec la stratégie recommandée et le gain estimé</w:t>
            </w:r>
          </w:p>
        </w:tc>
      </w:tr>
    </w:tbl>
    <w:p>
      <w:pPr>
        <w:spacing w:after="0" w:line="120" w:lineRule="exact"/>
      </w:pPr>
    </w:p>
    <w:p>
      <w:r>
        <w:rPr>
          <w:b/>
        </w:rPr>
        <w:t xml:space="preserve">Les chiffres de référence (run 9)</w:t>
      </w:r>
      <w:r>
        <w:t xml:space="preserve"> : 167 260 actifs classés · 7 domaines métier · 7,84 Go de volumétrie mesurée.</w:t>
      </w:r>
    </w:p>
    <w:p>
      <w:pPr>
        <w:spacing w:before="120" w:after="120"/>
        <w:ind w:left="240"/>
      </w:pPr>
      <w:r>
        <w:rPr>
          <w:b/>
          <w:i/>
          <w:color w:val="4B5563"/>
        </w:rPr>
        <w:t xml:space="preserve">À retenir.</w:t>
      </w:r>
      <w:r>
        <w:rPr>
          <w:i/>
          <w:color w:val="4B5563"/>
        </w:rPr>
        <w:t xml:space="preserve"> L'outil ne décide pas à votre place : il éclaire la décision avec des chiffres. La décision, et sa trace, restent les vôtres.</w:t>
      </w:r>
    </w:p>
    <w:p>
      <w:pPr>
        <w:pStyle w:val="Titre3"/>
      </w:pPr>
      <w:r>
        <w:t xml:space="preserve">Module 2 — Visite guidée du dashboard </w:t>
      </w:r>
      <w:r>
        <w:rPr>
          <w:i/>
        </w:rPr>
        <w:t xml:space="preserve">(10 min · objectif O2)</w:t>
      </w:r>
    </w:p>
    <w:p>
      <w:r>
        <w:t xml:space="preserve">Le dashboard s'ouvre dans le navigateur — rien à installer. Le menu de gauche donne accès aux pages clés :</w:t>
      </w:r>
    </w:p>
    <w:p>
      <w:pPr>
        <w:pStyle w:val="Listenumros"/>
        <w:numPr>
          <w:ilvl w:val="0"/>
          <w:numId w:val="200"/>
        </w:numPr>
      </w:pPr>
      <w:r>
        <w:rPr>
          <w:b/>
        </w:rPr>
        <w:t xml:space="preserve">Vue d'ensemble</w:t>
      </w:r>
      <w:r>
        <w:t xml:space="preserve"> — les grands chiffres du patrimoine (actifs, domaines, coût total, économie possible) et la répartition par domaine.</w:t>
      </w:r>
    </w:p>
    <w:p>
      <w:pPr>
        <w:pStyle w:val="Listenumros"/>
        <w:numPr>
          <w:ilvl w:val="0"/>
          <w:numId w:val="200"/>
        </w:numPr>
      </w:pPr>
      <w:r>
        <w:rPr>
          <w:b/>
        </w:rPr>
        <w:t xml:space="preserve">Domaines</w:t>
      </w:r>
      <w:r>
        <w:t xml:space="preserve"> — le détail par objet métier : volumétrie, score d'archivage, qualité des données.</w:t>
      </w:r>
    </w:p>
    <w:p>
      <w:pPr>
        <w:pStyle w:val="Listenumros"/>
        <w:numPr>
          <w:ilvl w:val="0"/>
          <w:numId w:val="200"/>
        </w:numPr>
      </w:pPr>
      <w:r>
        <w:rPr>
          <w:b/>
        </w:rPr>
        <w:t xml:space="preserve">Clés partagées</w:t>
      </w:r>
      <w:r>
        <w:t xml:space="preserve"> — les liens entre tables, utiles pour comprendre les dépendances.</w:t>
      </w:r>
    </w:p>
    <w:p>
      <w:pPr>
        <w:pStyle w:val="Listenumros"/>
        <w:numPr>
          <w:ilvl w:val="0"/>
          <w:numId w:val="200"/>
        </w:numPr>
      </w:pPr>
      <w:r>
        <w:rPr>
          <w:b/>
        </w:rPr>
        <w:t xml:space="preserve">Archivage</w:t>
      </w:r>
      <w:r>
        <w:t xml:space="preserve"> — les recommandations, filtrables par domaine et par stratégie.</w:t>
      </w:r>
    </w:p>
    <w:p>
      <w:pPr>
        <w:pStyle w:val="Listenumros"/>
        <w:numPr>
          <w:ilvl w:val="0"/>
          <w:numId w:val="200"/>
        </w:numPr>
      </w:pPr>
      <w:r>
        <w:rPr>
          <w:b/>
        </w:rPr>
        <w:t xml:space="preserve">Coûts &amp; ROI</w:t>
      </w:r>
      <w:r>
        <w:t xml:space="preserve"> — répartition des coûts, Pareto et projection de retour sur investissement.</w:t>
      </w:r>
    </w:p>
    <w:p>
      <w:pPr>
        <w:pStyle w:val="Listenumros"/>
        <w:numPr>
          <w:ilvl w:val="0"/>
          <w:numId w:val="200"/>
        </w:numPr>
      </w:pPr>
      <w:r>
        <w:rPr>
          <w:b/>
        </w:rPr>
        <w:t xml:space="preserve">Pipelines</w:t>
      </w:r>
      <w:r>
        <w:t xml:space="preserve"> — l'état des traitements.</w:t>
      </w:r>
    </w:p>
    <w:p>
      <w:pPr>
        <w:pStyle w:val="Listenumros"/>
        <w:numPr>
          <w:ilvl w:val="0"/>
          <w:numId w:val="200"/>
        </w:numPr>
      </w:pPr>
      <w:r>
        <w:rPr>
          <w:b/>
        </w:rPr>
        <w:t xml:space="preserve">Paramètres</w:t>
      </w:r>
      <w:r>
        <w:t xml:space="preserve"> — la configuration du run affiché.</w:t>
      </w:r>
    </w:p>
    <w:p>
      <w:pPr>
        <w:pStyle w:val="Listenumros"/>
        <w:numPr>
          <w:ilvl w:val="0"/>
          <w:numId w:val="200"/>
        </w:numPr>
      </w:pPr>
      <w:r>
        <w:rPr>
          <w:b/>
        </w:rPr>
        <w:t xml:space="preserve">Console SQL</w:t>
      </w:r>
      <w:r>
        <w:t xml:space="preserve"> — pour poser vos propres questions à la base, </w:t>
      </w:r>
      <w:r>
        <w:rPr>
          <w:b/>
        </w:rPr>
        <w:t xml:space="preserve">en lecture seule</w:t>
      </w:r>
      <w:r>
        <w:t xml:space="preserve">.</w:t>
      </w:r>
    </w:p>
    <w:p>
      <w:pPr>
        <w:pStyle w:val="Listenumros"/>
        <w:numPr>
          <w:ilvl w:val="0"/>
          <w:numId w:val="200"/>
        </w:numPr>
      </w:pPr>
      <w:r>
        <w:rPr>
          <w:b/>
        </w:rPr>
        <w:t xml:space="preserve">Test du modèle</w:t>
      </w:r>
      <w:r>
        <w:t xml:space="preserve"> — pour soumettre les métadonnées d'une table et voir la prédiction en direct.</w:t>
      </w:r>
    </w:p>
    <w:p>
      <w:pPr>
        <w:spacing w:before="120" w:after="120"/>
        <w:ind w:left="240"/>
      </w:pPr>
      <w:r>
        <w:rPr>
          <w:b/>
          <w:i/>
          <w:color w:val="4B5563"/>
        </w:rPr>
        <w:t xml:space="preserve">Le réflexe à prendre dès le premier écran.</w:t>
      </w:r>
      <w:r>
        <w:rPr>
          <w:i/>
          <w:color w:val="4B5563"/>
        </w:rPr>
        <w:t xml:space="preserve"> En haut à gauche s'affiche le numéro de run, « Run actif #9 ». C'est l'exécution que vous consultez, et deux chiffres issus de deux runs différents ne se comparent pas. Sur la page « Test du modèle », ce badge est remplacé par l'état de la connexion : cette page ne lit aucun run, elle interroge le modèle en direct. Le bouton « Rafraîchir les données » recharge les chiffres du dernier calcul.</w:t>
      </w:r>
    </w:p>
    <w:p>
      <w:pPr>
        <w:spacing w:before="120" w:after="60"/>
        <w:jc w:val="center"/>
      </w:pPr>
      <w:r>
        <w:drawing>
          <wp:inline distT="0" distB="0" distL="0" distR="0">
            <wp:extent cx="2902821" cy="3310128"/>
            <wp:effectExtent l="0" t="0" r="0" b="0"/>
            <wp:docPr id="101" name="Image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Dashboard.png"/>
                    <pic:cNvPicPr/>
                  </pic:nvPicPr>
                  <pic:blipFill>
                    <a:blip r:embed="rIdImg1"/>
                    <a:stretch>
                      <a:fillRect/>
                    </a:stretch>
                  </pic:blipFill>
                  <pic:spPr>
                    <a:xfrm>
                      <a:off x="0" y="0"/>
                      <a:ext cx="2902821" cy="3310128"/>
                    </a:xfrm>
                    <a:prstGeom prst="rect">
                      <a:avLst/>
                    </a:prstGeom>
                  </pic:spPr>
                </pic:pic>
              </a:graphicData>
            </a:graphic>
          </wp:inline>
        </w:drawing>
      </w:r>
    </w:p>
    <w:p>
      <w:pPr>
        <w:spacing w:after="200"/>
        <w:jc w:val="center"/>
        <w:ind w:left="480" w:right="480"/>
      </w:pPr>
      <w:r>
        <w:rPr>
          <w:i/>
          <w:color w:val="4B5563"/>
          <w:sz w:val="17"/>
          <w:szCs w:val="17"/>
        </w:rPr>
        <w:t xml:space="preserve">Page « Vue d'ensemble » : les cinq indicateurs clés en haut, la répartition des actifs par domaine (anneau) et le volume stocké par domaine (barres), puis la synthèse des recommandations d'archivage. Le numéro de run actif est visible en haut à gauche.</w:t>
      </w:r>
    </w:p>
    <w:p>
      <w:r>
        <w:rPr>
          <w:b/>
        </w:rPr>
        <w:t xml:space="preserve">Exercice guidé (2 min).</w:t>
      </w:r>
      <w:r>
        <w:t xml:space="preserve"> Sur la page Vue d'ensemble, répondez à trois questions. Quel domaine compte le plus d'actifs ? Quel domaine occupe le plus de volume ? Est-ce le même ? La réponse à la troisième question amène directement au module suivant.</w:t>
      </w:r>
    </w:p>
    <w:p>
      <w:pPr>
        <w:pStyle w:val="Titre3"/>
      </w:pPr>
      <w:r>
        <w:t xml:space="preserve">Module 3 — Lire un indicateur sans se tromper </w:t>
      </w:r>
      <w:r>
        <w:rPr>
          <w:i/>
        </w:rPr>
        <w:t xml:space="preserve">(10 min · objectif O3)</w:t>
      </w:r>
    </w:p>
    <w:p>
      <w:r>
        <w:t xml:space="preserve">Quatre points méritent une explication, car ils sont régulièrement mal interprétés.</w:t>
      </w:r>
    </w:p>
    <w:p>
      <w:pPr>
        <w:pStyle w:val="Titre4"/>
      </w:pPr>
      <w:r>
        <w:t xml:space="preserve">3.1 La répartition par domaine — attention, deux classements différents</w:t>
      </w:r>
    </w:p>
    <w:p>
      <w:r>
        <w:t xml:space="preserve">L'anneau montre le </w:t>
      </w:r>
      <w:r>
        <w:rPr>
          <w:b/>
        </w:rPr>
        <w:t xml:space="preserve">nombre d'actifs</w:t>
      </w:r>
      <w:r>
        <w:t xml:space="preserve"> par domaine. Les barres montrent le </w:t>
      </w:r>
      <w:r>
        <w:rPr>
          <w:b/>
        </w:rPr>
        <w:t xml:space="preserve">volume stocké</w:t>
      </w:r>
      <w:r>
        <w:t xml:space="preserve">. </w:t>
      </w:r>
      <w:r>
        <w:rPr>
          <w:b/>
        </w:rPr>
        <w:t xml:space="preserve">Les deux classements ne sont pas les mêmes</w:t>
      </w:r>
      <w:r>
        <w:t xml:space="preserve">, et c'est le résultat le plus important de l'analyse :</w:t>
      </w:r>
    </w:p>
    <w:tbl>
      <w:tblPr>
        <w:tblStyle w:val="Grilleclaire-Accent1"/>
        <w:tblW w:w="8640" w:type="dxa"/>
        <w:jc w:val="center"/>
        <w:tblLayout w:type="fixed"/>
        <w:tblLook w:val="04A0" w:firstRow="1" w:lastRow="0" w:firstColumn="1" w:lastColumn="0" w:noHBand="0" w:noVBand="1"/>
      </w:tblPr>
      <w:tblGrid>
        <w:gridCol w:w="2912"/>
        <w:gridCol w:w="3165"/>
        <w:gridCol w:w="256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2912" w:type="dxa"/>
          </w:tcPr>
          <w:p>
            <w:pPr>
              <w:spacing w:after="0" w:line="240" w:lineRule="auto"/>
              <w:jc w:val="left"/>
            </w:pPr>
          </w:p>
        </w:tc>
        <w:tc>
          <w:tcPr>
            <w:tcW w:w="3165" w:type="dxa"/>
          </w:tcPr>
          <w:p>
            <w:pPr>
              <w:spacing w:after="0" w:line="240" w:lineRule="auto"/>
              <w:jc w:val="left"/>
            </w:pPr>
            <w:r>
              <w:t xml:space="preserve">Finance &amp; Contrôle</w:t>
            </w:r>
          </w:p>
        </w:tc>
        <w:tc>
          <w:tcPr>
            <w:tcW w:w="2563" w:type="dxa"/>
          </w:tcPr>
          <w:p>
            <w:pPr>
              <w:spacing w:after="0" w:line="240" w:lineRule="auto"/>
              <w:jc w:val="left"/>
            </w:pPr>
            <w:r>
              <w:t xml:space="preserve">IT &amp; Sécurité</w:t>
            </w:r>
          </w:p>
        </w:tc>
      </w:tr>
      <w:tr>
        <w:trPr>
          <w:cantSplit/>
        </w:trPr>
        <w:tc>
          <w:tcPr>
            <w:cnfStyle w:val="001000000000" w:firstRow="0" w:lastRow="0" w:firstColumn="1" w:lastColumn="0" w:oddVBand="0" w:evenVBand="0" w:oddHBand="0" w:evenHBand="0" w:firstRowFirstColumn="0" w:firstRowLastColumn="0" w:lastRowFirstColumn="0" w:lastRowLastColumn="0"/>
            <w:tcW w:w="2912" w:type="dxa"/>
          </w:tcPr>
          <w:p>
            <w:pPr>
              <w:spacing w:after="0" w:line="240" w:lineRule="auto"/>
              <w:jc w:val="left"/>
            </w:pPr>
            <w:r>
              <w:t xml:space="preserve">Part des </w:t>
            </w:r>
            <w:r>
              <w:rPr>
                <w:b/>
              </w:rPr>
              <w:t xml:space="preserve">actifs</w:t>
            </w:r>
          </w:p>
        </w:tc>
        <w:tc>
          <w:tcPr>
            <w:tcW w:w="3165" w:type="dxa"/>
          </w:tcPr>
          <w:p>
            <w:pPr>
              <w:spacing w:after="0" w:line="240" w:lineRule="auto"/>
              <w:jc w:val="left"/>
            </w:pPr>
            <w:r>
              <w:rPr>
                <w:b/>
              </w:rPr>
              <w:t xml:space="preserve">45,1 %</w:t>
            </w:r>
          </w:p>
        </w:tc>
        <w:tc>
          <w:tcPr>
            <w:tcW w:w="2563" w:type="dxa"/>
          </w:tcPr>
          <w:p>
            <w:pPr>
              <w:spacing w:after="0" w:line="240" w:lineRule="auto"/>
              <w:jc w:val="left"/>
            </w:pPr>
            <w:r>
              <w:t xml:space="preserve">21,1 %</w:t>
            </w:r>
          </w:p>
        </w:tc>
      </w:tr>
      <w:tr>
        <w:trPr>
          <w:cantSplit/>
        </w:trPr>
        <w:tc>
          <w:tcPr>
            <w:cnfStyle w:val="001000000000" w:firstRow="0" w:lastRow="0" w:firstColumn="1" w:lastColumn="0" w:oddVBand="0" w:evenVBand="0" w:oddHBand="0" w:evenHBand="0" w:firstRowFirstColumn="0" w:firstRowLastColumn="0" w:lastRowFirstColumn="0" w:lastRowLastColumn="0"/>
            <w:tcW w:w="2912" w:type="dxa"/>
          </w:tcPr>
          <w:p>
            <w:pPr>
              <w:spacing w:after="0" w:line="240" w:lineRule="auto"/>
              <w:jc w:val="left"/>
            </w:pPr>
            <w:r>
              <w:t xml:space="preserve">Part du </w:t>
            </w:r>
            <w:r>
              <w:rPr>
                <w:b/>
              </w:rPr>
              <w:t xml:space="preserve">volume</w:t>
            </w:r>
          </w:p>
        </w:tc>
        <w:tc>
          <w:tcPr>
            <w:tcW w:w="3165" w:type="dxa"/>
          </w:tcPr>
          <w:p>
            <w:pPr>
              <w:spacing w:after="0" w:line="240" w:lineRule="auto"/>
              <w:jc w:val="left"/>
            </w:pPr>
            <w:r>
              <w:t xml:space="preserve">7,0 %</w:t>
            </w:r>
          </w:p>
        </w:tc>
        <w:tc>
          <w:tcPr>
            <w:tcW w:w="2563" w:type="dxa"/>
          </w:tcPr>
          <w:p>
            <w:pPr>
              <w:spacing w:after="0" w:line="240" w:lineRule="auto"/>
              <w:jc w:val="left"/>
            </w:pPr>
            <w:r>
              <w:rPr>
                <w:b/>
              </w:rPr>
              <w:t xml:space="preserve">85,3 %</w:t>
            </w:r>
          </w:p>
        </w:tc>
      </w:tr>
      <w:tr>
        <w:trPr>
          <w:cantSplit/>
        </w:trPr>
        <w:tc>
          <w:tcPr>
            <w:cnfStyle w:val="001000000000" w:firstRow="0" w:lastRow="0" w:firstColumn="1" w:lastColumn="0" w:oddVBand="0" w:evenVBand="0" w:oddHBand="0" w:evenHBand="0" w:firstRowFirstColumn="0" w:firstRowLastColumn="0" w:lastRowFirstColumn="0" w:lastRowLastColumn="0"/>
            <w:tcW w:w="2912" w:type="dxa"/>
          </w:tcPr>
          <w:p>
            <w:pPr>
              <w:spacing w:after="0" w:line="240" w:lineRule="auto"/>
              <w:jc w:val="left"/>
            </w:pPr>
            <w:r>
              <w:t xml:space="preserve">Part du </w:t>
            </w:r>
            <w:r>
              <w:rPr>
                <w:b/>
              </w:rPr>
              <w:t xml:space="preserve">coût</w:t>
            </w:r>
          </w:p>
        </w:tc>
        <w:tc>
          <w:tcPr>
            <w:tcW w:w="3165" w:type="dxa"/>
          </w:tcPr>
          <w:p>
            <w:pPr>
              <w:spacing w:after="0" w:line="240" w:lineRule="auto"/>
              <w:jc w:val="left"/>
            </w:pPr>
            <w:r>
              <w:t xml:space="preserve">7,2 %</w:t>
            </w:r>
          </w:p>
        </w:tc>
        <w:tc>
          <w:tcPr>
            <w:tcW w:w="2563" w:type="dxa"/>
          </w:tcPr>
          <w:p>
            <w:pPr>
              <w:spacing w:after="0" w:line="240" w:lineRule="auto"/>
              <w:jc w:val="left"/>
            </w:pPr>
            <w:r>
              <w:rPr>
                <w:b/>
              </w:rPr>
              <w:t xml:space="preserve">85,5 %</w:t>
            </w:r>
          </w:p>
        </w:tc>
      </w:tr>
    </w:tbl>
    <w:p>
      <w:pPr>
        <w:spacing w:after="0" w:line="120" w:lineRule="exact"/>
      </w:pPr>
    </w:p>
    <w:p>
      <w:pPr>
        <w:spacing w:before="120" w:after="120"/>
        <w:ind w:left="240"/>
      </w:pPr>
      <w:r>
        <w:rPr>
          <w:b/>
          <w:i/>
          <w:color w:val="4B5563"/>
        </w:rPr>
        <w:t xml:space="preserve">Idée fausse n° 1 : « le domaine le plus gros est celui qui coûte le plus ».</w:t>
      </w:r>
      <w:r>
        <w:rPr>
          <w:i/>
          <w:color w:val="4B5563"/>
        </w:rPr>
        <w:t xml:space="preserve"> Faux. Finance a beaucoup de tables, mais petites. IT &amp; Sécurité en a moins, mais énormes : des journaux et des tables d'audit. Pour une décision d'archivage, regardez donc le volume et le coût, jamais le nombre d'actifs.</w:t>
      </w:r>
    </w:p>
    <w:p>
      <w:pPr>
        <w:pStyle w:val="Titre4"/>
      </w:pPr>
      <w:r>
        <w:t xml:space="preserve">3.2 La confiance de classification</w:t>
      </w:r>
    </w:p>
    <w:p>
      <w:r>
        <w:t xml:space="preserve">Chaque table classée reçoit une </w:t>
      </w:r>
      <w:r>
        <w:rPr>
          <w:b/>
        </w:rPr>
        <w:t xml:space="preserve">confiance</w:t>
      </w:r>
      <w:r>
        <w:t xml:space="preserve">, répartie en trois bandes :</w:t>
      </w:r>
    </w:p>
    <w:tbl>
      <w:tblPr>
        <w:tblStyle w:val="Grilleclaire-Accent1"/>
        <w:tblW w:w="8640" w:type="dxa"/>
        <w:jc w:val="center"/>
        <w:tblLayout w:type="fixed"/>
        <w:tblLook w:val="04A0" w:firstRow="1" w:lastRow="0" w:firstColumn="1" w:lastColumn="0" w:noHBand="0" w:noVBand="1"/>
      </w:tblPr>
      <w:tblGrid>
        <w:gridCol w:w="1865"/>
        <w:gridCol w:w="2818"/>
        <w:gridCol w:w="2684"/>
        <w:gridCol w:w="127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865" w:type="dxa"/>
          </w:tcPr>
          <w:p>
            <w:pPr>
              <w:spacing w:after="0" w:line="240" w:lineRule="auto"/>
              <w:jc w:val="left"/>
            </w:pPr>
            <w:r>
              <w:t xml:space="preserve">Bande</w:t>
            </w:r>
          </w:p>
        </w:tc>
        <w:tc>
          <w:tcPr>
            <w:tcW w:w="2818" w:type="dxa"/>
          </w:tcPr>
          <w:p>
            <w:pPr>
              <w:spacing w:after="0" w:line="240" w:lineRule="auto"/>
              <w:jc w:val="left"/>
            </w:pPr>
            <w:r>
              <w:t xml:space="preserve">Ce que ça veut dire</w:t>
            </w:r>
          </w:p>
        </w:tc>
        <w:tc>
          <w:tcPr>
            <w:tcW w:w="2684" w:type="dxa"/>
          </w:tcPr>
          <w:p>
            <w:pPr>
              <w:spacing w:after="0" w:line="240" w:lineRule="auto"/>
              <w:jc w:val="left"/>
            </w:pPr>
            <w:r>
              <w:t xml:space="preserve">Ce que vous faites</w:t>
            </w:r>
          </w:p>
        </w:tc>
        <w:tc>
          <w:tcPr>
            <w:tcW w:w="1273" w:type="dxa"/>
          </w:tcPr>
          <w:p>
            <w:pPr>
              <w:spacing w:after="0" w:line="240" w:lineRule="auto"/>
              <w:jc w:val="left"/>
            </w:pPr>
            <w:r>
              <w:t xml:space="preserve">Part (run 9)</w:t>
            </w:r>
          </w:p>
        </w:tc>
      </w:tr>
      <w:tr>
        <w:trPr>
          <w:cantSplit/>
        </w:trPr>
        <w:tc>
          <w:tcPr>
            <w:cnfStyle w:val="001000000000" w:firstRow="0" w:lastRow="0" w:firstColumn="1" w:lastColumn="0" w:oddVBand="0" w:evenVBand="0" w:oddHBand="0" w:evenHBand="0" w:firstRowFirstColumn="0" w:firstRowLastColumn="0" w:lastRowFirstColumn="0" w:lastRowLastColumn="0"/>
            <w:tcW w:w="1865" w:type="dxa"/>
          </w:tcPr>
          <w:p>
            <w:pPr>
              <w:spacing w:after="0" w:line="240" w:lineRule="auto"/>
              <w:jc w:val="left"/>
            </w:pPr>
            <w:r>
              <w:rPr>
                <w:b/>
              </w:rPr>
              <w:t xml:space="preserve">High</w:t>
            </w:r>
            <w:r>
              <w:t xml:space="preserve"> (élevée)</w:t>
            </w:r>
          </w:p>
        </w:tc>
        <w:tc>
          <w:tcPr>
            <w:tcW w:w="2818" w:type="dxa"/>
          </w:tcPr>
          <w:p>
            <w:pPr>
              <w:spacing w:after="0" w:line="240" w:lineRule="auto"/>
              <w:jc w:val="left"/>
            </w:pPr>
            <w:r>
              <w:t xml:space="preserve">Le modèle est net</w:t>
            </w:r>
          </w:p>
        </w:tc>
        <w:tc>
          <w:tcPr>
            <w:tcW w:w="2684" w:type="dxa"/>
          </w:tcPr>
          <w:p>
            <w:pPr>
              <w:spacing w:after="0" w:line="240" w:lineRule="auto"/>
              <w:jc w:val="left"/>
            </w:pPr>
            <w:r>
              <w:t xml:space="preserve">Vous pouvez vous y fier</w:t>
            </w:r>
          </w:p>
        </w:tc>
        <w:tc>
          <w:tcPr>
            <w:tcW w:w="1273" w:type="dxa"/>
          </w:tcPr>
          <w:p>
            <w:pPr>
              <w:spacing w:after="0" w:line="240" w:lineRule="auto"/>
              <w:jc w:val="left"/>
            </w:pPr>
            <w:r>
              <w:t xml:space="preserve">20,2 %</w:t>
            </w:r>
          </w:p>
        </w:tc>
      </w:tr>
      <w:tr>
        <w:trPr>
          <w:cantSplit/>
        </w:trPr>
        <w:tc>
          <w:tcPr>
            <w:cnfStyle w:val="001000000000" w:firstRow="0" w:lastRow="0" w:firstColumn="1" w:lastColumn="0" w:oddVBand="0" w:evenVBand="0" w:oddHBand="0" w:evenHBand="0" w:firstRowFirstColumn="0" w:firstRowLastColumn="0" w:lastRowFirstColumn="0" w:lastRowLastColumn="0"/>
            <w:tcW w:w="1865" w:type="dxa"/>
          </w:tcPr>
          <w:p>
            <w:pPr>
              <w:spacing w:after="0" w:line="240" w:lineRule="auto"/>
              <w:jc w:val="left"/>
            </w:pPr>
            <w:r>
              <w:rPr>
                <w:b/>
              </w:rPr>
              <w:t xml:space="preserve">Medium</w:t>
            </w:r>
            <w:r>
              <w:t xml:space="preserve"> (moyenne)</w:t>
            </w:r>
          </w:p>
        </w:tc>
        <w:tc>
          <w:tcPr>
            <w:tcW w:w="2818" w:type="dxa"/>
          </w:tcPr>
          <w:p>
            <w:pPr>
              <w:spacing w:after="0" w:line="240" w:lineRule="auto"/>
              <w:jc w:val="left"/>
            </w:pPr>
            <w:r>
              <w:t xml:space="preserve">Le modèle penche mais sans certitude</w:t>
            </w:r>
          </w:p>
        </w:tc>
        <w:tc>
          <w:tcPr>
            <w:tcW w:w="2684" w:type="dxa"/>
          </w:tcPr>
          <w:p>
            <w:pPr>
              <w:spacing w:after="0" w:line="240" w:lineRule="auto"/>
              <w:jc w:val="left"/>
            </w:pPr>
            <w:r>
              <w:t xml:space="preserve">Un coup d'œil recommandé</w:t>
            </w:r>
          </w:p>
        </w:tc>
        <w:tc>
          <w:tcPr>
            <w:tcW w:w="1273" w:type="dxa"/>
          </w:tcPr>
          <w:p>
            <w:pPr>
              <w:spacing w:after="0" w:line="240" w:lineRule="auto"/>
              <w:jc w:val="left"/>
            </w:pPr>
            <w:r>
              <w:t xml:space="preserve">54,2 %</w:t>
            </w:r>
          </w:p>
        </w:tc>
      </w:tr>
      <w:tr>
        <w:trPr>
          <w:cantSplit/>
        </w:trPr>
        <w:tc>
          <w:tcPr>
            <w:cnfStyle w:val="001000000000" w:firstRow="0" w:lastRow="0" w:firstColumn="1" w:lastColumn="0" w:oddVBand="0" w:evenVBand="0" w:oddHBand="0" w:evenHBand="0" w:firstRowFirstColumn="0" w:firstRowLastColumn="0" w:lastRowFirstColumn="0" w:lastRowLastColumn="0"/>
            <w:tcW w:w="1865" w:type="dxa"/>
          </w:tcPr>
          <w:p>
            <w:pPr>
              <w:spacing w:after="0" w:line="240" w:lineRule="auto"/>
              <w:jc w:val="left"/>
            </w:pPr>
            <w:r>
              <w:rPr>
                <w:b/>
              </w:rPr>
              <w:t xml:space="preserve">Low</w:t>
            </w:r>
            <w:r>
              <w:t xml:space="preserve"> (faible)</w:t>
            </w:r>
          </w:p>
        </w:tc>
        <w:tc>
          <w:tcPr>
            <w:tcW w:w="2818" w:type="dxa"/>
          </w:tcPr>
          <w:p>
            <w:pPr>
              <w:spacing w:after="0" w:line="240" w:lineRule="auto"/>
              <w:jc w:val="left"/>
            </w:pPr>
            <w:r>
              <w:t xml:space="preserve">Le modèle hésite</w:t>
            </w:r>
          </w:p>
        </w:tc>
        <w:tc>
          <w:tcPr>
            <w:tcW w:w="2684" w:type="dxa"/>
          </w:tcPr>
          <w:p>
            <w:pPr>
              <w:spacing w:after="0" w:line="240" w:lineRule="auto"/>
              <w:jc w:val="left"/>
            </w:pPr>
            <w:r>
              <w:rPr>
                <w:b/>
              </w:rPr>
              <w:t xml:space="preserve">À vérifier avant toute décision</w:t>
            </w:r>
          </w:p>
        </w:tc>
        <w:tc>
          <w:tcPr>
            <w:tcW w:w="1273" w:type="dxa"/>
          </w:tcPr>
          <w:p>
            <w:pPr>
              <w:spacing w:after="0" w:line="240" w:lineRule="auto"/>
              <w:jc w:val="left"/>
            </w:pPr>
            <w:r>
              <w:t xml:space="preserve">25,6 %</w:t>
            </w:r>
          </w:p>
        </w:tc>
      </w:tr>
    </w:tbl>
    <w:p>
      <w:pPr>
        <w:spacing w:after="0" w:line="120" w:lineRule="exact"/>
      </w:pPr>
    </w:p>
    <w:p>
      <w:pPr>
        <w:spacing w:before="120" w:after="120"/>
        <w:ind w:left="240"/>
      </w:pPr>
      <w:r>
        <w:rPr>
          <w:b/>
          <w:i/>
          <w:color w:val="4B5563"/>
        </w:rPr>
        <w:t xml:space="preserve">La justesse de la classification.</w:t>
      </w:r>
      <w:r>
        <w:rPr>
          <w:i/>
          <w:color w:val="4B5563"/>
        </w:rPr>
        <w:t xml:space="preserve"> La classification automatique atteint environ 75 % de justesse, mesurée par revue humaine : une étiquette sur quatre est donc fausse. Deux conséquences très concrètes pour vous. L'outil est utile pour orienter votre travail, puisqu'il vous dit où regarder d'abord. Il n'est jamais suffisant pour décider seul d'une action irréversible.</w:t>
      </w:r>
    </w:p>
    <w:p>
      <w:pPr>
        <w:spacing w:before="120" w:after="120"/>
        <w:ind w:left="240"/>
      </w:pPr>
      <w:r>
        <w:rPr>
          <w:b/>
          <w:i/>
          <w:color w:val="4B5563"/>
        </w:rPr>
        <w:t xml:space="preserve">Idée fausse n° 2 : « le modèle devrait être sûr à 100 % ».</w:t>
      </w:r>
      <w:r>
        <w:rPr>
          <w:i/>
          <w:color w:val="4B5563"/>
        </w:rPr>
        <w:t xml:space="preserve"> Non. Un modèle qui afficherait 95 % de confiance partout, pour une justesse réelle de 75 %, serait sur-confiant, et donc dangereux : il déclencherait des recommandations d'archivage sur des classifications fausses avec une assurance injustifiée. La confiance affichée est faite pour être prise au sérieux. Une confiance </w:t>
      </w:r>
      <w:r>
        <w:rPr>
          <w:i/>
          <w:color w:val="4B5563"/>
        </w:rPr>
        <w:t xml:space="preserve">low</w:t>
      </w:r>
      <w:r>
        <w:rPr>
          <w:i/>
          <w:color w:val="4B5563"/>
        </w:rPr>
        <w:t xml:space="preserve"> n'est pas une erreur du modèle, c'est une alerte utile.</w:t>
      </w:r>
    </w:p>
    <w:p>
      <w:pPr>
        <w:pStyle w:val="Titre4"/>
      </w:pPr>
      <w:r>
        <w:t xml:space="preserve">3.3 Le taux de revue (</w:t>
      </w:r>
      <w:r>
        <w:rPr>
          <w:rFonts w:ascii="Consolas" w:hAnsi="Consolas"/>
          <w:sz w:val="18"/>
        </w:rPr>
        <w:t xml:space="preserve">review_required</w:t>
      </w:r>
      <w:r>
        <w:t xml:space="preserve">)</w:t>
      </w:r>
    </w:p>
    <w:p>
      <w:r>
        <w:t xml:space="preserve">45 269 actifs, soit 27,1 %, sont signalés « à réviser ». C'est délibéré : l'outil préfère vous alerter que trancher à tort. Ces cas constituent votre file de travail prioritaire.</w:t>
      </w:r>
    </w:p>
    <w:p>
      <w:r>
        <w:t xml:space="preserve">Le marqueur est un peu plus large que la seule bande </w:t>
      </w:r>
      <w:r>
        <w:rPr>
          <w:i/>
        </w:rPr>
        <w:t xml:space="preserve">low</w:t>
      </w:r>
      <w:r>
        <w:t xml:space="preserve">, 27,1 % contre 25,6 % : quelques milliers d'actifs sont signalés pour d'autres motifs, domaine sensible ou désaccord entre les deux méthodes de classification. Retenez la règle simple : si </w:t>
      </w:r>
      <w:r>
        <w:rPr>
          <w:rFonts w:ascii="Consolas" w:hAnsi="Consolas"/>
          <w:sz w:val="18"/>
        </w:rPr>
        <w:t xml:space="preserve">review_required</w:t>
      </w:r>
      <w:r>
        <w:t xml:space="preserve"> est coché, on vérifie, quelle que soit la bande.</w:t>
      </w:r>
    </w:p>
    <w:p>
      <w:pPr>
        <w:pStyle w:val="Titre4"/>
      </w:pPr>
      <w:r>
        <w:t xml:space="preserve">3.4 L'échelle des montants</w:t>
      </w:r>
    </w:p>
    <w:p>
      <w:r>
        <w:t xml:space="preserve">Les cartes de la page d'accueil affichent des montants </w:t>
      </w:r>
      <w:r>
        <w:rPr>
          <w:b/>
        </w:rPr>
        <w:t xml:space="preserve">arrondis à l'unité</w:t>
      </w:r>
      <w:r>
        <w:t xml:space="preserve"> : « coût annuel actuel </w:t>
      </w:r>
      <w:r>
        <w:rPr>
          <w:b/>
        </w:rPr>
        <w:t xml:space="preserve">2 $</w:t>
      </w:r>
      <w:r>
        <w:t xml:space="preserve"> », « économie possible </w:t>
      </w:r>
      <w:r>
        <w:rPr>
          <w:b/>
        </w:rPr>
        <w:t xml:space="preserve">1 $/an</w:t>
      </w:r>
      <w:r>
        <w:t xml:space="preserve"> ». Les valeurs exactes, lisibles dans la table de la page Coûts &amp; ROI, sont </w:t>
      </w:r>
      <w:r>
        <w:rPr>
          <w:b/>
        </w:rPr>
        <w:t xml:space="preserve">1,66 $/an de coût</w:t>
      </w:r>
      <w:r>
        <w:t xml:space="preserve"> et </w:t>
      </w:r>
      <w:r>
        <w:rPr>
          <w:b/>
        </w:rPr>
        <w:t xml:space="preserve">1,25 $/an d'économie</w:t>
      </w:r>
      <w:r>
        <w:t xml:space="preserve">. Ces chiffres sont </w:t>
      </w:r>
      <w:r>
        <w:rPr>
          <w:b/>
        </w:rPr>
        <w:t xml:space="preserve">exacts</w:t>
      </w:r>
      <w:r>
        <w:t xml:space="preserve">, mais ils portent sur le périmètre </w:t>
      </w:r>
      <w:r>
        <w:rPr>
          <w:b/>
        </w:rPr>
        <w:t xml:space="preserve">réellement mesuré</w:t>
      </w:r>
      <w:r>
        <w:t xml:space="preserve"> de ce prototype : 7,84 Go.</w:t>
      </w:r>
    </w:p>
    <w:p>
      <w:pPr>
        <w:spacing w:before="120" w:after="120"/>
        <w:ind w:left="240"/>
      </w:pPr>
      <w:r>
        <w:rPr>
          <w:b/>
          <w:i/>
          <w:color w:val="4B5563"/>
        </w:rPr>
        <w:t xml:space="preserve">Le chiffre transposable est le taux normalisé : 195 $ économisés par téraoctet archivé et par an.</w:t>
      </w:r>
      <w:r>
        <w:rPr>
          <w:i/>
          <w:color w:val="4B5563"/>
        </w:rPr>
        <w:t xml:space="preserve"> Celui-là se transpose à n'importe quelle échelle. Sur 5 To dont 80 % d'archivable, cela donne un ordre de grandeur de 780 $ par an. Ne présentez jamais les montants absolus du prototype comme un enjeu budgétaire.</w:t>
      </w:r>
    </w:p>
    <w:p>
      <w:pPr>
        <w:pStyle w:val="Titre3"/>
      </w:pPr>
      <w:r>
        <w:t xml:space="preserve">Module 4 — Le réflexe qualité </w:t>
      </w:r>
      <w:r>
        <w:rPr>
          <w:i/>
        </w:rPr>
        <w:t xml:space="preserve">(8 min · objectifs O4 et O5)</w:t>
      </w:r>
    </w:p>
    <w:p>
      <w:pPr>
        <w:pStyle w:val="Titre4"/>
      </w:pPr>
      <w:r>
        <w:t xml:space="preserve">4.1 La règle d'or</w:t>
      </w:r>
    </w:p>
    <w:p>
      <w:pPr>
        <w:spacing w:before="120" w:after="120"/>
        <w:ind w:left="240"/>
      </w:pPr>
      <w:r>
        <w:rPr>
          <w:b/>
          <w:i/>
          <w:color w:val="4B5563"/>
        </w:rPr>
        <w:t xml:space="preserve">On n'archive jamais une table sur la foi d'une classification non vérifiée.</w:t>
      </w:r>
    </w:p>
    <w:p>
      <w:r>
        <w:t xml:space="preserve">Concrètement, avant de valider une action d'archivage :</w:t>
      </w:r>
    </w:p>
    <w:p>
      <w:pPr>
        <w:pStyle w:val="Listenumros"/>
        <w:numPr>
          <w:ilvl w:val="0"/>
          <w:numId w:val="201"/>
        </w:numPr>
      </w:pPr>
      <w:r>
        <w:t xml:space="preserve">Vérifiez la </w:t>
      </w:r>
      <w:r>
        <w:rPr>
          <w:b/>
        </w:rPr>
        <w:t xml:space="preserve">bande de confiance</w:t>
      </w:r>
      <w:r>
        <w:t xml:space="preserve"> — traitez les </w:t>
      </w:r>
      <w:r>
        <w:rPr>
          <w:i/>
        </w:rPr>
        <w:t xml:space="preserve">low</w:t>
      </w:r>
      <w:r>
        <w:t xml:space="preserve"> d'abord.</w:t>
      </w:r>
    </w:p>
    <w:p>
      <w:pPr>
        <w:pStyle w:val="Listenumros"/>
        <w:numPr>
          <w:ilvl w:val="0"/>
          <w:numId w:val="201"/>
        </w:numPr>
      </w:pPr>
      <w:r>
        <w:t xml:space="preserve">Vérifiez le marqueur </w:t>
      </w:r>
      <w:r>
        <w:rPr>
          <w:b/>
        </w:rPr>
        <w:t xml:space="preserve">`review_required`</w:t>
      </w:r>
      <w:r>
        <w:t xml:space="preserve">.</w:t>
      </w:r>
    </w:p>
    <w:p>
      <w:pPr>
        <w:pStyle w:val="Listenumros"/>
        <w:numPr>
          <w:ilvl w:val="0"/>
          <w:numId w:val="201"/>
        </w:numPr>
      </w:pPr>
      <w:r>
        <w:t xml:space="preserve">En cas de doute, ouvrez la table dans </w:t>
      </w:r>
      <w:r>
        <w:rPr>
          <w:b/>
        </w:rPr>
        <w:t xml:space="preserve">Domaines</w:t>
      </w:r>
      <w:r>
        <w:t xml:space="preserve"> pour voir ses caractéristiques.</w:t>
      </w:r>
    </w:p>
    <w:p>
      <w:pPr>
        <w:pStyle w:val="Listenumros"/>
        <w:numPr>
          <w:ilvl w:val="0"/>
          <w:numId w:val="201"/>
        </w:numPr>
      </w:pPr>
      <w:r>
        <w:rPr>
          <w:b/>
        </w:rPr>
        <w:t xml:space="preserve">Décidez — et tracez votre décision.</w:t>
      </w:r>
    </w:p>
    <w:p>
      <w:r>
        <w:t xml:space="preserve">Cette prudence protège contre le seul risque réellement grave du projet : archiver par erreur une donnée encore utile, ou réglementairement sensible.</w:t>
      </w:r>
    </w:p>
    <w:p>
      <w:pPr>
        <w:pStyle w:val="Titre4"/>
      </w:pPr>
      <w:r>
        <w:t xml:space="preserve">4.2 Archiver n'est pas supprimer : les sept stratégies</w:t>
      </w:r>
    </w:p>
    <w:p>
      <w:r>
        <w:t xml:space="preserve">L'outil ne donne pas un feu vert unique. Il recommande </w:t>
      </w:r>
      <w:r>
        <w:rPr>
          <w:b/>
        </w:rPr>
        <w:t xml:space="preserve">sept stratégies différenciées</w:t>
      </w:r>
      <w:r>
        <w:t xml:space="preserve">, et quatre d'entre elles vous disent de </w:t>
      </w:r>
      <w:r>
        <w:rPr>
          <w:b/>
        </w:rPr>
        <w:t xml:space="preserve">ne pas</w:t>
      </w:r>
      <w:r>
        <w:t xml:space="preserve"> archiver :</w:t>
      </w:r>
    </w:p>
    <w:tbl>
      <w:tblPr>
        <w:tblStyle w:val="Grilleclaire-Accent1"/>
        <w:tblW w:w="8640" w:type="dxa"/>
        <w:jc w:val="center"/>
        <w:tblLayout w:type="fixed"/>
        <w:tblLook w:val="04A0" w:firstRow="1" w:lastRow="0" w:firstColumn="1" w:lastColumn="0" w:noHBand="0" w:noVBand="1"/>
      </w:tblPr>
      <w:tblGrid>
        <w:gridCol w:w="4014"/>
        <w:gridCol w:w="1303"/>
        <w:gridCol w:w="332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t xml:space="preserve">Stratégie</w:t>
            </w:r>
          </w:p>
        </w:tc>
        <w:tc>
          <w:tcPr>
            <w:tcW w:w="1303" w:type="dxa"/>
          </w:tcPr>
          <w:p>
            <w:pPr>
              <w:spacing w:after="0" w:line="240" w:lineRule="auto"/>
              <w:jc w:val="left"/>
            </w:pPr>
            <w:r>
              <w:t xml:space="preserve">Actifs (run 9)</w:t>
            </w:r>
          </w:p>
        </w:tc>
        <w:tc>
          <w:tcPr>
            <w:tcW w:w="3323" w:type="dxa"/>
          </w:tcPr>
          <w:p>
            <w:pPr>
              <w:spacing w:after="0" w:line="240" w:lineRule="auto"/>
              <w:jc w:val="left"/>
            </w:pPr>
            <w:r>
              <w:t xml:space="preserve">Ce que vous faites</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CONSERVATION_REGLEMENTAIRE</w:t>
            </w:r>
          </w:p>
        </w:tc>
        <w:tc>
          <w:tcPr>
            <w:tcW w:w="1303" w:type="dxa"/>
          </w:tcPr>
          <w:p>
            <w:pPr>
              <w:spacing w:after="0" w:line="240" w:lineRule="auto"/>
              <w:jc w:val="left"/>
            </w:pPr>
            <w:r>
              <w:t xml:space="preserve">6 895</w:t>
            </w:r>
          </w:p>
        </w:tc>
        <w:tc>
          <w:tcPr>
            <w:tcW w:w="3323" w:type="dxa"/>
          </w:tcPr>
          <w:p>
            <w:pPr>
              <w:spacing w:after="0" w:line="240" w:lineRule="auto"/>
              <w:jc w:val="left"/>
            </w:pPr>
            <w:r>
              <w:rPr>
                <w:b/>
              </w:rPr>
              <w:t xml:space="preserve">Ne pas archiver</w:t>
            </w:r>
            <w:r>
              <w:t xml:space="preserve"> — durée légale de rétention en cours</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ARCHIVAGE_FROID</w:t>
            </w:r>
          </w:p>
        </w:tc>
        <w:tc>
          <w:tcPr>
            <w:tcW w:w="1303" w:type="dxa"/>
          </w:tcPr>
          <w:p>
            <w:pPr>
              <w:spacing w:after="0" w:line="240" w:lineRule="auto"/>
              <w:jc w:val="left"/>
            </w:pPr>
            <w:r>
              <w:t xml:space="preserve">6 854</w:t>
            </w:r>
          </w:p>
        </w:tc>
        <w:tc>
          <w:tcPr>
            <w:tcW w:w="3323" w:type="dxa"/>
          </w:tcPr>
          <w:p>
            <w:pPr>
              <w:spacing w:after="0" w:line="240" w:lineRule="auto"/>
              <w:jc w:val="left"/>
            </w:pPr>
            <w:r>
              <w:t xml:space="preserve">Archivable en stockage froid — la cible principale</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ARCHIVAGE_CHIFFRE</w:t>
            </w:r>
          </w:p>
        </w:tc>
        <w:tc>
          <w:tcPr>
            <w:tcW w:w="1303" w:type="dxa"/>
          </w:tcPr>
          <w:p>
            <w:pPr>
              <w:spacing w:after="0" w:line="240" w:lineRule="auto"/>
              <w:jc w:val="left"/>
            </w:pPr>
            <w:r>
              <w:t xml:space="preserve">1 620</w:t>
            </w:r>
          </w:p>
        </w:tc>
        <w:tc>
          <w:tcPr>
            <w:tcW w:w="3323" w:type="dxa"/>
          </w:tcPr>
          <w:p>
            <w:pPr>
              <w:spacing w:after="0" w:line="240" w:lineRule="auto"/>
              <w:jc w:val="left"/>
            </w:pPr>
            <w:r>
              <w:t xml:space="preserve">Archivable </w:t>
            </w:r>
            <w:r>
              <w:rPr>
                <w:b/>
              </w:rPr>
              <w:t xml:space="preserve">mais chiffrement requis</w:t>
            </w:r>
            <w:r>
              <w:t xml:space="preserve"> (donnée sensible)</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CONSERVATION_CRITIQUE</w:t>
            </w:r>
          </w:p>
        </w:tc>
        <w:tc>
          <w:tcPr>
            <w:tcW w:w="1303" w:type="dxa"/>
          </w:tcPr>
          <w:p>
            <w:pPr>
              <w:spacing w:after="0" w:line="240" w:lineRule="auto"/>
              <w:jc w:val="left"/>
            </w:pPr>
            <w:r>
              <w:t xml:space="preserve">1 135</w:t>
            </w:r>
          </w:p>
        </w:tc>
        <w:tc>
          <w:tcPr>
            <w:tcW w:w="3323" w:type="dxa"/>
          </w:tcPr>
          <w:p>
            <w:pPr>
              <w:spacing w:after="0" w:line="240" w:lineRule="auto"/>
              <w:jc w:val="left"/>
            </w:pPr>
            <w:r>
              <w:rPr>
                <w:b/>
              </w:rPr>
              <w:t xml:space="preserve">Ne pas toucher</w:t>
            </w:r>
            <w:r>
              <w:t xml:space="preserve"> — donnée critique en exploitation</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CONSERVATION</w:t>
            </w:r>
          </w:p>
        </w:tc>
        <w:tc>
          <w:tcPr>
            <w:tcW w:w="1303" w:type="dxa"/>
          </w:tcPr>
          <w:p>
            <w:pPr>
              <w:spacing w:after="0" w:line="240" w:lineRule="auto"/>
              <w:jc w:val="left"/>
            </w:pPr>
            <w:r>
              <w:t xml:space="preserve">190</w:t>
            </w:r>
          </w:p>
        </w:tc>
        <w:tc>
          <w:tcPr>
            <w:tcW w:w="3323" w:type="dxa"/>
          </w:tcPr>
          <w:p>
            <w:pPr>
              <w:spacing w:after="0" w:line="240" w:lineRule="auto"/>
              <w:jc w:val="left"/>
            </w:pPr>
            <w:r>
              <w:t xml:space="preserve">Conserver en l'état</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CONSERVATION_SECURISEE</w:t>
            </w:r>
          </w:p>
        </w:tc>
        <w:tc>
          <w:tcPr>
            <w:tcW w:w="1303" w:type="dxa"/>
          </w:tcPr>
          <w:p>
            <w:pPr>
              <w:spacing w:after="0" w:line="240" w:lineRule="auto"/>
              <w:jc w:val="left"/>
            </w:pPr>
            <w:r>
              <w:t xml:space="preserve">122</w:t>
            </w:r>
          </w:p>
        </w:tc>
        <w:tc>
          <w:tcPr>
            <w:tcW w:w="3323" w:type="dxa"/>
          </w:tcPr>
          <w:p>
            <w:pPr>
              <w:spacing w:after="0" w:line="240" w:lineRule="auto"/>
              <w:jc w:val="left"/>
            </w:pPr>
            <w:r>
              <w:t xml:space="preserve">Conserver, accès restreint</w:t>
            </w:r>
          </w:p>
        </w:tc>
      </w:tr>
      <w:tr>
        <w:trPr>
          <w:cantSplit/>
        </w:trPr>
        <w:tc>
          <w:tcPr>
            <w:cnfStyle w:val="001000000000" w:firstRow="0" w:lastRow="0" w:firstColumn="1" w:lastColumn="0" w:oddVBand="0" w:evenVBand="0" w:oddHBand="0" w:evenHBand="0" w:firstRowFirstColumn="0" w:firstRowLastColumn="0" w:lastRowFirstColumn="0" w:lastRowLastColumn="0"/>
            <w:tcW w:w="4014" w:type="dxa"/>
          </w:tcPr>
          <w:p>
            <w:pPr>
              <w:spacing w:after="0" w:line="240" w:lineRule="auto"/>
              <w:jc w:val="left"/>
            </w:pPr>
            <w:r>
              <w:rPr>
                <w:rFonts w:ascii="Consolas" w:hAnsi="Consolas"/>
                <w:sz w:val="18"/>
              </w:rPr>
              <w:t xml:space="preserve">COMPRESSION</w:t>
            </w:r>
          </w:p>
        </w:tc>
        <w:tc>
          <w:tcPr>
            <w:tcW w:w="1303" w:type="dxa"/>
          </w:tcPr>
          <w:p>
            <w:pPr>
              <w:spacing w:after="0" w:line="240" w:lineRule="auto"/>
              <w:jc w:val="left"/>
            </w:pPr>
            <w:r>
              <w:t xml:space="preserve">12</w:t>
            </w:r>
          </w:p>
        </w:tc>
        <w:tc>
          <w:tcPr>
            <w:tcW w:w="3323" w:type="dxa"/>
          </w:tcPr>
          <w:p>
            <w:pPr>
              <w:spacing w:after="0" w:line="240" w:lineRule="auto"/>
              <w:jc w:val="left"/>
            </w:pPr>
            <w:r>
              <w:t xml:space="preserve">Gain par compression sur place, sans déplacement</w:t>
            </w:r>
          </w:p>
        </w:tc>
      </w:tr>
    </w:tbl>
    <w:p>
      <w:pPr>
        <w:spacing w:after="0" w:line="120" w:lineRule="exact"/>
      </w:pPr>
    </w:p>
    <w:p>
      <w:pPr>
        <w:spacing w:before="120" w:after="120"/>
        <w:ind w:left="240"/>
      </w:pPr>
      <w:r>
        <w:rPr>
          <w:b/>
          <w:i/>
          <w:color w:val="4B5563"/>
        </w:rPr>
        <w:t xml:space="preserve">Idée fausse n° 3 : « l'outil pousse à tout archiver ».</w:t>
      </w:r>
      <w:r>
        <w:rPr>
          <w:i/>
          <w:color w:val="4B5563"/>
        </w:rPr>
        <w:t xml:space="preserve"> Non : quatre stratégies sur sept vous disent explicitement de ne pas archiver, et la plus fréquente prise individuellement est la conservation réglementaire, avec 6 895 actifs contre 6 854 pour l'archivage froid. Une fois agrégées, les stratégies d'archivage concernent tout de même un peu plus de la moitié des actifs scorés, ce qui est normal sur un patrimoine dominé par des tables techniques. Lisez toujours le nom de la stratégie avant d'agir.</w:t>
      </w:r>
    </w:p>
    <w:p>
      <w:pPr>
        <w:pStyle w:val="Titre3"/>
      </w:pPr>
      <w:r>
        <w:t xml:space="preserve">Module 5 — Exporter et réutiliser les données </w:t>
      </w:r>
      <w:r>
        <w:rPr>
          <w:i/>
        </w:rPr>
        <w:t xml:space="preserve">(5 min · objectif O6)</w:t>
      </w:r>
    </w:p>
    <w:p>
      <w:r>
        <w:t xml:space="preserve">Vous n'êtes pas enfermé dans le dashboard :</w:t>
      </w:r>
    </w:p>
    <w:p>
      <w:pPr>
        <w:pStyle w:val="Listepuces"/>
      </w:pPr>
      <w:r>
        <w:rPr>
          <w:b/>
        </w:rPr>
        <w:t xml:space="preserve">Console SQL</w:t>
      </w:r>
      <w:r>
        <w:t xml:space="preserve"> — posez vos questions directement (ex. « toutes les tables Finance de plus de 10 Mo »). L'accès est en </w:t>
      </w:r>
      <w:r>
        <w:rPr>
          <w:b/>
        </w:rPr>
        <w:t xml:space="preserve">lecture seule</w:t>
      </w:r>
      <w:r>
        <w:t xml:space="preserve"> : il est impossible d'abîmer la base. Le résultat se télécharge en CSV.</w:t>
      </w:r>
    </w:p>
    <w:p>
      <w:pPr>
        <w:pStyle w:val="Listepuces"/>
      </w:pPr>
      <w:r>
        <w:rPr>
          <w:b/>
        </w:rPr>
        <w:t xml:space="preserve">Export Excel</w:t>
      </w:r>
      <w:r>
        <w:t xml:space="preserve"> — un classeur de </w:t>
      </w:r>
      <w:r>
        <w:rPr>
          <w:b/>
        </w:rPr>
        <w:t xml:space="preserve">13 feuilles</w:t>
      </w:r>
      <w:r>
        <w:t xml:space="preserve"> (profil par domaine, top candidats à l'archivage, paramètres de coût, comparaison N-1, projection ROI…) pour ceux qui préfèrent le tableur.</w:t>
      </w:r>
    </w:p>
    <w:p>
      <w:pPr>
        <w:spacing w:before="120" w:after="120"/>
        <w:ind w:left="240"/>
      </w:pPr>
      <w:r>
        <w:rPr>
          <w:b/>
          <w:i/>
          <w:color w:val="4B5563"/>
        </w:rPr>
        <w:t xml:space="preserve">Astuce Console SQL.</w:t>
      </w:r>
      <w:r>
        <w:rPr>
          <w:i/>
          <w:color w:val="4B5563"/>
        </w:rPr>
        <w:t xml:space="preserve"> Filtrez toujours par </w:t>
      </w:r>
      <w:r>
        <w:rPr>
          <w:rFonts w:ascii="Consolas" w:hAnsi="Consolas"/>
          <w:sz w:val="18"/>
          <w:i/>
          <w:color w:val="4B5563"/>
        </w:rPr>
        <w:t xml:space="preserve">run_id</w:t>
      </w:r>
      <w:r>
        <w:rPr>
          <w:i/>
          <w:color w:val="4B5563"/>
        </w:rPr>
        <w:t xml:space="preserve">, sans quoi la requête mélange plusieurs exécutions et retourne des chiffres faux.</w:t>
      </w:r>
    </w:p>
    <w:p>
      <w:r>
        <w:t xml:space="preserve">Exemple de requête à copier-coller pour démarrer :</w:t>
      </w:r>
    </w:p>
    <w:tbl>
      <w:tblPr>
        <w:tblW w:w="0" w:type="auto"/>
        <w:jc w:val="center"/>
        <w:tblBorders>
          <w:top w:val="single" w:sz="4" w:space="0" w:color="D0D7E5"/>
          <w:left w:val="single" w:sz="4" w:space="0" w:color="D0D7E5"/>
          <w:bottom w:val="single" w:sz="4" w:space="0" w:color="D0D7E5"/>
          <w:right w:val="single" w:sz="4" w:space="0" w:color="D0D7E5"/>
        </w:tblBorders>
        <w:tblLook w:val="04A0" w:firstRow="1" w:lastRow="0" w:firstColumn="1" w:lastColumn="0" w:noHBand="0" w:noVBand="1"/>
      </w:tblPr>
      <w:tblGrid>
        <w:gridCol w:w="8640"/>
      </w:tblGrid>
      <w:tr>
        <w:trPr>
          <w:cantSplit/>
        </w:trPr>
        <w:tc>
          <w:tcPr>
            <w:tcW w:w="8640" w:type="dxa"/>
            <w:shd w:val="clear" w:color="auto" w:fill="F1F3F8"/>
          </w:tcPr>
          <w:p>
            <w:pPr>
              <w:spacing w:after="0"/>
              <w:jc w:val="left"/>
            </w:pPr>
            <w:r>
              <w:rPr>
                <w:rFonts w:ascii="Consolas" w:hAnsi="Consolas"/>
                <w:sz w:val="17"/>
              </w:rPr>
              <w:t xml:space="preserve">SELECT asset_name, size_mb, confidence, review_required</w:t>
            </w:r>
          </w:p>
          <w:p>
            <w:pPr>
              <w:spacing w:after="0"/>
              <w:jc w:val="left"/>
            </w:pPr>
            <w:r>
              <w:rPr>
                <w:rFonts w:ascii="Consolas" w:hAnsi="Consolas"/>
                <w:sz w:val="17"/>
              </w:rPr>
              <w:t xml:space="preserve">FROM   serving.mv_asset_inventory inv</w:t>
            </w:r>
          </w:p>
          <w:p>
            <w:pPr>
              <w:spacing w:after="0"/>
              <w:jc w:val="left"/>
            </w:pPr>
            <w:r>
              <w:rPr>
                <w:rFonts w:ascii="Consolas" w:hAnsi="Consolas"/>
                <w:sz w:val="17"/>
              </w:rPr>
              <w:t xml:space="preserve">JOIN   serving.asset_business_domain_prediction p USING (asset_id, run_id)</w:t>
            </w:r>
          </w:p>
          <w:p>
            <w:pPr>
              <w:spacing w:after="0"/>
              <w:jc w:val="left"/>
            </w:pPr>
            <w:r>
              <w:rPr>
                <w:rFonts w:ascii="Consolas" w:hAnsi="Consolas"/>
                <w:sz w:val="17"/>
              </w:rPr>
              <w:t xml:space="preserve">WHERE  run_id = 9</w:t>
            </w:r>
          </w:p>
          <w:p>
            <w:pPr>
              <w:spacing w:after="0"/>
              <w:jc w:val="left"/>
            </w:pPr>
            <w:r>
              <w:rPr>
                <w:rFonts w:ascii="Consolas" w:hAnsi="Consolas"/>
                <w:sz w:val="17"/>
              </w:rPr>
              <w:t xml:space="preserve">  AND  p.business_domain_predicted = 'Finance &amp; Contrôle'</w:t>
            </w:r>
          </w:p>
          <w:p>
            <w:pPr>
              <w:spacing w:after="0"/>
              <w:jc w:val="left"/>
            </w:pPr>
            <w:r>
              <w:rPr>
                <w:rFonts w:ascii="Consolas" w:hAnsi="Consolas"/>
                <w:sz w:val="17"/>
              </w:rPr>
              <w:t xml:space="preserve">  AND  inv.size_mb &gt; 10</w:t>
            </w:r>
          </w:p>
          <w:p>
            <w:pPr>
              <w:spacing w:after="0"/>
              <w:jc w:val="left"/>
            </w:pPr>
            <w:r>
              <w:rPr>
                <w:rFonts w:ascii="Consolas" w:hAnsi="Consolas"/>
                <w:sz w:val="17"/>
              </w:rPr>
              <w:t xml:space="preserve">ORDER  BY size_mb DESC;</w:t>
            </w:r>
          </w:p>
        </w:tc>
      </w:tr>
    </w:tbl>
    <w:p>
      <w:pPr>
        <w:spacing w:after="0" w:line="120" w:lineRule="exact"/>
      </w:pPr>
    </w:p>
    <w:p>
      <w:pPr>
        <w:pStyle w:val="Titre3"/>
      </w:pPr>
      <w:r>
        <w:t xml:space="preserve">Module 6 — Bonnes pratiques à emporter </w:t>
      </w:r>
      <w:r>
        <w:rPr>
          <w:i/>
        </w:rPr>
        <w:t xml:space="preserve">(5 min)</w:t>
      </w:r>
    </w:p>
    <w:p>
      <w:pPr>
        <w:pStyle w:val="Listepuces"/>
      </w:pPr>
      <w:r>
        <w:rPr>
          <w:b/>
        </w:rPr>
        <w:t xml:space="preserve">Toujours regarder le numéro de run</w:t>
      </w:r>
      <w:r>
        <w:t xml:space="preserve"> — un chiffre n'a de sens que rapporté à son exécution.</w:t>
      </w:r>
    </w:p>
    <w:p>
      <w:pPr>
        <w:pStyle w:val="Listepuces"/>
      </w:pPr>
      <w:r>
        <w:rPr>
          <w:b/>
        </w:rPr>
        <w:t xml:space="preserve">Ne pas comparer deux runs</w:t>
      </w:r>
      <w:r>
        <w:t xml:space="preserve"> sans vérifier qu'il s'agit du même périmètre.</w:t>
      </w:r>
    </w:p>
    <w:p>
      <w:pPr>
        <w:pStyle w:val="Listepuces"/>
      </w:pPr>
      <w:r>
        <w:rPr>
          <w:b/>
        </w:rPr>
        <w:t xml:space="preserve">Pour l'archivage, regarder le volume et le coût, pas le nombre d'actifs.</w:t>
      </w:r>
    </w:p>
    <w:p>
      <w:pPr>
        <w:pStyle w:val="Listepuces"/>
      </w:pPr>
      <w:r>
        <w:rPr>
          <w:b/>
        </w:rPr>
        <w:t xml:space="preserve">Traiter les cas *low* et `review_required` en priorité</w:t>
      </w:r>
      <w:r>
        <w:t xml:space="preserve"> — c'est là qu'est le risque.</w:t>
      </w:r>
    </w:p>
    <w:p>
      <w:pPr>
        <w:pStyle w:val="Listepuces"/>
      </w:pPr>
      <w:r>
        <w:rPr>
          <w:b/>
        </w:rPr>
        <w:t xml:space="preserve">Ne jamais décider d'archiver sur une classification non revue.</w:t>
      </w:r>
    </w:p>
    <w:p>
      <w:pPr>
        <w:pStyle w:val="Listepuces"/>
      </w:pPr>
      <w:r>
        <w:rPr>
          <w:b/>
        </w:rPr>
        <w:t xml:space="preserve">Lire le nom de la stratégie</w:t>
      </w:r>
      <w:r>
        <w:t xml:space="preserve"> — quatre des sept disent « ne pas archiver ».</w:t>
      </w:r>
    </w:p>
    <w:p>
      <w:pPr>
        <w:pStyle w:val="Listepuces"/>
      </w:pPr>
      <w:r>
        <w:rPr>
          <w:b/>
        </w:rPr>
        <w:t xml:space="preserve">Citer le taux normalisé (195 $/To/an), pas les montants absolus du prototype.</w:t>
      </w:r>
    </w:p>
    <w:p>
      <w:pPr>
        <w:pStyle w:val="Listepuces"/>
      </w:pPr>
      <w:r>
        <w:rPr>
          <w:b/>
        </w:rPr>
        <w:t xml:space="preserve">Sourcer les coûts.</w:t>
      </w:r>
      <w:r>
        <w:t xml:space="preserve"> Les tarifs viennent d'une API réelle et non d'une estimation. Ils ne comptent pas les frais propres au stockage froid, rétention minimale et réhydratation : le gain affiché est un gain brut.</w:t>
      </w:r>
    </w:p>
    <w:p>
      <w:pPr>
        <w:pStyle w:val="Listepuces"/>
      </w:pPr>
      <w:r>
        <w:rPr>
          <w:b/>
        </w:rPr>
        <w:t xml:space="preserve">Se souvenir des 75 %.</w:t>
      </w:r>
      <w:r>
        <w:t xml:space="preserve"> L'outil oriente, il ne décide pas.</w:t>
      </w:r>
    </w:p>
    <w:p>
      <w:pPr>
        <w:pStyle w:val="Listepuces"/>
      </w:pPr>
      <w:r>
        <w:rPr>
          <w:b/>
        </w:rPr>
        <w:t xml:space="preserve">En cas de doute, demander.</w:t>
      </w:r>
      <w:r>
        <w:t xml:space="preserve"> La classification automatique est une aide à la décision, pas une autorité.</w:t>
      </w:r>
    </w:p>
    <w:p>
      <w:pPr>
        <w:pStyle w:val="Titre2"/>
      </w:pPr>
      <w:r>
        <w:t xml:space="preserve">4. Quiz de validation des acquis </w:t>
      </w:r>
      <w:r>
        <w:rPr>
          <w:i/>
        </w:rPr>
        <w:t xml:space="preserve">(2 min)</w:t>
      </w:r>
    </w:p>
    <w:p>
      <w:r>
        <w:t xml:space="preserve">Une question par objectif pédagogique. Réponses et renvois au module en fin de section.</w:t>
      </w:r>
    </w:p>
    <w:p>
      <w:r>
        <w:rPr>
          <w:b/>
        </w:rPr>
        <w:t xml:space="preserve">Q1.</w:t>
      </w:r>
      <w:r>
        <w:t xml:space="preserve"> Citez les trois questions métier auxquelles l'outil répond.</w:t>
      </w:r>
    </w:p>
    <w:p>
      <w:r>
        <w:rPr>
          <w:b/>
        </w:rPr>
        <w:t xml:space="preserve">Q2.</w:t>
      </w:r>
      <w:r>
        <w:t xml:space="preserve"> Vous ouvrez le dashboard et lisez « 45,1 % ». Quelle information vous manque impérativement pour savoir si ce chiffre est comparable à celui de la semaine dernière ?</w:t>
      </w:r>
    </w:p>
    <w:p>
      <w:r>
        <w:rPr>
          <w:b/>
        </w:rPr>
        <w:t xml:space="preserve">Q3.</w:t>
      </w:r>
      <w:r>
        <w:t xml:space="preserve"> Un collègue vous dit : « ce modèle a 25 % d'étiquettes fausses, il ne sert à rien ». Que lui répondez-vous ?</w:t>
      </w:r>
    </w:p>
    <w:p>
      <w:r>
        <w:rPr>
          <w:b/>
        </w:rPr>
        <w:t xml:space="preserve">Q4.</w:t>
      </w:r>
      <w:r>
        <w:t xml:space="preserve"> Une table est classée « Finance &amp; Contrôle » avec une confiance de 0,62 et le marqueur </w:t>
      </w:r>
      <w:r>
        <w:rPr>
          <w:rFonts w:ascii="Consolas" w:hAnsi="Consolas"/>
          <w:sz w:val="18"/>
        </w:rPr>
        <w:t xml:space="preserve">review_required</w:t>
      </w:r>
      <w:r>
        <w:t xml:space="preserve">. Le score d'archivabilité est élevé. Archivez-vous ?</w:t>
      </w:r>
    </w:p>
    <w:p>
      <w:r>
        <w:rPr>
          <w:b/>
        </w:rPr>
        <w:t xml:space="preserve">Q5.</w:t>
      </w:r>
      <w:r>
        <w:t xml:space="preserve"> Une table porte la stratégie </w:t>
      </w:r>
      <w:r>
        <w:rPr>
          <w:rFonts w:ascii="Consolas" w:hAnsi="Consolas"/>
          <w:sz w:val="18"/>
        </w:rPr>
        <w:t xml:space="preserve">CONSERVATION_REGLEMENTAIRE</w:t>
      </w:r>
      <w:r>
        <w:t xml:space="preserve">. Que faites-vous ?</w:t>
      </w:r>
    </w:p>
    <w:p>
      <w:r>
        <w:rPr>
          <w:b/>
        </w:rPr>
        <w:t xml:space="preserve">Q6.</w:t>
      </w:r>
      <w:r>
        <w:t xml:space="preserve"> Vous voulez la liste des tables RH de plus de 50 Mo. Quelle est la clause que vous ne devez surtout pas oublier dans votre requête ?</w:t>
      </w:r>
    </w:p>
    <w:p>
      <w:pPr>
        <w:pStyle w:val="Titre3"/>
      </w:pPr>
      <w:r>
        <w:t xml:space="preserve">Corrigé</w:t>
      </w:r>
    </w:p>
    <w:tbl>
      <w:tblPr>
        <w:tblStyle w:val="Grilleclaire-Accent1"/>
        <w:tblW w:w="8640" w:type="dxa"/>
        <w:jc w:val="center"/>
        <w:tblLayout w:type="fixed"/>
        <w:tblLook w:val="04A0" w:firstRow="1" w:lastRow="0" w:firstColumn="1" w:lastColumn="0" w:noHBand="0" w:noVBand="1"/>
      </w:tblPr>
      <w:tblGrid>
        <w:gridCol w:w="1339"/>
        <w:gridCol w:w="5648"/>
        <w:gridCol w:w="1653"/>
      </w:tblGrid>
      <w:tr>
        <w:trPr>
          <w:cnfStyle w:val="100000000000" w:firstRow="1" w:lastRow="0" w:firstColumn="0" w:lastColumn="0" w:oddVBand="0" w:evenVBand="0" w:oddHBand="0" w:evenHBand="0" w:firstRowFirstColumn="0" w:firstRowLastColumn="0" w:lastRowFirstColumn="0" w:lastRowLastColumn="0"/>
          <w:cantSplit/>
          <w:tblHeader/>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t xml:space="preserve">Q</w:t>
            </w:r>
          </w:p>
        </w:tc>
        <w:tc>
          <w:tcPr>
            <w:tcW w:w="5648" w:type="dxa"/>
          </w:tcPr>
          <w:p>
            <w:pPr>
              <w:spacing w:after="0" w:line="240" w:lineRule="auto"/>
              <w:jc w:val="left"/>
            </w:pPr>
            <w:r>
              <w:t xml:space="preserve">Réponse</w:t>
            </w:r>
          </w:p>
        </w:tc>
        <w:tc>
          <w:tcPr>
            <w:tcW w:w="1653" w:type="dxa"/>
          </w:tcPr>
          <w:p>
            <w:pPr>
              <w:spacing w:after="0" w:line="240" w:lineRule="auto"/>
              <w:jc w:val="left"/>
            </w:pPr>
            <w:r>
              <w:t xml:space="preserve">Module</w:t>
            </w:r>
          </w:p>
        </w:tc>
      </w:tr>
      <w:tr>
        <w:trPr>
          <w:cantSplit/>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rPr>
                <w:b/>
              </w:rPr>
              <w:t xml:space="preserve">Q1</w:t>
            </w:r>
          </w:p>
        </w:tc>
        <w:tc>
          <w:tcPr>
            <w:tcW w:w="5648" w:type="dxa"/>
          </w:tcPr>
          <w:p>
            <w:pPr>
              <w:spacing w:after="0" w:line="240" w:lineRule="auto"/>
              <w:jc w:val="left"/>
            </w:pPr>
            <w:r>
              <w:t xml:space="preserve">À quel métier appartient cette table ? Combien coûte le patrimoine, par métier ? Que peut-on archiver, et pour quel gain ?</w:t>
            </w:r>
          </w:p>
        </w:tc>
        <w:tc>
          <w:tcPr>
            <w:tcW w:w="1653" w:type="dxa"/>
          </w:tcPr>
          <w:p>
            <w:pPr>
              <w:spacing w:after="0" w:line="240" w:lineRule="auto"/>
              <w:jc w:val="left"/>
            </w:pPr>
            <w:r>
              <w:t xml:space="preserve">1</w:t>
            </w:r>
          </w:p>
        </w:tc>
      </w:tr>
      <w:tr>
        <w:trPr>
          <w:cantSplit/>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rPr>
                <w:b/>
              </w:rPr>
              <w:t xml:space="preserve">Q2</w:t>
            </w:r>
          </w:p>
        </w:tc>
        <w:tc>
          <w:tcPr>
            <w:tcW w:w="5648" w:type="dxa"/>
          </w:tcPr>
          <w:p>
            <w:pPr>
              <w:spacing w:after="0" w:line="240" w:lineRule="auto"/>
              <w:jc w:val="left"/>
            </w:pPr>
            <w:r>
              <w:rPr>
                <w:b/>
              </w:rPr>
              <w:t xml:space="preserve">Le numéro de run.</w:t>
            </w:r>
            <w:r>
              <w:t xml:space="preserve"> Deux chiffres de deux runs différents ne se comparent pas.</w:t>
            </w:r>
          </w:p>
        </w:tc>
        <w:tc>
          <w:tcPr>
            <w:tcW w:w="1653" w:type="dxa"/>
          </w:tcPr>
          <w:p>
            <w:pPr>
              <w:spacing w:after="0" w:line="240" w:lineRule="auto"/>
              <w:jc w:val="left"/>
            </w:pPr>
            <w:r>
              <w:t xml:space="preserve">2</w:t>
            </w:r>
          </w:p>
        </w:tc>
      </w:tr>
      <w:tr>
        <w:trPr>
          <w:cantSplit/>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rPr>
                <w:b/>
              </w:rPr>
              <w:t xml:space="preserve">Q3</w:t>
            </w:r>
          </w:p>
        </w:tc>
        <w:tc>
          <w:tcPr>
            <w:tcW w:w="5648" w:type="dxa"/>
          </w:tcPr>
          <w:p>
            <w:pPr>
              <w:spacing w:after="0" w:line="240" w:lineRule="auto"/>
              <w:jc w:val="left"/>
            </w:pPr>
            <w:r>
              <w:t xml:space="preserve">Qu'il confond orienter et décider. Avant l'outil, aucune cartographie n'existait : trois quarts d'étiquettes justes sur 167 260 objets, c'est un point de départ là où il n'y en avait aucun. L'outil affiche par ailleurs son incertitude au lieu de la masquer, par les bandes de confiance et le marqueur </w:t>
            </w:r>
            <w:r>
              <w:rPr>
                <w:rFonts w:ascii="Consolas" w:hAnsi="Consolas"/>
                <w:sz w:val="18"/>
              </w:rPr>
              <w:t xml:space="preserve">review_required</w:t>
            </w:r>
            <w:r>
              <w:t xml:space="preserve">, ce qui permet de savoir où chercher les 25 % restants. Un modèle qui se dirait sûr à 95 % partout serait le vrai problème.</w:t>
            </w:r>
          </w:p>
        </w:tc>
        <w:tc>
          <w:tcPr>
            <w:tcW w:w="1653" w:type="dxa"/>
          </w:tcPr>
          <w:p>
            <w:pPr>
              <w:spacing w:after="0" w:line="240" w:lineRule="auto"/>
              <w:jc w:val="left"/>
            </w:pPr>
            <w:r>
              <w:t xml:space="preserve">3.2</w:t>
            </w:r>
          </w:p>
        </w:tc>
      </w:tr>
      <w:tr>
        <w:trPr>
          <w:cantSplit/>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rPr>
                <w:b/>
              </w:rPr>
              <w:t xml:space="preserve">Q4</w:t>
            </w:r>
          </w:p>
        </w:tc>
        <w:tc>
          <w:tcPr>
            <w:tcW w:w="5648" w:type="dxa"/>
          </w:tcPr>
          <w:p>
            <w:pPr>
              <w:spacing w:after="0" w:line="240" w:lineRule="auto"/>
              <w:jc w:val="left"/>
            </w:pPr>
            <w:r>
              <w:rPr>
                <w:b/>
              </w:rPr>
              <w:t xml:space="preserve">Non.</w:t>
            </w:r>
            <w:r>
              <w:t xml:space="preserve"> Confiance </w:t>
            </w:r>
            <w:r>
              <w:rPr>
                <w:i/>
              </w:rPr>
              <w:t xml:space="preserve">low</w:t>
            </w:r>
            <w:r>
              <w:t xml:space="preserve"> + </w:t>
            </w:r>
            <w:r>
              <w:rPr>
                <w:rFonts w:ascii="Consolas" w:hAnsi="Consolas"/>
                <w:sz w:val="18"/>
              </w:rPr>
              <w:t xml:space="preserve">review_required</w:t>
            </w:r>
            <w:r>
              <w:t xml:space="preserve"> = vérification humaine obligatoire avant toute action, quel que soit le score d'archivabilité.</w:t>
            </w:r>
          </w:p>
        </w:tc>
        <w:tc>
          <w:tcPr>
            <w:tcW w:w="1653" w:type="dxa"/>
          </w:tcPr>
          <w:p>
            <w:pPr>
              <w:spacing w:after="0" w:line="240" w:lineRule="auto"/>
              <w:jc w:val="left"/>
            </w:pPr>
            <w:r>
              <w:t xml:space="preserve">4.1</w:t>
            </w:r>
          </w:p>
        </w:tc>
      </w:tr>
      <w:tr>
        <w:trPr>
          <w:cantSplit/>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rPr>
                <w:b/>
              </w:rPr>
              <w:t xml:space="preserve">Q5</w:t>
            </w:r>
          </w:p>
        </w:tc>
        <w:tc>
          <w:tcPr>
            <w:tcW w:w="5648" w:type="dxa"/>
          </w:tcPr>
          <w:p>
            <w:pPr>
              <w:spacing w:after="0" w:line="240" w:lineRule="auto"/>
              <w:jc w:val="left"/>
            </w:pPr>
            <w:r>
              <w:rPr>
                <w:b/>
              </w:rPr>
              <w:t xml:space="preserve">Rien</w:t>
            </w:r>
            <w:r>
              <w:t xml:space="preserve"> : on ne l'archive pas. Une durée légale de rétention est en cours. Archiver n'est pas supprimer, mais une donnée sous obligation légale doit rester accessible.</w:t>
            </w:r>
          </w:p>
        </w:tc>
        <w:tc>
          <w:tcPr>
            <w:tcW w:w="1653" w:type="dxa"/>
          </w:tcPr>
          <w:p>
            <w:pPr>
              <w:spacing w:after="0" w:line="240" w:lineRule="auto"/>
              <w:jc w:val="left"/>
            </w:pPr>
            <w:r>
              <w:t xml:space="preserve">4.2</w:t>
            </w:r>
          </w:p>
        </w:tc>
      </w:tr>
      <w:tr>
        <w:trPr>
          <w:cantSplit/>
        </w:trPr>
        <w:tc>
          <w:tcPr>
            <w:cnfStyle w:val="001000000000" w:firstRow="0" w:lastRow="0" w:firstColumn="1" w:lastColumn="0" w:oddVBand="0" w:evenVBand="0" w:oddHBand="0" w:evenHBand="0" w:firstRowFirstColumn="0" w:firstRowLastColumn="0" w:lastRowFirstColumn="0" w:lastRowLastColumn="0"/>
            <w:tcW w:w="1339" w:type="dxa"/>
          </w:tcPr>
          <w:p>
            <w:pPr>
              <w:spacing w:after="0" w:line="240" w:lineRule="auto"/>
              <w:jc w:val="left"/>
            </w:pPr>
            <w:r>
              <w:rPr>
                <w:b/>
              </w:rPr>
              <w:t xml:space="preserve">Q6</w:t>
            </w:r>
          </w:p>
        </w:tc>
        <w:tc>
          <w:tcPr>
            <w:tcW w:w="5648" w:type="dxa"/>
          </w:tcPr>
          <w:p>
            <w:pPr>
              <w:spacing w:after="0" w:line="240" w:lineRule="auto"/>
              <w:jc w:val="left"/>
            </w:pPr>
            <w:r>
              <w:rPr>
                <w:rFonts w:ascii="Consolas" w:hAnsi="Consolas"/>
                <w:sz w:val="18"/>
              </w:rPr>
              <w:t xml:space="preserve">WHERE run_id = 9</w:t>
            </w:r>
            <w:r>
              <w:t xml:space="preserve"> (ou le run courant). Sans elle, la requête mélange plusieurs exécutions et retourne des chiffres faux.</w:t>
            </w:r>
          </w:p>
        </w:tc>
        <w:tc>
          <w:tcPr>
            <w:tcW w:w="1653" w:type="dxa"/>
          </w:tcPr>
          <w:p>
            <w:pPr>
              <w:spacing w:after="0" w:line="240" w:lineRule="auto"/>
              <w:jc w:val="left"/>
            </w:pPr>
            <w:r>
              <w:t xml:space="preserve">5</w:t>
            </w:r>
          </w:p>
        </w:tc>
      </w:tr>
    </w:tbl>
    <w:p>
      <w:pPr>
        <w:spacing w:after="0" w:line="120" w:lineRule="exact"/>
      </w:pPr>
    </w:p>
    <w:p>
      <w:pPr>
        <w:spacing w:before="120" w:after="120"/>
        <w:ind w:left="240"/>
      </w:pPr>
      <w:r>
        <w:rPr>
          <w:b/>
          <w:i/>
          <w:color w:val="4B5563"/>
        </w:rPr>
        <w:t xml:space="preserve">La troisième question est la plus discriminante</w:t>
      </w:r>
      <w:r>
        <w:rPr>
          <w:i/>
          <w:color w:val="4B5563"/>
        </w:rPr>
        <w:t xml:space="preserve">, et la plus importante. S'il ne devait rester qu'un point de cette session : un outil qui affiche son incertitude est plus utile qu'un outil qui affiche une certitude fabriquée, parce qu'il vous dit où porter votre attention.</w:t>
      </w:r>
    </w:p>
    <w:p>
      <w:pPr>
        <w:pStyle w:val="Titre2"/>
      </w:pPr>
      <w:r>
        <w:t xml:space="preserve">5. Fiche de sensibilisation — à diffuser par mail</w:t>
      </w:r>
    </w:p>
    <w:p>
      <w:r>
        <w:rPr>
          <w:i/>
        </w:rPr>
        <w:t xml:space="preserve">Cette page est autonome : elle peut être envoyée à ceux qui n'assistent pas à la session, ou rappelée périodiquement. Elle ne remplace pas la formation, elle maintient le réflexe.</w:t>
      </w:r>
    </w:p>
    <w:p>
      <w:r>
        <w:rPr>
          <w:b/>
        </w:rPr>
        <w:t xml:space="preserve">Objet : Gouvernance des données — 5 réflexes avant d'archiver</w:t>
      </w:r>
    </w:p>
    <w:p>
      <w:r>
        <w:t xml:space="preserve">Bonjour,</w:t>
      </w:r>
    </w:p>
    <w:p>
      <w:r>
        <w:t xml:space="preserve">Le dashboard de gouvernance des données est en service. Il classe automatiquement les 167 260 objets de données de notre ERP par domaine métier, chiffre leur coût de stockage et recommande une stratégie d'archivage. Avant de vous en servir pour décider, cinq réflexes :</w:t>
      </w:r>
    </w:p>
    <w:p>
      <w:r>
        <w:rPr>
          <w:b/>
        </w:rPr>
        <w:t xml:space="preserve">1. Regardez le numéro de run.</w:t>
      </w:r>
      <w:r>
        <w:t xml:space="preserve"> Il est affiché en haut à gauche. Deux chiffres issus de deux exécutions différentes ne se comparent pas.</w:t>
      </w:r>
    </w:p>
    <w:p>
      <w:r>
        <w:rPr>
          <w:b/>
        </w:rPr>
        <w:t xml:space="preserve">2. La règle d'or : on n'archive jamais sur la foi d'une classification non vérifiée.</w:t>
      </w:r>
      <w:r>
        <w:t xml:space="preserve"> Vérifiez la bande de confiance et le marqueur </w:t>
      </w:r>
      <w:r>
        <w:rPr>
          <w:rFonts w:ascii="Consolas" w:hAnsi="Consolas"/>
          <w:sz w:val="18"/>
        </w:rPr>
        <w:t xml:space="preserve">review_required</w:t>
      </w:r>
      <w:r>
        <w:t xml:space="preserve">. 27 % des actifs sont explicitement signalés « à réviser » — il s'agit d'un garde-fou.</w:t>
      </w:r>
    </w:p>
    <w:p>
      <w:r>
        <w:rPr>
          <w:b/>
        </w:rPr>
        <w:t xml:space="preserve">3. La classification est juste à environ 75 %.</w:t>
      </w:r>
      <w:r>
        <w:t xml:space="preserve"> Une étiquette sur quatre est fausse. L'outil sert à orienter votre travail, jamais à décider seul d'une action irréversible. Les bandes de confiance vous indiquent où porter votre attention.</w:t>
      </w:r>
    </w:p>
    <w:p>
      <w:r>
        <w:rPr>
          <w:b/>
        </w:rPr>
        <w:t xml:space="preserve">4. Lisez le nom de la stratégie recommandée.</w:t>
      </w:r>
      <w:r>
        <w:t xml:space="preserve"> Sur sept stratégies possibles, </w:t>
      </w:r>
      <w:r>
        <w:rPr>
          <w:b/>
        </w:rPr>
        <w:t xml:space="preserve">quatre vous disent de ne pas archiver</w:t>
      </w:r>
      <w:r>
        <w:t xml:space="preserve"> — dont </w:t>
      </w:r>
      <w:r>
        <w:rPr>
          <w:rFonts w:ascii="Consolas" w:hAnsi="Consolas"/>
          <w:sz w:val="18"/>
        </w:rPr>
        <w:t xml:space="preserve">CONSERVATION_REGLEMENTAIRE</w:t>
      </w:r>
      <w:r>
        <w:t xml:space="preserve"> (durée légale en cours) et </w:t>
      </w:r>
      <w:r>
        <w:rPr>
          <w:rFonts w:ascii="Consolas" w:hAnsi="Consolas"/>
          <w:sz w:val="18"/>
        </w:rPr>
        <w:t xml:space="preserve">CONSERVATION_CRITIQUE</w:t>
      </w:r>
      <w:r>
        <w:t xml:space="preserve"> (donnée en exploitation).</w:t>
      </w:r>
    </w:p>
    <w:p>
      <w:r>
        <w:rPr>
          <w:b/>
        </w:rPr>
        <w:t xml:space="preserve">5. Pour l'archivage, regardez le volume et non le nombre de tables.</w:t>
      </w:r>
      <w:r>
        <w:t xml:space="preserve"> Finance &amp; Contrôle représente 45 % des tables mais 7 % du coût ; IT &amp; Sécurité, 21 % des tables mais 85 % du coût. L'enjeu économique n'est pas là où il y a le plus d'objets.</w:t>
      </w:r>
    </w:p>
    <w:p>
      <w:r>
        <w:t xml:space="preserve">Une session de formation de 45 minutes est disponible pour aller plus loin. En cas de doute sur une classification : contactez l'équipe data-gouvernance avant d'agir.</w:t>
      </w:r>
    </w:p>
    <w:p>
      <w:r>
        <w:t xml:space="preserve">Bien cordialement, </w:t>
      </w:r>
      <w:r>
        <w:rPr>
          <w:i/>
        </w:rPr>
        <w:t xml:space="preserve">L'équipe data-gouvernance</w:t>
      </w:r>
    </w:p>
    <w:p>
      <w:pPr>
        <w:pStyle w:val="Titre2"/>
      </w:pPr>
      <w:r>
        <w:t xml:space="preserve">6. Pour aller plus loin</w:t>
      </w:r>
    </w:p>
    <w:p>
      <w:pPr>
        <w:pStyle w:val="Listepuces"/>
      </w:pPr>
      <w:r>
        <w:rPr>
          <w:b/>
        </w:rPr>
        <w:t xml:space="preserve">Dossier Bloc 2</w:t>
      </w:r>
      <w:r>
        <w:t xml:space="preserve"> — </w:t>
      </w:r>
      <w:r>
        <w:rPr>
          <w:i/>
        </w:rPr>
        <w:t xml:space="preserve">Analyser, organiser et valoriser des données</w:t>
      </w:r>
      <w:r>
        <w:t xml:space="preserve"> : contexte, plan d'analyse, tests statistiques et recommandations.</w:t>
      </w:r>
    </w:p>
    <w:p>
      <w:pPr>
        <w:pStyle w:val="Listepuces"/>
      </w:pPr>
      <w:r>
        <w:rPr>
          <w:b/>
        </w:rPr>
        <w:t xml:space="preserve">Documentation technique</w:t>
      </w:r>
      <w:r>
        <w:t xml:space="preserve"> — définition et formule de chaque indicateur : dossier Bloc 2 § 4.2 et annexe H (dictionnaire complet), plus </w:t>
      </w:r>
      <w:r>
        <w:rPr>
          <w:rFonts w:ascii="Consolas" w:hAnsi="Consolas"/>
          <w:sz w:val="18"/>
        </w:rPr>
        <w:t xml:space="preserve">docs/E1_gains_stockage/</w:t>
      </w:r>
      <w:r>
        <w:t xml:space="preserve"> à </w:t>
      </w:r>
      <w:r>
        <w:rPr>
          <w:rFonts w:ascii="Consolas" w:hAnsi="Consolas"/>
          <w:sz w:val="18"/>
        </w:rPr>
        <w:t xml:space="preserve">docs/E4_repartition_couts/</w:t>
      </w:r>
      <w:r>
        <w:t xml:space="preserve">.</w:t>
      </w:r>
    </w:p>
    <w:p>
      <w:pPr>
        <w:pStyle w:val="Listepuces"/>
      </w:pPr>
      <w:r>
        <w:rPr>
          <w:b/>
        </w:rPr>
        <w:t xml:space="preserve">Méthodologie des tests statistiques</w:t>
      </w:r>
      <w:r>
        <w:t xml:space="preserve"> — </w:t>
      </w:r>
      <w:r>
        <w:rPr>
          <w:rFonts w:ascii="Consolas" w:hAnsi="Consolas"/>
          <w:sz w:val="18"/>
        </w:rPr>
        <w:t xml:space="preserve">scripts/bloc2_hypothesis_tests.py</w:t>
      </w:r>
      <w:r>
        <w:t xml:space="preserve"> et </w:t>
      </w:r>
      <w:r>
        <w:rPr>
          <w:rFonts w:ascii="Consolas" w:hAnsi="Consolas"/>
          <w:sz w:val="18"/>
        </w:rPr>
        <w:t xml:space="preserve">bloc2_tests_resultats.md</w:t>
      </w:r>
      <w:r>
        <w:t xml:space="preserve">.</w:t>
      </w:r>
    </w:p>
    <w:p>
      <w:pPr>
        <w:pStyle w:val="Listepuces"/>
      </w:pPr>
      <w:r>
        <w:rPr>
          <w:b/>
        </w:rPr>
        <w:t xml:space="preserve">Questions ?</w:t>
      </w:r>
      <w:r>
        <w:t xml:space="preserve"> Contacter l'équipe data-gouvernance.</w:t>
      </w:r>
    </w:p>
    <w:p>
      <w:r>
        <w:rPr>
          <w:i/>
        </w:rPr>
        <w:t xml:space="preserve">Fin du support — merci de votre attention.</w:t>
      </w:r>
    </w:p>
    <w:sectPr>
      <w:headerReference w:type="default" r:id="rIdHdr"/>
      <w:footerReference w:type="default" r:id="rIdFtr"/>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440885" w14:textId="77777777" w:rsidR="00FB2F55" w:rsidRDefault="00FB2F55">
      <w:pPr>
        <w:spacing w:after="0" w:line="240" w:lineRule="auto"/>
      </w:pPr>
      <w:r>
        <w:separator/>
      </w:r>
    </w:p>
  </w:endnote>
  <w:endnote w:type="continuationSeparator" w:id="0">
    <w:p w14:paraId="6C298C4D" w14:textId="77777777" w:rsidR="00FB2F55" w:rsidRDefault="00FB2F5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jc w:val="center"/>
      <w:rPr>
        <w:color w:val="5A6470"/>
        <w:sz w:val="18"/>
      </w:rPr>
    </w:pPr>
    <w:r>
      <w:rPr>
        <w:color w:val="5A6470"/>
        <w:sz w:val="18"/>
      </w:rPr>
      <w:fldChar w:fldCharType="begin"/>
    </w:r>
    <w:r>
      <w:rPr>
        <w:color w:val="5A6470"/>
        <w:sz w:val="18"/>
      </w:rPr>
      <w:instrText xml:space="preserve"> PAGE </w:instrText>
    </w:r>
    <w:r>
      <w:rPr>
        <w:color w:val="5A6470"/>
        <w:sz w:val="18"/>
      </w:rPr>
      <w:fldChar w:fldCharType="separate"/>
    </w:r>
    <w:r>
      <w:rPr>
        <w:color w:val="5A6470"/>
        <w:sz w:val="18"/>
      </w:rPr>
      <w:t>2</w:t>
    </w:r>
    <w:r>
      <w:rPr>
        <w:color w:val="5A6470"/>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5574CC" w14:textId="77777777" w:rsidR="00FB2F55" w:rsidRDefault="00FB2F55">
      <w:pPr>
        <w:spacing w:after="0" w:line="240" w:lineRule="auto"/>
      </w:pPr>
      <w:r>
        <w:separator/>
      </w:r>
    </w:p>
  </w:footnote>
  <w:footnote w:type="continuationSeparator" w:id="0">
    <w:p w14:paraId="131AC516" w14:textId="77777777" w:rsidR="00FB2F55" w:rsidRDefault="00FB2F5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pPr>
      <w:pBdr>
        <w:bottom w:val="single" w:sz="4" w:space="2" w:color="C4CDD8"/>
      </w:pBdr>
      <w:jc w:val="right"/>
      <w:rPr>
        <w:color w:val="5A6470"/>
        <w:sz w:val="18"/>
      </w:rPr>
    </w:pPr>
    <w:r>
      <w:rPr>
        <w:color w:val="5A6470"/>
        <w:sz w:val="18"/>
      </w:rPr>
      <w:t>HAOUARI Salem — Bloc 2 · RNCP 39586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enum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enum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epuc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epuc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enum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epuces"/>
      <w:lvlText w:val=""/>
      <w:lvlJc w:val="left"/>
      <w:pPr>
        <w:tabs>
          <w:tab w:val="num" w:pos="360"/>
        </w:tabs>
        <w:ind w:left="360" w:hanging="360"/>
      </w:pPr>
      <w:rPr>
        <w:rFonts w:ascii="Symbol" w:hAnsi="Symbol" w:hint="default"/>
      </w:rPr>
    </w:lvl>
  </w:abstractNum>
  <w:num w:numId="1" w16cid:durableId="1108424749">
    <w:abstractNumId w:val="8"/>
  </w:num>
  <w:num w:numId="2" w16cid:durableId="1842548963">
    <w:abstractNumId w:val="6"/>
  </w:num>
  <w:num w:numId="3" w16cid:durableId="571430507">
    <w:abstractNumId w:val="5"/>
  </w:num>
  <w:num w:numId="4" w16cid:durableId="94248109">
    <w:abstractNumId w:val="4"/>
  </w:num>
  <w:num w:numId="5" w16cid:durableId="1264651359">
    <w:abstractNumId w:val="7"/>
  </w:num>
  <w:num w:numId="6" w16cid:durableId="18893990">
    <w:abstractNumId w:val="3"/>
  </w:num>
  <w:num w:numId="7" w16cid:durableId="1765880477">
    <w:abstractNumId w:val="2"/>
  </w:num>
  <w:num w:numId="8" w16cid:durableId="1519198277">
    <w:abstractNumId w:val="1"/>
  </w:num>
  <w:num w:numId="9" w16cid:durableId="1489204006">
    <w:abstractNumId w:val="0"/>
  </w:num>
  <w:num w:numId="10" w16cid:durableId="1301838752">
    <w:abstractNumId w:val="7"/>
    <w:lvlOverride w:ilvl="0">
      <w:startOverride w:val="1"/>
    </w:lvlOverride>
  </w:num>
  <w:num w:numId="11" w16cid:durableId="427846612">
    <w:abstractNumId w:val="7"/>
    <w:lvlOverride w:ilvl="0">
      <w:startOverride w:val="1"/>
    </w:lvlOverride>
  </w:num>
  <w:num w:numId="200">
    <w:abstractNumId w:val="7"/>
    <w:lvlOverride w:ilvl="0">
      <w:startOverride w:val="1"/>
    </w:lvlOverride>
  </w:num>
  <w:num w:numId="201">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20015"/>
    <w:rsid w:val="0029639D"/>
    <w:rsid w:val="00326F90"/>
    <w:rsid w:val="004229E9"/>
    <w:rsid w:val="00861B50"/>
    <w:rsid w:val="008F1FA1"/>
    <w:rsid w:val="009416F4"/>
    <w:rsid w:val="00A318EB"/>
    <w:rsid w:val="00AA1D8D"/>
    <w:rsid w:val="00B47730"/>
    <w:rsid w:val="00BB6A55"/>
    <w:rsid w:val="00BD729A"/>
    <w:rsid w:val="00CB0664"/>
    <w:rsid w:val="00DC6394"/>
    <w:rsid w:val="00DD2E72"/>
    <w:rsid w:val="00E676E2"/>
    <w:rsid w:val="00E80A0C"/>
    <w:rsid w:val="00EF2E1D"/>
    <w:rsid w:val="00FB2F5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C11376F"/>
  <w14:defaultImageDpi w14:val="300"/>
  <w15:docId w15:val="{C9D5D3A7-7F79-431F-A1B3-5D28515BF0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jc w:val="both"/>
    </w:pPr>
    <w:rPr>
      <w:rFonts w:ascii="Calibri" w:hAnsi="Calibri"/>
      <w:sz w:val="21"/>
    </w:rPr>
  </w:style>
  <w:style w:type="paragraph" w:styleId="Titre1">
    <w:name w:val="heading 1"/>
    <w:basedOn w:val="Normal"/>
    <w:next w:val="Normal"/>
    <w:link w:val="Titre1Car"/>
    <w:uiPriority w:val="9"/>
    <w:qFormat/>
    <w:rsid w:val="00FC693F"/>
    <w:pPr>
      <w:keepNext/>
      <w:keepLines/>
      <w:spacing w:before="480" w:after="0"/>
      <w:outlineLvl w:val="0"/>
    </w:pPr>
    <w:rPr>
      <w:rFonts w:asciiTheme="majorHAnsi" w:eastAsiaTheme="majorEastAsia" w:hAnsiTheme="majorHAnsi" w:cstheme="majorBidi"/>
      <w:b/>
      <w:bCs/>
      <w:color w:val="2563EB"/>
      <w:sz w:val="34"/>
      <w:szCs w:val="28"/>
    </w:rPr>
  </w:style>
  <w:style w:type="paragraph" w:styleId="Titre2">
    <w:name w:val="heading 2"/>
    <w:basedOn w:val="Normal"/>
    <w:next w:val="Normal"/>
    <w:link w:val="Titre2Car"/>
    <w:uiPriority w:val="9"/>
    <w:unhideWhenUsed/>
    <w:qFormat/>
    <w:rsid w:val="00FC693F"/>
    <w:pPr>
      <w:keepNext/>
      <w:keepLines/>
      <w:spacing w:before="200" w:after="0"/>
      <w:outlineLvl w:val="1"/>
    </w:pPr>
    <w:rPr>
      <w:rFonts w:asciiTheme="majorHAnsi" w:eastAsiaTheme="majorEastAsia" w:hAnsiTheme="majorHAnsi" w:cstheme="majorBidi"/>
      <w:b/>
      <w:bCs/>
      <w:color w:val="2563EB"/>
      <w:sz w:val="28"/>
      <w:szCs w:val="26"/>
    </w:rPr>
  </w:style>
  <w:style w:type="paragraph" w:styleId="Titre3">
    <w:name w:val="heading 3"/>
    <w:basedOn w:val="Normal"/>
    <w:next w:val="Normal"/>
    <w:link w:val="Titre3Car"/>
    <w:uiPriority w:val="9"/>
    <w:unhideWhenUsed/>
    <w:qFormat/>
    <w:rsid w:val="00FC693F"/>
    <w:pPr>
      <w:keepNext/>
      <w:keepLines/>
      <w:spacing w:before="200" w:after="0"/>
      <w:outlineLvl w:val="2"/>
    </w:pPr>
    <w:rPr>
      <w:rFonts w:asciiTheme="majorHAnsi" w:eastAsiaTheme="majorEastAsia" w:hAnsiTheme="majorHAnsi" w:cstheme="majorBidi"/>
      <w:b/>
      <w:bCs/>
      <w:color w:val="4B5563"/>
      <w:sz w:val="24"/>
    </w:rPr>
  </w:style>
  <w:style w:type="paragraph" w:styleId="Titre4">
    <w:name w:val="heading 4"/>
    <w:basedOn w:val="Normal"/>
    <w:next w:val="Normal"/>
    <w:link w:val="Titre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B5563"/>
      <w:sz w:val="22"/>
    </w:rPr>
  </w:style>
  <w:style w:type="paragraph" w:styleId="Titre5">
    <w:name w:val="heading 5"/>
    <w:basedOn w:val="Normal"/>
    <w:next w:val="Normal"/>
    <w:link w:val="Titre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re6">
    <w:name w:val="heading 6"/>
    <w:basedOn w:val="Normal"/>
    <w:next w:val="Normal"/>
    <w:link w:val="Titre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re7">
    <w:name w:val="heading 7"/>
    <w:basedOn w:val="Normal"/>
    <w:next w:val="Normal"/>
    <w:link w:val="Titre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re8">
    <w:name w:val="heading 8"/>
    <w:basedOn w:val="Normal"/>
    <w:next w:val="Normal"/>
    <w:link w:val="Titre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re9">
    <w:name w:val="heading 9"/>
    <w:basedOn w:val="Normal"/>
    <w:next w:val="Normal"/>
    <w:link w:val="Titre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618BF"/>
    <w:pPr>
      <w:tabs>
        <w:tab w:val="center" w:pos="4680"/>
        <w:tab w:val="right" w:pos="9360"/>
      </w:tabs>
      <w:spacing w:after="0" w:line="240" w:lineRule="auto"/>
    </w:pPr>
  </w:style>
  <w:style w:type="character" w:customStyle="1" w:styleId="En-tteCar">
    <w:name w:val="En-tête Car"/>
    <w:basedOn w:val="Policepardfaut"/>
    <w:link w:val="En-tte"/>
    <w:uiPriority w:val="99"/>
    <w:rsid w:val="00E618BF"/>
  </w:style>
  <w:style w:type="paragraph" w:styleId="Pieddepage">
    <w:name w:val="footer"/>
    <w:basedOn w:val="Normal"/>
    <w:link w:val="PieddepageCar"/>
    <w:uiPriority w:val="99"/>
    <w:unhideWhenUsed/>
    <w:rsid w:val="00E618BF"/>
    <w:pPr>
      <w:tabs>
        <w:tab w:val="center" w:pos="4680"/>
        <w:tab w:val="right" w:pos="9360"/>
      </w:tabs>
      <w:spacing w:after="0" w:line="240" w:lineRule="auto"/>
    </w:pPr>
  </w:style>
  <w:style w:type="character" w:customStyle="1" w:styleId="PieddepageCar">
    <w:name w:val="Pied de page Car"/>
    <w:basedOn w:val="Policepardfaut"/>
    <w:link w:val="Pieddepage"/>
    <w:uiPriority w:val="99"/>
    <w:rsid w:val="00E618BF"/>
  </w:style>
  <w:style w:type="paragraph" w:styleId="Sansinterligne">
    <w:name w:val="No Spacing"/>
    <w:uiPriority w:val="1"/>
    <w:qFormat/>
    <w:rsid w:val="00FC693F"/>
    <w:pPr>
      <w:spacing w:after="0" w:line="240" w:lineRule="auto"/>
    </w:pPr>
  </w:style>
  <w:style w:type="character" w:customStyle="1" w:styleId="Titre1Car">
    <w:name w:val="Titre 1 Car"/>
    <w:basedOn w:val="Policepardfaut"/>
    <w:link w:val="Titre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re2Car">
    <w:name w:val="Titre 2 Car"/>
    <w:basedOn w:val="Policepardfaut"/>
    <w:link w:val="Titre2"/>
    <w:uiPriority w:val="9"/>
    <w:rsid w:val="00FC693F"/>
    <w:rPr>
      <w:rFonts w:asciiTheme="majorHAnsi" w:eastAsiaTheme="majorEastAsia" w:hAnsiTheme="majorHAnsi" w:cstheme="majorBidi"/>
      <w:b/>
      <w:bCs/>
      <w:color w:val="4F81BD" w:themeColor="accent1"/>
      <w:sz w:val="26"/>
      <w:szCs w:val="26"/>
    </w:rPr>
  </w:style>
  <w:style w:type="character" w:customStyle="1" w:styleId="Titre3Car">
    <w:name w:val="Titre 3 Car"/>
    <w:basedOn w:val="Policepardfaut"/>
    <w:link w:val="Titre3"/>
    <w:uiPriority w:val="9"/>
    <w:rsid w:val="00FC693F"/>
    <w:rPr>
      <w:rFonts w:asciiTheme="majorHAnsi" w:eastAsiaTheme="majorEastAsia" w:hAnsiTheme="majorHAnsi" w:cstheme="majorBidi"/>
      <w:b/>
      <w:bCs/>
      <w:color w:val="4F81BD" w:themeColor="accent1"/>
    </w:rPr>
  </w:style>
  <w:style w:type="paragraph" w:styleId="Titre">
    <w:name w:val="Title"/>
    <w:basedOn w:val="Normal"/>
    <w:next w:val="Normal"/>
    <w:link w:val="Titre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reCar">
    <w:name w:val="Titre Car"/>
    <w:basedOn w:val="Policepardfaut"/>
    <w:link w:val="Titr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us-titre">
    <w:name w:val="Subtitle"/>
    <w:basedOn w:val="Normal"/>
    <w:next w:val="Normal"/>
    <w:link w:val="Sous-titre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ous-titreCar">
    <w:name w:val="Sous-titre Car"/>
    <w:basedOn w:val="Policepardfaut"/>
    <w:link w:val="Sous-titre"/>
    <w:uiPriority w:val="11"/>
    <w:rsid w:val="00FC693F"/>
    <w:rPr>
      <w:rFonts w:asciiTheme="majorHAnsi" w:eastAsiaTheme="majorEastAsia" w:hAnsiTheme="majorHAnsi" w:cstheme="majorBidi"/>
      <w:i/>
      <w:iCs/>
      <w:color w:val="4F81BD" w:themeColor="accent1"/>
      <w:spacing w:val="15"/>
      <w:sz w:val="24"/>
      <w:szCs w:val="24"/>
    </w:rPr>
  </w:style>
  <w:style w:type="paragraph" w:styleId="Paragraphedeliste">
    <w:name w:val="List Paragraph"/>
    <w:basedOn w:val="Normal"/>
    <w:uiPriority w:val="34"/>
    <w:qFormat/>
    <w:rsid w:val="00FC693F"/>
    <w:pPr>
      <w:ind w:left="720"/>
      <w:contextualSpacing/>
    </w:pPr>
  </w:style>
  <w:style w:type="paragraph" w:styleId="Corpsdetexte">
    <w:name w:val="Body Text"/>
    <w:basedOn w:val="Normal"/>
    <w:link w:val="CorpsdetexteCar"/>
    <w:uiPriority w:val="99"/>
    <w:unhideWhenUsed/>
    <w:rsid w:val="00AA1D8D"/>
    <w:pPr>
      <w:spacing w:after="120"/>
    </w:pPr>
  </w:style>
  <w:style w:type="character" w:customStyle="1" w:styleId="CorpsdetexteCar">
    <w:name w:val="Corps de texte Car"/>
    <w:basedOn w:val="Policepardfaut"/>
    <w:link w:val="Corpsdetexte"/>
    <w:uiPriority w:val="99"/>
    <w:rsid w:val="00AA1D8D"/>
  </w:style>
  <w:style w:type="paragraph" w:styleId="Corpsdetexte2">
    <w:name w:val="Body Text 2"/>
    <w:basedOn w:val="Normal"/>
    <w:link w:val="Corpsdetexte2Car"/>
    <w:uiPriority w:val="99"/>
    <w:unhideWhenUsed/>
    <w:rsid w:val="00AA1D8D"/>
    <w:pPr>
      <w:spacing w:after="120" w:line="480" w:lineRule="auto"/>
    </w:pPr>
  </w:style>
  <w:style w:type="character" w:customStyle="1" w:styleId="Corpsdetexte2Car">
    <w:name w:val="Corps de texte 2 Car"/>
    <w:basedOn w:val="Policepardfaut"/>
    <w:link w:val="Corpsdetexte2"/>
    <w:uiPriority w:val="99"/>
    <w:rsid w:val="00AA1D8D"/>
  </w:style>
  <w:style w:type="paragraph" w:styleId="Corpsdetexte3">
    <w:name w:val="Body Text 3"/>
    <w:basedOn w:val="Normal"/>
    <w:link w:val="Corpsdetexte3Car"/>
    <w:uiPriority w:val="99"/>
    <w:unhideWhenUsed/>
    <w:rsid w:val="00AA1D8D"/>
    <w:pPr>
      <w:spacing w:after="120"/>
    </w:pPr>
    <w:rPr>
      <w:sz w:val="16"/>
      <w:szCs w:val="16"/>
    </w:rPr>
  </w:style>
  <w:style w:type="character" w:customStyle="1" w:styleId="Corpsdetexte3Car">
    <w:name w:val="Corps de texte 3 Car"/>
    <w:basedOn w:val="Policepardfaut"/>
    <w:link w:val="Corpsdetexte3"/>
    <w:uiPriority w:val="99"/>
    <w:rsid w:val="00AA1D8D"/>
    <w:rPr>
      <w:sz w:val="16"/>
      <w:szCs w:val="16"/>
    </w:rPr>
  </w:style>
  <w:style w:type="paragraph" w:styleId="Liste">
    <w:name w:val="List"/>
    <w:basedOn w:val="Normal"/>
    <w:uiPriority w:val="99"/>
    <w:unhideWhenUsed/>
    <w:rsid w:val="00AA1D8D"/>
    <w:pPr>
      <w:ind w:left="360" w:hanging="360"/>
      <w:contextualSpacing/>
    </w:pPr>
  </w:style>
  <w:style w:type="paragraph" w:styleId="Liste2">
    <w:name w:val="List 2"/>
    <w:basedOn w:val="Normal"/>
    <w:uiPriority w:val="99"/>
    <w:unhideWhenUsed/>
    <w:rsid w:val="00326F90"/>
    <w:pPr>
      <w:ind w:left="720" w:hanging="360"/>
      <w:contextualSpacing/>
    </w:pPr>
  </w:style>
  <w:style w:type="paragraph" w:styleId="Liste3">
    <w:name w:val="List 3"/>
    <w:basedOn w:val="Normal"/>
    <w:uiPriority w:val="99"/>
    <w:unhideWhenUsed/>
    <w:rsid w:val="00326F90"/>
    <w:pPr>
      <w:ind w:left="1080" w:hanging="360"/>
      <w:contextualSpacing/>
    </w:pPr>
  </w:style>
  <w:style w:type="paragraph" w:styleId="Listepuces">
    <w:name w:val="List Bullet"/>
    <w:basedOn w:val="Normal"/>
    <w:uiPriority w:val="99"/>
    <w:unhideWhenUsed/>
    <w:rsid w:val="00326F90"/>
    <w:pPr>
      <w:numPr>
        <w:numId w:val="1"/>
      </w:numPr>
      <w:contextualSpacing/>
    </w:pPr>
  </w:style>
  <w:style w:type="paragraph" w:styleId="Listepuces2">
    <w:name w:val="List Bullet 2"/>
    <w:basedOn w:val="Normal"/>
    <w:uiPriority w:val="99"/>
    <w:unhideWhenUsed/>
    <w:rsid w:val="00326F90"/>
    <w:pPr>
      <w:numPr>
        <w:numId w:val="2"/>
      </w:numPr>
      <w:contextualSpacing/>
    </w:pPr>
  </w:style>
  <w:style w:type="paragraph" w:styleId="Listepuces3">
    <w:name w:val="List Bullet 3"/>
    <w:basedOn w:val="Normal"/>
    <w:uiPriority w:val="99"/>
    <w:unhideWhenUsed/>
    <w:rsid w:val="00326F90"/>
    <w:pPr>
      <w:numPr>
        <w:numId w:val="3"/>
      </w:numPr>
      <w:contextualSpacing/>
    </w:pPr>
  </w:style>
  <w:style w:type="paragraph" w:styleId="Listenumros">
    <w:name w:val="List Number"/>
    <w:basedOn w:val="Normal"/>
    <w:uiPriority w:val="99"/>
    <w:unhideWhenUsed/>
    <w:rsid w:val="00326F90"/>
    <w:pPr>
      <w:numPr>
        <w:numId w:val="5"/>
      </w:numPr>
      <w:contextualSpacing/>
    </w:pPr>
  </w:style>
  <w:style w:type="paragraph" w:styleId="Listenumros2">
    <w:name w:val="List Number 2"/>
    <w:basedOn w:val="Normal"/>
    <w:uiPriority w:val="99"/>
    <w:unhideWhenUsed/>
    <w:rsid w:val="0029639D"/>
    <w:pPr>
      <w:numPr>
        <w:numId w:val="6"/>
      </w:numPr>
      <w:contextualSpacing/>
    </w:pPr>
  </w:style>
  <w:style w:type="paragraph" w:styleId="Listenumros3">
    <w:name w:val="List Number 3"/>
    <w:basedOn w:val="Normal"/>
    <w:uiPriority w:val="99"/>
    <w:unhideWhenUsed/>
    <w:rsid w:val="0029639D"/>
    <w:pPr>
      <w:numPr>
        <w:numId w:val="7"/>
      </w:numPr>
      <w:contextualSpacing/>
    </w:pPr>
  </w:style>
  <w:style w:type="paragraph" w:styleId="Listecontinue">
    <w:name w:val="List Continue"/>
    <w:basedOn w:val="Normal"/>
    <w:uiPriority w:val="99"/>
    <w:unhideWhenUsed/>
    <w:rsid w:val="0029639D"/>
    <w:pPr>
      <w:spacing w:after="120"/>
      <w:ind w:left="360"/>
      <w:contextualSpacing/>
    </w:pPr>
  </w:style>
  <w:style w:type="paragraph" w:styleId="Listecontinue2">
    <w:name w:val="List Continue 2"/>
    <w:basedOn w:val="Normal"/>
    <w:uiPriority w:val="99"/>
    <w:unhideWhenUsed/>
    <w:rsid w:val="0029639D"/>
    <w:pPr>
      <w:spacing w:after="120"/>
      <w:ind w:left="720"/>
      <w:contextualSpacing/>
    </w:pPr>
  </w:style>
  <w:style w:type="paragraph" w:styleId="Listecontinue3">
    <w:name w:val="List Continue 3"/>
    <w:basedOn w:val="Normal"/>
    <w:uiPriority w:val="99"/>
    <w:unhideWhenUsed/>
    <w:rsid w:val="0029639D"/>
    <w:pPr>
      <w:spacing w:after="120"/>
      <w:ind w:left="1080"/>
      <w:contextualSpacing/>
    </w:pPr>
  </w:style>
  <w:style w:type="paragraph" w:styleId="Textedemacro">
    <w:name w:val="macro"/>
    <w:link w:val="Textede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edemacroCar">
    <w:name w:val="Texte de macro Car"/>
    <w:basedOn w:val="Policepardfaut"/>
    <w:link w:val="Textedemacro"/>
    <w:uiPriority w:val="99"/>
    <w:rsid w:val="0029639D"/>
    <w:rPr>
      <w:rFonts w:ascii="Courier" w:hAnsi="Courier"/>
      <w:sz w:val="20"/>
      <w:szCs w:val="20"/>
    </w:rPr>
  </w:style>
  <w:style w:type="paragraph" w:styleId="Citation">
    <w:name w:val="Quote"/>
    <w:basedOn w:val="Normal"/>
    <w:next w:val="Normal"/>
    <w:link w:val="CitationCar"/>
    <w:uiPriority w:val="29"/>
    <w:qFormat/>
    <w:rsid w:val="00FC693F"/>
    <w:rPr>
      <w:i/>
      <w:iCs/>
      <w:color w:val="000000" w:themeColor="text1"/>
    </w:rPr>
  </w:style>
  <w:style w:type="character" w:customStyle="1" w:styleId="CitationCar">
    <w:name w:val="Citation Car"/>
    <w:basedOn w:val="Policepardfaut"/>
    <w:link w:val="Citation"/>
    <w:uiPriority w:val="29"/>
    <w:rsid w:val="00FC693F"/>
    <w:rPr>
      <w:i/>
      <w:iCs/>
      <w:color w:val="000000" w:themeColor="text1"/>
    </w:rPr>
  </w:style>
  <w:style w:type="character" w:customStyle="1" w:styleId="Titre4Car">
    <w:name w:val="Titre 4 Car"/>
    <w:basedOn w:val="Policepardfaut"/>
    <w:link w:val="Titre4"/>
    <w:uiPriority w:val="9"/>
    <w:semiHidden/>
    <w:rsid w:val="00FC693F"/>
    <w:rPr>
      <w:rFonts w:asciiTheme="majorHAnsi" w:eastAsiaTheme="majorEastAsia" w:hAnsiTheme="majorHAnsi" w:cstheme="majorBidi"/>
      <w:b/>
      <w:bCs/>
      <w:i/>
      <w:iCs/>
      <w:color w:val="4F81BD" w:themeColor="accent1"/>
    </w:rPr>
  </w:style>
  <w:style w:type="character" w:customStyle="1" w:styleId="Titre5Car">
    <w:name w:val="Titre 5 Car"/>
    <w:basedOn w:val="Policepardfaut"/>
    <w:link w:val="Titre5"/>
    <w:uiPriority w:val="9"/>
    <w:semiHidden/>
    <w:rsid w:val="00FC693F"/>
    <w:rPr>
      <w:rFonts w:asciiTheme="majorHAnsi" w:eastAsiaTheme="majorEastAsia" w:hAnsiTheme="majorHAnsi" w:cstheme="majorBidi"/>
      <w:color w:val="243F60" w:themeColor="accent1" w:themeShade="7F"/>
    </w:rPr>
  </w:style>
  <w:style w:type="character" w:customStyle="1" w:styleId="Titre6Car">
    <w:name w:val="Titre 6 Car"/>
    <w:basedOn w:val="Policepardfaut"/>
    <w:link w:val="Titre6"/>
    <w:uiPriority w:val="9"/>
    <w:semiHidden/>
    <w:rsid w:val="00FC693F"/>
    <w:rPr>
      <w:rFonts w:asciiTheme="majorHAnsi" w:eastAsiaTheme="majorEastAsia" w:hAnsiTheme="majorHAnsi" w:cstheme="majorBidi"/>
      <w:i/>
      <w:iCs/>
      <w:color w:val="243F60" w:themeColor="accent1" w:themeShade="7F"/>
    </w:rPr>
  </w:style>
  <w:style w:type="character" w:customStyle="1" w:styleId="Titre7Car">
    <w:name w:val="Titre 7 Car"/>
    <w:basedOn w:val="Policepardfaut"/>
    <w:link w:val="Titre7"/>
    <w:uiPriority w:val="9"/>
    <w:semiHidden/>
    <w:rsid w:val="00FC693F"/>
    <w:rPr>
      <w:rFonts w:asciiTheme="majorHAnsi" w:eastAsiaTheme="majorEastAsia" w:hAnsiTheme="majorHAnsi" w:cstheme="majorBidi"/>
      <w:i/>
      <w:iCs/>
      <w:color w:val="404040" w:themeColor="text1" w:themeTint="BF"/>
    </w:rPr>
  </w:style>
  <w:style w:type="character" w:customStyle="1" w:styleId="Titre8Car">
    <w:name w:val="Titre 8 Car"/>
    <w:basedOn w:val="Policepardfaut"/>
    <w:link w:val="Titre8"/>
    <w:uiPriority w:val="9"/>
    <w:semiHidden/>
    <w:rsid w:val="00FC693F"/>
    <w:rPr>
      <w:rFonts w:asciiTheme="majorHAnsi" w:eastAsiaTheme="majorEastAsia" w:hAnsiTheme="majorHAnsi" w:cstheme="majorBidi"/>
      <w:color w:val="4F81BD" w:themeColor="accent1"/>
      <w:sz w:val="20"/>
      <w:szCs w:val="20"/>
    </w:rPr>
  </w:style>
  <w:style w:type="character" w:customStyle="1" w:styleId="Titre9Car">
    <w:name w:val="Titre 9 Car"/>
    <w:basedOn w:val="Policepardfaut"/>
    <w:link w:val="Titre9"/>
    <w:uiPriority w:val="9"/>
    <w:semiHidden/>
    <w:rsid w:val="00FC693F"/>
    <w:rPr>
      <w:rFonts w:asciiTheme="majorHAnsi" w:eastAsiaTheme="majorEastAsia" w:hAnsiTheme="majorHAnsi" w:cstheme="majorBidi"/>
      <w:i/>
      <w:iCs/>
      <w:color w:val="404040" w:themeColor="text1" w:themeTint="BF"/>
      <w:sz w:val="20"/>
      <w:szCs w:val="20"/>
    </w:rPr>
  </w:style>
  <w:style w:type="paragraph" w:styleId="Lgende">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lev">
    <w:name w:val="Strong"/>
    <w:basedOn w:val="Policepardfaut"/>
    <w:uiPriority w:val="22"/>
    <w:qFormat/>
    <w:rsid w:val="00FC693F"/>
    <w:rPr>
      <w:b/>
      <w:bCs/>
    </w:rPr>
  </w:style>
  <w:style w:type="character" w:styleId="Accentuation">
    <w:name w:val="Emphasis"/>
    <w:basedOn w:val="Policepardfaut"/>
    <w:uiPriority w:val="20"/>
    <w:qFormat/>
    <w:rsid w:val="00FC693F"/>
    <w:rPr>
      <w:i/>
      <w:iCs/>
    </w:rPr>
  </w:style>
  <w:style w:type="paragraph" w:styleId="Citationintense">
    <w:name w:val="Intense Quote"/>
    <w:basedOn w:val="Normal"/>
    <w:next w:val="Normal"/>
    <w:link w:val="Citationintense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tionintenseCar">
    <w:name w:val="Citation intense Car"/>
    <w:basedOn w:val="Policepardfaut"/>
    <w:link w:val="Citationintense"/>
    <w:uiPriority w:val="30"/>
    <w:rsid w:val="00FC693F"/>
    <w:rPr>
      <w:b/>
      <w:bCs/>
      <w:i/>
      <w:iCs/>
      <w:color w:val="4F81BD" w:themeColor="accent1"/>
    </w:rPr>
  </w:style>
  <w:style w:type="character" w:styleId="Accentuationlgre">
    <w:name w:val="Subtle Emphasis"/>
    <w:basedOn w:val="Policepardfaut"/>
    <w:uiPriority w:val="19"/>
    <w:qFormat/>
    <w:rsid w:val="00FC693F"/>
    <w:rPr>
      <w:i/>
      <w:iCs/>
      <w:color w:val="808080" w:themeColor="text1" w:themeTint="7F"/>
    </w:rPr>
  </w:style>
  <w:style w:type="character" w:styleId="Accentuationintense">
    <w:name w:val="Intense Emphasis"/>
    <w:basedOn w:val="Policepardfaut"/>
    <w:uiPriority w:val="21"/>
    <w:qFormat/>
    <w:rsid w:val="00FC693F"/>
    <w:rPr>
      <w:b/>
      <w:bCs/>
      <w:i/>
      <w:iCs/>
      <w:color w:val="4F81BD" w:themeColor="accent1"/>
    </w:rPr>
  </w:style>
  <w:style w:type="character" w:styleId="Rfrencelgre">
    <w:name w:val="Subtle Reference"/>
    <w:basedOn w:val="Policepardfaut"/>
    <w:uiPriority w:val="31"/>
    <w:qFormat/>
    <w:rsid w:val="00FC693F"/>
    <w:rPr>
      <w:smallCaps/>
      <w:color w:val="C0504D" w:themeColor="accent2"/>
      <w:u w:val="single"/>
    </w:rPr>
  </w:style>
  <w:style w:type="character" w:styleId="Rfrenceintense">
    <w:name w:val="Intense Reference"/>
    <w:basedOn w:val="Policepardfaut"/>
    <w:uiPriority w:val="32"/>
    <w:qFormat/>
    <w:rsid w:val="00FC693F"/>
    <w:rPr>
      <w:b/>
      <w:bCs/>
      <w:smallCaps/>
      <w:color w:val="C0504D" w:themeColor="accent2"/>
      <w:spacing w:val="5"/>
      <w:u w:val="single"/>
    </w:rPr>
  </w:style>
  <w:style w:type="character" w:styleId="Titredulivre">
    <w:name w:val="Book Title"/>
    <w:basedOn w:val="Policepardfaut"/>
    <w:uiPriority w:val="33"/>
    <w:qFormat/>
    <w:rsid w:val="00FC693F"/>
    <w:rPr>
      <w:b/>
      <w:bCs/>
      <w:smallCaps/>
      <w:spacing w:val="5"/>
    </w:rPr>
  </w:style>
  <w:style w:type="paragraph" w:styleId="En-ttedetabledesmatires">
    <w:name w:val="TOC Heading"/>
    <w:basedOn w:val="Titre1"/>
    <w:next w:val="Normal"/>
    <w:uiPriority w:val="39"/>
    <w:semiHidden/>
    <w:unhideWhenUsed/>
    <w:qFormat/>
    <w:rsid w:val="00FC693F"/>
    <w:pPr>
      <w:outlineLvl w:val="9"/>
    </w:pPr>
  </w:style>
  <w:style w:type="table" w:styleId="Grilledutableau">
    <w:name w:val="Table Grid"/>
    <w:basedOn w:val="Tableau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Ombrageclair">
    <w:name w:val="Light Shading"/>
    <w:basedOn w:val="Tableau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Trameclaire-Accent1">
    <w:name w:val="Light Shading Accent 1"/>
    <w:basedOn w:val="Tableau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Trameclaire-Accent2">
    <w:name w:val="Light Shading Accent 2"/>
    <w:basedOn w:val="Tableau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Trameclaire-Accent3">
    <w:name w:val="Light Shading Accent 3"/>
    <w:basedOn w:val="Tableau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Trameclaire-Accent4">
    <w:name w:val="Light Shading Accent 4"/>
    <w:basedOn w:val="Tableau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Trameclaire-Accent5">
    <w:name w:val="Light Shading Accent 5"/>
    <w:basedOn w:val="Tableau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Trameclaire-Accent6">
    <w:name w:val="Light Shading Accent 6"/>
    <w:basedOn w:val="Tableau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eclaire">
    <w:name w:val="Light List"/>
    <w:basedOn w:val="Tableau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eclaire-Accent1">
    <w:name w:val="Light List Accent 1"/>
    <w:basedOn w:val="Tableau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eclaire-Accent2">
    <w:name w:val="Light List Accent 2"/>
    <w:basedOn w:val="Tableau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eclaire-Accent3">
    <w:name w:val="Light List Accent 3"/>
    <w:basedOn w:val="Tableau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eclaire-Accent4">
    <w:name w:val="Light List Accent 4"/>
    <w:basedOn w:val="Tableau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eclaire-Accent5">
    <w:name w:val="Light List Accent 5"/>
    <w:basedOn w:val="Tableau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eclaire-Accent6">
    <w:name w:val="Light List Accent 6"/>
    <w:basedOn w:val="Tableau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lleclaire">
    <w:name w:val="Light Grid"/>
    <w:basedOn w:val="Tableau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lleclaire-Accent1">
    <w:name w:val="Light Grid Accent 1"/>
    <w:basedOn w:val="Tableau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lleclaire-Accent2">
    <w:name w:val="Light Grid Accent 2"/>
    <w:basedOn w:val="Tableau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lleclaire-Accent3">
    <w:name w:val="Light Grid Accent 3"/>
    <w:basedOn w:val="Tableau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lleclaire-Accent4">
    <w:name w:val="Light Grid Accent 4"/>
    <w:basedOn w:val="Tableau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lleclaire-Accent5">
    <w:name w:val="Light Grid Accent 5"/>
    <w:basedOn w:val="Tableau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lleclaire-Accent6">
    <w:name w:val="Light Grid Accent 6"/>
    <w:basedOn w:val="Tableau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Tramemoyenne1">
    <w:name w:val="Medium Shading 1"/>
    <w:basedOn w:val="Tableau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Tramemoyenne1-Accent1">
    <w:name w:val="Medium Shading 1 Accent 1"/>
    <w:basedOn w:val="Tableau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Tramemoyenne1-Accent2">
    <w:name w:val="Medium Shading 1 Accent 2"/>
    <w:basedOn w:val="Tableau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Tramemoyenne1-Accent3">
    <w:name w:val="Medium Shading 1 Accent 3"/>
    <w:basedOn w:val="Tableau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Tramemoyenne1-Accent4">
    <w:name w:val="Medium Shading 1 Accent 4"/>
    <w:basedOn w:val="Tableau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Tramemoyenne1-Accent5">
    <w:name w:val="Medium Shading 1 Accent 5"/>
    <w:basedOn w:val="Tableau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Tramemoyenne1-Accent6">
    <w:name w:val="Medium Shading 1 Accent 6"/>
    <w:basedOn w:val="Tableau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Tramemoyenne2">
    <w:name w:val="Medium Shading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1">
    <w:name w:val="Medium Shading 2 Accent 1"/>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2">
    <w:name w:val="Medium Shading 2 Accent 2"/>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3">
    <w:name w:val="Medium Shading 2 Accent 3"/>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4">
    <w:name w:val="Medium Shading 2 Accent 4"/>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5">
    <w:name w:val="Medium Shading 2 Accent 5"/>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Tramemoyenne2-Accent6">
    <w:name w:val="Medium Shading 2 Accent 6"/>
    <w:basedOn w:val="Tableau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emoyenne1">
    <w:name w:val="Medium List 1"/>
    <w:basedOn w:val="Tableau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emoyenne1-Accent1">
    <w:name w:val="Medium List 1 Accent 1"/>
    <w:basedOn w:val="Tableau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emoyenne1-Accent2">
    <w:name w:val="Medium List 1 Accent 2"/>
    <w:basedOn w:val="Tableau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emoyenne1-Accent3">
    <w:name w:val="Medium List 1 Accent 3"/>
    <w:basedOn w:val="Tableau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emoyenne1-Accent4">
    <w:name w:val="Medium List 1 Accent 4"/>
    <w:basedOn w:val="Tableau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emoyenne1-Accent5">
    <w:name w:val="Medium List 1 Accent 5"/>
    <w:basedOn w:val="Tableau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emoyenne1-Accent6">
    <w:name w:val="Medium List 1 Accent 6"/>
    <w:basedOn w:val="Tableau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emoyenne2">
    <w:name w:val="Medium Lis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1">
    <w:name w:val="Medium List 2 Accent 1"/>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2">
    <w:name w:val="Medium List 2 Accent 2"/>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3">
    <w:name w:val="Medium List 2 Accent 3"/>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4">
    <w:name w:val="Medium List 2 Accent 4"/>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5">
    <w:name w:val="Medium List 2 Accent 5"/>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emoyenne2-Accent6">
    <w:name w:val="Medium List 2 Accent 6"/>
    <w:basedOn w:val="Tableau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llemoyenne1">
    <w:name w:val="Medium Grid 1"/>
    <w:basedOn w:val="Tableau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moyenne1-Accent1">
    <w:name w:val="Medium Grid 1 Accent 1"/>
    <w:basedOn w:val="Tableau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moyenne1-Accent2">
    <w:name w:val="Medium Grid 1 Accent 2"/>
    <w:basedOn w:val="Tableau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moyenne1-Accent3">
    <w:name w:val="Medium Grid 1 Accent 3"/>
    <w:basedOn w:val="Tableau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moyenne1-Accent4">
    <w:name w:val="Medium Grid 1 Accent 4"/>
    <w:basedOn w:val="Tableau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moyenne1-Accent5">
    <w:name w:val="Medium Grid 1 Accent 5"/>
    <w:basedOn w:val="Tableau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moyenne1-Accent6">
    <w:name w:val="Medium Grid 1 Accent 6"/>
    <w:basedOn w:val="Tableau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llemoyenne2">
    <w:name w:val="Medium Grid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llemoyenne2-Accent1">
    <w:name w:val="Medium Grid 2 Accent 1"/>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llemoyenne2-Accent2">
    <w:name w:val="Medium Grid 2 Accent 2"/>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llemoyenne2-Accent3">
    <w:name w:val="Medium Grid 2 Accent 3"/>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llemoyenne2-Accent4">
    <w:name w:val="Medium Grid 2 Accent 4"/>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llemoyenne2-Accent5">
    <w:name w:val="Medium Grid 2 Accent 5"/>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llemoyenne2-Accent6">
    <w:name w:val="Medium Grid 2 Accent 6"/>
    <w:basedOn w:val="Tableau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llemoyenne3">
    <w:name w:val="Medium Grid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llemoyenne3-Accent1">
    <w:name w:val="Medium Grid 3 Accent 1"/>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llemoyenne3-Accent2">
    <w:name w:val="Medium Grid 3 Accent 2"/>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llemoyenne3-Accent3">
    <w:name w:val="Medium Grid 3 Accent 3"/>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llemoyenne3-Accent4">
    <w:name w:val="Medium Grid 3 Accent 4"/>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llemoyenne3-Accent5">
    <w:name w:val="Medium Grid 3 Accent 5"/>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llemoyenne3-Accent6">
    <w:name w:val="Medium Grid 3 Accent 6"/>
    <w:basedOn w:val="Tableau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efonce">
    <w:name w:val="Dark List"/>
    <w:basedOn w:val="Tableau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efonce-Accent1">
    <w:name w:val="Dark List Accent 1"/>
    <w:basedOn w:val="Tableau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efonce-Accent2">
    <w:name w:val="Dark List Accent 2"/>
    <w:basedOn w:val="Tableau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efonce-Accent3">
    <w:name w:val="Dark List Accent 3"/>
    <w:basedOn w:val="Tableau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efonce-Accent4">
    <w:name w:val="Dark List Accent 4"/>
    <w:basedOn w:val="Tableau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efonce-Accent5">
    <w:name w:val="Dark List Accent 5"/>
    <w:basedOn w:val="Tableau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efonce-Accent6">
    <w:name w:val="Dark List Accent 6"/>
    <w:basedOn w:val="Tableau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Tramecouleur">
    <w:name w:val="Colorful Shading"/>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Tramecouleur-Accent1">
    <w:name w:val="Colorful Shading Accent 1"/>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Tramecouleur-Accent2">
    <w:name w:val="Colorful Shading Accent 2"/>
    <w:basedOn w:val="Tableau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Tramecouleur-Accent3">
    <w:name w:val="Colorful Shading Accent 3"/>
    <w:basedOn w:val="Tableau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Tramecouleur-Accent4">
    <w:name w:val="Colorful Shading Accent 4"/>
    <w:basedOn w:val="Tableau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Tramecouleur-Accent5">
    <w:name w:val="Colorful Shading Accent 5"/>
    <w:basedOn w:val="Tableau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Tramecouleur-Accent6">
    <w:name w:val="Colorful Shading Accent 6"/>
    <w:basedOn w:val="Tableau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ecouleur">
    <w:name w:val="Colorful List"/>
    <w:basedOn w:val="Tableau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ecouleur-Accent1">
    <w:name w:val="Colorful List Accent 1"/>
    <w:basedOn w:val="Tableau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ecouleur-Accent2">
    <w:name w:val="Colorful List Accent 2"/>
    <w:basedOn w:val="Tableau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ecouleur-Accent3">
    <w:name w:val="Colorful List Accent 3"/>
    <w:basedOn w:val="Tableau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ecouleur-Accent4">
    <w:name w:val="Colorful List Accent 4"/>
    <w:basedOn w:val="Tableau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ecouleur-Accent5">
    <w:name w:val="Colorful List Accent 5"/>
    <w:basedOn w:val="Tableau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ecouleur-Accent6">
    <w:name w:val="Colorful List Accent 6"/>
    <w:basedOn w:val="Tableau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llecouleur">
    <w:name w:val="Colorful Grid"/>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llecouleur-Accent1">
    <w:name w:val="Colorful Grid Accent 1"/>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llecouleur-Accent2">
    <w:name w:val="Colorful Grid Accent 2"/>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llecouleur-Accent3">
    <w:name w:val="Colorful Grid Accent 3"/>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llecouleur-Accent4">
    <w:name w:val="Colorful Grid Accent 4"/>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llecouleur-Accent5">
    <w:name w:val="Colorful Grid Accent 5"/>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llecouleur-Accent6">
    <w:name w:val="Colorful Grid Accent 6"/>
    <w:basedOn w:val="Tableau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Lienhypertexte">
    <w:name w:val="Hyperlink"/>
    <w:basedOn w:val="Policepardfaut"/>
    <w:uiPriority w:val="99"/>
    <w:unhideWhenUsed/>
    <w:rsid w:val="00EF2E1D"/>
    <w:rPr>
      <w:color w:val="0000FF" w:themeColor="hyperlink"/>
      <w:u w:val="single"/>
    </w:rPr>
  </w:style>
  <w:style w:type="character" w:styleId="Mentionnonrsolue">
    <w:name w:val="Unresolved Mention"/>
    <w:basedOn w:val="Policepardfaut"/>
    <w:uiPriority w:val="99"/>
    <w:semiHidden/>
    <w:unhideWhenUsed/>
    <w:rsid w:val="00EF2E1D"/>
    <w:rPr>
      <w:color w:val="605E5C"/>
      <w:shd w:val="clear" w:color="auto" w:fill="E1DFDD"/>
    </w:rPr>
  </w:style>
  <w:style w:type="character" w:styleId="Lienhypertextesuivivisit">
    <w:name w:val="FollowedHyperlink"/>
    <w:basedOn w:val="Policepardfaut"/>
    <w:uiPriority w:val="99"/>
    <w:semiHidden/>
    <w:unhideWhenUsed/>
    <w:rsid w:val="00EF2E1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
<Relationship Id="rIdSty" Type="http://schemas.openxmlformats.org/officeDocument/2006/relationships/styles" Target="styles.xml"/>
<Relationship Id="rIdNum" Type="http://schemas.openxmlformats.org/officeDocument/2006/relationships/numbering" Target="numbering.xml"/>
<Relationship Id="rIdThm" Type="http://schemas.openxmlformats.org/officeDocument/2006/relationships/theme" Target="theme/theme1.xml"/>
<Relationship Id="rIdFnt" Type="http://schemas.openxmlformats.org/officeDocument/2006/relationships/fontTable" Target="fontTable.xml"/>
<Relationship Id="rIdSet" Type="http://schemas.openxmlformats.org/officeDocument/2006/relationships/settings" Target="settings.xml"/>
<Relationship Id="rIdWeb" Type="http://schemas.openxmlformats.org/officeDocument/2006/relationships/webSettings" Target="webSettings.xml"/>
<Relationship Id="rIdHdr" Type="http://schemas.openxmlformats.org/officeDocument/2006/relationships/header" Target="header1.xml"/>
<Relationship Id="rIdFtr" Type="http://schemas.openxmlformats.org/officeDocument/2006/relationships/footer" Target="footer1.xml"/>
<Relationship Id="rIdImg1" Type="http://schemas.openxmlformats.org/officeDocument/2006/relationships/image" Target="media/Dashboard.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165</TotalTime>
  <Pages>18</Pages>
  <Words>4950</Words>
  <Characters>27226</Characters>
  <Application>Microsoft Office Word</Application>
  <DocSecurity>0</DocSecurity>
  <Lines>226</Lines>
  <Paragraphs>64</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32112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Salem Haouari</cp:lastModifiedBy>
  <cp:revision>8</cp:revision>
  <cp:lastPrinted>2026-07-17T13:17:00Z</cp:lastPrinted>
  <dcterms:created xsi:type="dcterms:W3CDTF">2013-12-23T23:15:00Z</dcterms:created>
  <dcterms:modified xsi:type="dcterms:W3CDTF">2026-07-17T14:00:00Z</dcterms:modified>
  <cp:category/>
</cp:coreProperties>
</file>