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DOSSIER MERCATO IMMOBILIARE</w:t>
      </w:r>
    </w:p>
    <w:p>
      <w:pPr>
        <w:jc w:val="center"/>
      </w:pPr>
      <w:r>
        <w:rPr>
          <w:color w:val="1F3864"/>
          <w:sz w:val="28"/>
        </w:rPr>
        <w:t>Firenze Sud-Ovest + Scandicci</w:t>
      </w:r>
    </w:p>
    <w:p>
      <w:pPr>
        <w:jc w:val="center"/>
      </w:pPr>
      <w:r>
        <w:rPr>
          <w:i/>
        </w:rPr>
        <w:t>Per acquisizione immobili - "L'agenzia alle torri" (ex Tecnocasa)</w:t>
      </w:r>
    </w:p>
    <w:p>
      <w:pPr>
        <w:jc w:val="center"/>
      </w:pPr>
      <w:r>
        <w:rPr>
          <w:sz w:val="18"/>
        </w:rPr>
        <w:t>Aggiornamento: giugno 2026  |  Zone: Isolotto, Legnaia, Soffiano, Ponte a Greve, Firenze Q4, Scandicci</w:t>
      </w:r>
    </w:p>
    <w:p>
      <w:r>
        <w:rPr>
          <w:b w:val="0"/>
          <w:i/>
          <w:sz w:val="18"/>
        </w:rPr>
        <w:t>Nota metodologica: i valori al mq incrociano asking price (Immobiliare.it via aggregatori), quotazioni notarili OMI (Agenzia Entrate) e report Ufficio Studi Tecnocasa. Gli asking price sono ~7% sopra i prezzi di rogito effettivi. I valori OMI sono i piu bassi perche basati su atti registrati.</w:t>
      </w:r>
    </w:p>
    <w:p>
      <w:pPr>
        <w:pStyle w:val="Heading1"/>
      </w:pPr>
      <w:r>
        <w:rPr>
          <w:color w:val="1F3864"/>
        </w:rPr>
        <w:t>1. Prezzi al mq - Vendita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Zona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Medio EUR/mq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Range EUR/mq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Trend 12 mesi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Firenze citta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4.719-4.737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3.432-6.364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+5,4% (apr 26 vs 25)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Immobiliare.it / catonecasa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Firenze Sud (Q4)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4.696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4.450-4.900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+18,65%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catonecasa / Immobiliare.it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Legnaia-Soffiano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3.946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+16,57%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catonecasa / Immobiliare.it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Isolotto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3.732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+15,53%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Immobiliare.it / catonecasa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Scandicci (asking)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3.382-3.538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2.809-3.736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+4,3% / +7%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Immobiliare.it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Scandicci (OMI rogiti)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2.670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appart. 2.510 / case 2.723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+6,04%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OMI Agenzia Entrate</w:t>
            </w:r>
          </w:p>
        </w:tc>
      </w:tr>
    </w:tbl>
    <w:p>
      <w:pPr>
        <w:pStyle w:val="ListBullet"/>
      </w:pPr>
      <w:r>
        <w:t>Il quadrante sud-ovest cresce piu della media citta (+15-18% vs +5,4%): zona "in recupero". Isolotto/Legnaia restano sotto la media citta (3.700-3.950 vs 4.737) -&gt; accessibili, forte domanda.</w:t>
      </w:r>
    </w:p>
    <w:p>
      <w:pPr>
        <w:pStyle w:val="ListBullet"/>
      </w:pPr>
      <w:r>
        <w:t>Sub-zone Scandicci: max Mosciano-Casignano-Giogoli 3.736 EUR/mq; min San Vincenzo a Torri / S. Maria a Marciola 2.809 EUR/mq. Picco storico giugno 2025.</w:t>
      </w:r>
    </w:p>
    <w:p>
      <w:pPr>
        <w:pStyle w:val="ListBullet"/>
      </w:pPr>
      <w:r>
        <w:t>Previsione Firenze 2026: oltre 5.000 EUR/mq.</w:t>
      </w:r>
    </w:p>
    <w:p>
      <w:pPr>
        <w:pStyle w:val="Heading1"/>
      </w:pPr>
      <w:r>
        <w:rPr>
          <w:color w:val="1F3864"/>
        </w:rPr>
        <w:t>2. Affitti (EUR/mq/mese)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Zona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EUR/mq/mese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Firenze citta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20,75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previsione 2026 verso 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Isolotto (asking)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15,53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zona piu economica di Firenze per l'affitto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Isolotto (OMI C15)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7,1-9,2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valori ufficiali Agenzia Entrate</w:t>
            </w:r>
          </w:p>
        </w:tc>
      </w:tr>
    </w:tbl>
    <w:p>
      <w:r>
        <w:rPr>
          <w:b w:val="0"/>
          <w:i w:val="0"/>
        </w:rPr>
        <w:t>Riferimenti reali: monolocale 29 mq Via Pisana (Legnaia) 650 EUR/mese; trilocale zona sud ~800 EUR/mese. Isolotto = ingresso piu economico della citta -&gt; alta rotazione -&gt; bacino di proprietari che prima o poi vendono.</w:t>
      </w:r>
    </w:p>
    <w:p>
      <w:pPr>
        <w:pStyle w:val="Heading1"/>
      </w:pPr>
      <w:r>
        <w:rPr>
          <w:color w:val="1F3864"/>
        </w:rPr>
        <w:t>3. Domanda vs Offerta - mercato "tirato"</w:t>
      </w:r>
    </w:p>
    <w:p>
      <w:pPr>
        <w:pStyle w:val="ListBullet"/>
      </w:pPr>
      <w:r>
        <w:t>Tempi di vendita Firenze citta: ~97 giorni (gen 2025, Tecnocasa); provincia tra le piu rapide d'Italia. II sem 2025: assorbimento ~6 mesi. Hinterland 117 gg.</w:t>
      </w:r>
    </w:p>
    <w:p>
      <w:pPr>
        <w:pStyle w:val="ListBullet"/>
      </w:pPr>
      <w:r>
        <w:t>Sconto medio sul richiesto a Firenze: 7% (vs 11,2% media nazionale) -&gt; a Firenze si tratta poco = mercato del venditore.</w:t>
      </w:r>
    </w:p>
    <w:p>
      <w:pPr>
        <w:pStyle w:val="ListBullet"/>
      </w:pPr>
      <w:r>
        <w:t>Offerta in calo + domanda solida -&gt; la scarsita sostiene i valori e riduce i tempi. Compravendite Italia I sem 2025 +9,5%.</w:t>
      </w:r>
    </w:p>
    <w:p>
      <w:r>
        <w:rPr>
          <w:b/>
          <w:i w:val="0"/>
        </w:rPr>
        <w:t>Implicazione acquisizione: il prodotto da vendere e scarso -&gt; chi ACQUISISCE l'incarico per primo e il collo di bottiglia. Vende chiunque; il valore e mettere le mani sull'incarico, meglio se in esclusiva.</w:t>
      </w:r>
    </w:p>
    <w:p>
      <w:r>
        <w:rPr>
          <w:b w:val="0"/>
          <w:i w:val="0"/>
        </w:rPr>
        <w:t>Esclusiva: agenzie top 85% portafoglio in esclusiva; 1 esclusiva = 5-8 incarichi non esclusivi per ROI.</w:t>
      </w:r>
    </w:p>
    <w:p>
      <w:pPr>
        <w:pStyle w:val="Heading1"/>
      </w:pPr>
      <w:r>
        <w:rPr>
          <w:color w:val="1F3864"/>
        </w:rPr>
        <w:t>4. Ciclo di ricambio casa (claim "7-8 anni")</w:t>
      </w:r>
    </w:p>
    <w:p>
      <w:r>
        <w:rPr>
          <w:b w:val="0"/>
          <w:i w:val="0"/>
        </w:rPr>
        <w:t>Il numero secco "7-8 anni" NON e confermato dalle fonti pubbliche - usare con cautela. Dati certi:</w:t>
      </w:r>
    </w:p>
    <w:p>
      <w:pPr>
        <w:pStyle w:val="ListBullet"/>
      </w:pPr>
      <w:r>
        <w:t>~30% degli italiani cambia casa almeno una volta ogni 5 anni (Weplaza).</w:t>
      </w:r>
    </w:p>
    <w:p>
      <w:pPr>
        <w:pStyle w:val="ListBullet"/>
      </w:pPr>
      <w:r>
        <w:t>Nuclei che cambiano casa: da 797.000 (2001) a 1.617.000 (2022) -&gt; dal 3,7% al 6,4%/anno.</w:t>
      </w:r>
    </w:p>
    <w:p>
      <w:pPr>
        <w:pStyle w:val="ListBullet"/>
      </w:pPr>
      <w:r>
        <w:t>4.430 nuclei/giorno cambiano indirizzo. 82% vive in casa di proprieta (ISTAT dic 2025).</w:t>
      </w:r>
    </w:p>
    <w:p>
      <w:r>
        <w:rPr>
          <w:b/>
          <w:i w:val="0"/>
        </w:rPr>
        <w:t>Riformulazione difendibile: "una quota crescente di famiglie cambia casa ogni 5-8 anni" - non citare il 7-8 come dato ufficiale.</w:t>
      </w:r>
    </w:p>
    <w:p>
      <w:pPr>
        <w:pStyle w:val="Heading1"/>
      </w:pPr>
      <w:r>
        <w:rPr>
          <w:color w:val="1F3864"/>
        </w:rPr>
        <w:t>5. Profilo acquirente tipico (Tecnocasa Firenze 2025)</w:t>
      </w:r>
    </w:p>
    <w:p>
      <w:pPr>
        <w:pStyle w:val="ListBullet"/>
      </w:pPr>
      <w:r>
        <w:t>81,5% acquista abitazione principale; 15,2% investimento; 3,3% casa vacanza.</w:t>
      </w:r>
    </w:p>
    <w:p>
      <w:pPr>
        <w:pStyle w:val="ListBullet"/>
      </w:pPr>
      <w:r>
        <w:t>74,3% coppie e famiglie; single in crescita 22,8% -&gt; 25,7%.</w:t>
      </w:r>
    </w:p>
    <w:p>
      <w:pPr>
        <w:pStyle w:val="ListBullet"/>
      </w:pPr>
      <w:r>
        <w:t>Investimento: Firenze la % piu alta d'Italia 22,5%; 77,1% degli investimenti in contanti.</w:t>
      </w:r>
    </w:p>
    <w:p>
      <w:pPr>
        <w:pStyle w:val="ListBullet"/>
      </w:pPr>
      <w:r>
        <w:t>Stranieri in calo: 5,7%. Tipologia piu richiesta: trilocale (2 camere) 32,7%, alla pari col quadrilocale.</w:t>
      </w:r>
    </w:p>
    <w:p>
      <w:r>
        <w:rPr>
          <w:b/>
          <w:i w:val="0"/>
        </w:rPr>
        <w:t>Chi cerca casa e probabilmente ha casa da vendere: la coppia/famiglia in upgrade da bilo/trilocale a trilo/quadrilocale (per figli) - ha quasi sempre un immobile da liberare. Nel sud-ovest (zona accessibile, prima casa) il trade-up e frequente.</w:t>
      </w:r>
    </w:p>
    <w:p>
      <w:pPr>
        <w:pStyle w:val="Heading1"/>
      </w:pPr>
      <w:r>
        <w:rPr>
          <w:color w:val="1F3864"/>
        </w:rPr>
        <w:t>6. Concorrenza (Isolotto / Legnaia / Scandicci)</w:t>
      </w:r>
    </w:p>
    <w:p>
      <w:pPr>
        <w:pStyle w:val="ListBullet"/>
      </w:pPr>
      <w:r>
        <w:t>Densita altissima: ~190 agenzie in Isolotto-Legnaia (Q4), 32 a Scandicci -&gt; l'acquisizione e guerra di velocita e relazione.</w:t>
      </w:r>
    </w:p>
    <w:p>
      <w:pPr>
        <w:pStyle w:val="ListBullet"/>
      </w:pPr>
      <w:r>
        <w:t>Franchising: Tecnocasa (il cliente e ex-Tecnocasa, conosce il metodo), Gabetti, Toscano, Grimaldi/L'Immobiliare.com, RE/MAX (Isolotto-Talenti), Italiana Immobiliare (Soffiano, Scandicci).</w:t>
      </w:r>
    </w:p>
    <w:p>
      <w:pPr>
        <w:pStyle w:val="ListBullet"/>
      </w:pPr>
      <w:r>
        <w:t>Differenziale: non la vendita (il prodotto si vende da solo in 3-6 mesi) ma chi prende l'incarico per primo e in esclusiva.</w:t>
      </w:r>
    </w:p>
    <w:p>
      <w:pPr>
        <w:pStyle w:val="Heading1"/>
      </w:pPr>
      <w:r>
        <w:rPr>
          <w:color w:val="1F3864"/>
        </w:rPr>
        <w:t>7. Leve di acquisizione 2026</w:t>
      </w:r>
    </w:p>
    <w:p>
      <w:pPr>
        <w:pStyle w:val="ListBullet"/>
      </w:pPr>
      <w:r>
        <w:t>Valutazione professionale (analisi di mercato sui prezzi reali), non "gratis e generica" (attira perditempo).</w:t>
      </w:r>
    </w:p>
    <w:p>
      <w:pPr>
        <w:pStyle w:val="ListBullet"/>
      </w:pPr>
      <w:r>
        <w:t>Scouting annunci privati (FSBO): proprietari motivati con prezzo/tempi sub-ottimali, target naturale per esclusiva.</w:t>
      </w:r>
    </w:p>
    <w:p>
      <w:pPr>
        <w:pStyle w:val="ListBullet"/>
      </w:pPr>
      <w:r>
        <w:t>"Deve prima vendere": chi compra (trade-up famiglie 74%) ha quasi sempre un immobile da vendere -&gt; ogni lead-acquirente e anche lead-venditore.</w:t>
      </w:r>
    </w:p>
    <w:p>
      <w:pPr>
        <w:pStyle w:val="ListBullet"/>
      </w:pPr>
      <w:r>
        <w:t>Direttiva Case Green: classi energetiche basse perdono valore -&gt; urgenza per chi e indeciso.</w:t>
      </w:r>
    </w:p>
    <w:p>
      <w:pPr>
        <w:pStyle w:val="ListBullet"/>
      </w:pPr>
      <w:r>
        <w:t>Esclusiva come obiettivo (ROI 5-8x).</w:t>
      </w:r>
    </w:p>
    <w:p>
      <w:pPr>
        <w:pStyle w:val="Heading1"/>
      </w:pPr>
      <w:r>
        <w:rPr>
          <w:color w:val="1F3864"/>
        </w:rPr>
        <w:t>8. Takeaway operativi (insight -&gt; uso nello 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Insight chiave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Come usarlo in chiamata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Mercato del venditore (sconto 7%, 97 gg)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"In zona le case si vendono in meno di 3 mesi con sconti minimi. Se ha un immobile e il momento: vuole sapere quanto vale oggi?"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Prezzi sud-ovest +15-18% in un anno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"Forse la sua casa vale molto piu di quanto pensa. Le faccio una valutazione aggiornata?"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Offerta scarsa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"Pochissime case sul mercato, tanti acquirenti in attesa. Se mette in vendita ora ha la fila."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Chi cerca casa deve prima vendere la sua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"Quando cercava casa, doveva anche venderne una? Quella che ha oggi e ancora sua?"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Trilocale taglio piu richiesto (32,7%)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"I trilocali in zona vanno a ruba, ho gia acquirenti che li cercano."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Isolotto zona piu economica -&gt; alta rotazione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Targetizzare chi e in zona da 5-8 anni: tipico momento di upgrade.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Valutazione professionale, non generica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"Le porto un'analisi sui prezzi reali degli ultimi atti nella sua via, non una stima a caso."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Direttiva Case Green come urgenza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"Con le nuove regole UE le classi basse rischiano di perdere valore."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190 competitor -&gt; velocita ed esclusiva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Chiudere su appuntamento fisico ravvicinato; puntare all'esclusiva.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Investimento cash alto (77%)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 chi ha immobile a reddito: "Ho acquirenti liquidi pronti, lo valutiamo?"</w:t>
            </w:r>
          </w:p>
        </w:tc>
      </w:tr>
    </w:tbl>
    <w:p>
      <w:pPr>
        <w:pStyle w:val="Heading1"/>
      </w:pPr>
      <w:r>
        <w:rPr>
          <w:color w:val="1F3864"/>
        </w:rPr>
        <w:t>Caveat sui dati</w:t>
      </w:r>
    </w:p>
    <w:p>
      <w:pPr>
        <w:pStyle w:val="ListBullet"/>
      </w:pPr>
      <w:r>
        <w:t>Valori Immobiliare.it = asking price (offerta), reali ~7% sotto. OMI = da rogiti, piu conservativi.</w:t>
      </w:r>
    </w:p>
    <w:p>
      <w:pPr>
        <w:pStyle w:val="ListBullet"/>
      </w:pPr>
      <w:r>
        <w:t>"Ciclo casa 7-8 anni" non verificabile come cifra secca.</w:t>
      </w:r>
    </w:p>
    <w:p>
      <w:pPr>
        <w:pStyle w:val="ListBullet"/>
      </w:pPr>
      <w:r>
        <w:t>Dati Scandicci ad ago 2025, Firenze ad apr 2026 (sfasamento fisiologico tra fonti).</w:t>
      </w:r>
    </w:p>
    <w:p/>
    <w:p>
      <w:r>
        <w:rPr>
          <w:b w:val="0"/>
          <w:i/>
          <w:sz w:val="16"/>
        </w:rPr>
        <w:t>Fonti principali: Immobiliare.it, Idealista.it, catonecasa.it, OMI Agenzia delle Entrate (immobiliagest.it), Ufficio Studi Tecnocasa, Nomisma, 055firenze.it, La Nazione, ISTAT/ANSA, peracquisire.it, RealAdvisor, Gromia.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