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3C6E"/>
          <w:sz w:val="36"/>
        </w:rPr>
        <w:t>Finanzierungsübersicht</w:t>
      </w:r>
    </w:p>
    <w:p>
      <w:pPr>
        <w:jc w:val="center"/>
      </w:pPr>
      <w:r>
        <w:rPr>
          <w:color w:val="555555"/>
          <w:sz w:val="24"/>
        </w:rPr>
        <w:t>Objekt 2025-KN-1578, Klosterinsel Reichenau, Konstanz</w:t>
      </w:r>
    </w:p>
    <w:p/>
    <w:p>
      <w:r>
        <w:rPr>
          <w:b/>
          <w:color w:val="1A3C6E"/>
          <w:sz w:val="26"/>
        </w:rPr>
        <w:t>1. Objektdaten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fill="1a3c6e" w:val="clear"/>
          </w:tcPr>
          <w:p>
            <w:r/>
            <w:r>
              <w:rPr>
                <w:b/>
                <w:color w:val="FFFFFF"/>
                <w:sz w:val="20"/>
              </w:rPr>
              <w:t>Merkmal</w:t>
            </w:r>
          </w:p>
        </w:tc>
        <w:tc>
          <w:tcPr>
            <w:tcW w:type="dxa" w:w="6236"/>
            <w:shd w:fill="1a3c6e" w:val="clear"/>
          </w:tcPr>
          <w:p>
            <w:r/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Kaufpreis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539.000 €</w:t>
            </w:r>
          </w:p>
        </w:tc>
      </w:tr>
      <w:tr>
        <w:tc>
          <w:tcPr>
            <w:tcW w:type="dxa" w:w="2835"/>
            <w:shd w:fill="f0f4fa" w:val="clear"/>
          </w:tcPr>
          <w:p>
            <w:r/>
            <w:r>
              <w:rPr>
                <w:sz w:val="20"/>
              </w:rPr>
              <w:t>Wohnfläche</w:t>
            </w:r>
          </w:p>
        </w:tc>
        <w:tc>
          <w:tcPr>
            <w:tcW w:type="dxa" w:w="6236"/>
            <w:shd w:fill="f0f4fa" w:val="clear"/>
          </w:tcPr>
          <w:p>
            <w:r/>
            <w:r>
              <w:rPr>
                <w:sz w:val="20"/>
              </w:rPr>
              <w:t>123,25 m²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Zimmer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3,5</w:t>
            </w:r>
          </w:p>
        </w:tc>
      </w:tr>
      <w:tr>
        <w:tc>
          <w:tcPr>
            <w:tcW w:type="dxa" w:w="2835"/>
            <w:shd w:fill="f0f4fa" w:val="clear"/>
          </w:tcPr>
          <w:p>
            <w:r/>
            <w:r>
              <w:rPr>
                <w:sz w:val="20"/>
              </w:rPr>
              <w:t>Etage</w:t>
            </w:r>
          </w:p>
        </w:tc>
        <w:tc>
          <w:tcPr>
            <w:tcW w:type="dxa" w:w="6236"/>
            <w:shd w:fill="f0f4fa" w:val="clear"/>
          </w:tcPr>
          <w:p>
            <w:r/>
            <w:r>
              <w:rPr>
                <w:sz w:val="20"/>
              </w:rPr>
              <w:t>2. Obergeschoss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Baujahr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1726 (Denkmalschutz)</w:t>
            </w:r>
          </w:p>
        </w:tc>
      </w:tr>
      <w:tr>
        <w:tc>
          <w:tcPr>
            <w:tcW w:type="dxa" w:w="2835"/>
            <w:shd w:fill="f0f4fa" w:val="clear"/>
          </w:tcPr>
          <w:p>
            <w:r/>
            <w:r>
              <w:rPr>
                <w:sz w:val="20"/>
              </w:rPr>
              <w:t>Heizung</w:t>
            </w:r>
          </w:p>
        </w:tc>
        <w:tc>
          <w:tcPr>
            <w:tcW w:type="dxa" w:w="6236"/>
            <w:shd w:fill="f0f4fa" w:val="clear"/>
          </w:tcPr>
          <w:p>
            <w:r/>
            <w:r>
              <w:rPr>
                <w:sz w:val="20"/>
              </w:rPr>
              <w:t>Holzpellet (neu 2023) + Photovoltaikanlage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Energieklasse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F (189,5 kWh/m²·a)</w:t>
            </w:r>
          </w:p>
        </w:tc>
      </w:tr>
      <w:tr>
        <w:tc>
          <w:tcPr>
            <w:tcW w:type="dxa" w:w="2835"/>
            <w:shd w:fill="f0f4fa" w:val="clear"/>
          </w:tcPr>
          <w:p>
            <w:r/>
            <w:r>
              <w:rPr>
                <w:sz w:val="20"/>
              </w:rPr>
              <w:t>Nutzung</w:t>
            </w:r>
          </w:p>
        </w:tc>
        <w:tc>
          <w:tcPr>
            <w:tcW w:type="dxa" w:w="6236"/>
            <w:shd w:fill="f0f4fa" w:val="clear"/>
          </w:tcPr>
          <w:p>
            <w:r/>
            <w:r>
              <w:rPr>
                <w:sz w:val="20"/>
              </w:rPr>
              <w:t>Vermietung (Familie, mind. 66 % der ortsüblichen Vergleichsmiete gem. §21 Abs. 2 EStG)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Lage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UNESCO-Welterbe Reichenau, Bodensee, 15 Min. Konstanz</w:t>
            </w:r>
          </w:p>
        </w:tc>
      </w:tr>
      <w:tr>
        <w:tc>
          <w:tcPr>
            <w:tcW w:type="dxa" w:w="2835"/>
            <w:shd w:fill="f0f4fa" w:val="clear"/>
          </w:tcPr>
          <w:p>
            <w:r/>
            <w:r>
              <w:rPr>
                <w:sz w:val="20"/>
              </w:rPr>
              <w:t>Stellplatz</w:t>
            </w:r>
          </w:p>
        </w:tc>
        <w:tc>
          <w:tcPr>
            <w:tcW w:type="dxa" w:w="6236"/>
            <w:shd w:fill="f0f4fa" w:val="clear"/>
          </w:tcPr>
          <w:p>
            <w:r/>
            <w:r>
              <w:rPr>
                <w:sz w:val="20"/>
              </w:rPr>
              <w:t>1 Kfz-Stellplatz im Freien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Hausgeld / WEG-Kosten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Wird beim Verkäufer angefragt (inkl. Instandhaltungsrücklage)</w:t>
            </w:r>
          </w:p>
        </w:tc>
      </w:tr>
      <w:tr>
        <w:tc>
          <w:tcPr>
            <w:tcW w:type="dxa" w:w="2835"/>
            <w:shd w:fill="f0f4fa" w:val="clear"/>
          </w:tcPr>
          <w:p>
            <w:r/>
            <w:r>
              <w:rPr>
                <w:sz w:val="20"/>
              </w:rPr>
              <w:t>Teilungserklärung</w:t>
            </w:r>
          </w:p>
        </w:tc>
        <w:tc>
          <w:tcPr>
            <w:tcW w:type="dxa" w:w="6236"/>
            <w:shd w:fill="f0f4fa" w:val="clear"/>
          </w:tcPr>
          <w:p>
            <w:r/>
            <w:r>
              <w:rPr>
                <w:sz w:val="20"/>
              </w:rPr>
              <w:t>Wird beim Verkäufer angefragt</w:t>
            </w:r>
          </w:p>
        </w:tc>
      </w:tr>
    </w:tbl>
    <w:p/>
    <w:p>
      <w:r>
        <w:rPr>
          <w:b/>
          <w:color w:val="1A3C6E"/>
          <w:sz w:val="26"/>
        </w:rPr>
        <w:t>2. Kaufnebenkosten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5102"/>
            <w:shd w:fill="1a3c6e" w:val="clear"/>
          </w:tcPr>
          <w:p>
            <w:r/>
            <w:r>
              <w:rPr>
                <w:b/>
                <w:color w:val="FFFFFF"/>
                <w:sz w:val="20"/>
              </w:rPr>
              <w:t>Position</w:t>
            </w:r>
          </w:p>
        </w:tc>
        <w:tc>
          <w:tcPr>
            <w:tcW w:type="dxa" w:w="3969"/>
            <w:shd w:fill="1a3c6e" w:val="clear"/>
          </w:tcPr>
          <w:p>
            <w:r/>
            <w:r>
              <w:rPr>
                <w:b/>
                <w:color w:val="FFFFFF"/>
                <w:sz w:val="20"/>
              </w:rPr>
              <w:t>Betrag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20"/>
              </w:rPr>
              <w:t>Grunderwerbsteuer (5,0 % BaWü)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26.950 €</w:t>
            </w:r>
          </w:p>
        </w:tc>
      </w:tr>
      <w:tr>
        <w:tc>
          <w:tcPr>
            <w:tcW w:type="dxa" w:w="5102"/>
            <w:shd w:fill="f0f4fa" w:val="clear"/>
          </w:tcPr>
          <w:p>
            <w:r/>
            <w:r>
              <w:rPr>
                <w:sz w:val="20"/>
              </w:rPr>
              <w:t>Maklerprovision (3,57 % inkl. MwSt.)</w:t>
            </w:r>
          </w:p>
        </w:tc>
        <w:tc>
          <w:tcPr>
            <w:tcW w:type="dxa" w:w="3969"/>
            <w:shd w:fill="f0f4fa" w:val="clear"/>
          </w:tcPr>
          <w:p>
            <w:r/>
            <w:r>
              <w:rPr>
                <w:sz w:val="20"/>
              </w:rPr>
              <w:t>19.242 €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20"/>
              </w:rPr>
              <w:t>Notar + Grundbuch (ca. 1,7 %)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9.163 €</w:t>
            </w:r>
          </w:p>
        </w:tc>
      </w:tr>
      <w:tr>
        <w:tc>
          <w:tcPr>
            <w:tcW w:type="dxa" w:w="5102"/>
            <w:shd w:fill="f0f4fa" w:val="clear"/>
          </w:tcPr>
          <w:p>
            <w:r/>
            <w:r>
              <w:rPr>
                <w:sz w:val="20"/>
              </w:rPr>
              <w:t>Gesamt Nebenkosten</w:t>
            </w:r>
          </w:p>
        </w:tc>
        <w:tc>
          <w:tcPr>
            <w:tcW w:type="dxa" w:w="3969"/>
            <w:shd w:fill="f0f4fa" w:val="clear"/>
          </w:tcPr>
          <w:p>
            <w:r/>
            <w:r>
              <w:rPr>
                <w:sz w:val="20"/>
              </w:rPr>
              <w:t>55.355 €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sz w:val="20"/>
              </w:rPr>
              <w:t>Gesamter Finanzierungsbedarf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20"/>
              </w:rPr>
              <w:t>594.355 €</w:t>
            </w:r>
          </w:p>
        </w:tc>
      </w:tr>
    </w:tbl>
    <w:p/>
    <w:p>
      <w:r>
        <w:rPr>
          <w:b/>
          <w:color w:val="1A3C6E"/>
          <w:sz w:val="26"/>
        </w:rPr>
        <w:t>3. Erwartete Mieteinnahmen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5102"/>
            <w:shd w:fill="1a3c6e" w:val="clear"/>
          </w:tcPr>
          <w:p>
            <w:r/>
            <w:r>
              <w:rPr>
                <w:b/>
                <w:color w:val="FFFFFF"/>
                <w:sz w:val="20"/>
              </w:rPr>
              <w:t>Kennzahl</w:t>
            </w:r>
          </w:p>
        </w:tc>
        <w:tc>
          <w:tcPr>
            <w:tcW w:type="dxa" w:w="3969"/>
            <w:shd w:fill="1a3c6e" w:val="clear"/>
          </w:tcPr>
          <w:p>
            <w:r/>
            <w:r>
              <w:rPr>
                <w:b/>
                <w:color w:val="FFFFFF"/>
                <w:sz w:val="20"/>
              </w:rPr>
              <w:t>Wert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20"/>
              </w:rPr>
              <w:t>Vergleichsmiete Konstanz/Reichenau (123 m²)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ca. 13 bis 15 €/m² (Quelle: ImmoScout24 Vergleichsangebote)</w:t>
            </w:r>
          </w:p>
        </w:tc>
      </w:tr>
      <w:tr>
        <w:tc>
          <w:tcPr>
            <w:tcW w:type="dxa" w:w="5102"/>
            <w:shd w:fill="f0f4fa" w:val="clear"/>
          </w:tcPr>
          <w:p>
            <w:r/>
            <w:r>
              <w:rPr>
                <w:sz w:val="20"/>
              </w:rPr>
              <w:t>Erwartete Kaltmiete / Monat</w:t>
            </w:r>
          </w:p>
        </w:tc>
        <w:tc>
          <w:tcPr>
            <w:tcW w:type="dxa" w:w="3969"/>
            <w:shd w:fill="f0f4fa" w:val="clear"/>
          </w:tcPr>
          <w:p>
            <w:r/>
            <w:r>
              <w:rPr>
                <w:sz w:val="20"/>
              </w:rPr>
              <w:t>ca. 1.600 bis 1.850 €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20"/>
              </w:rPr>
              <w:t>Erwartete Kaltmiete / Jahr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ca. 19.200 bis 22.200 €</w:t>
            </w:r>
          </w:p>
        </w:tc>
      </w:tr>
      <w:tr>
        <w:tc>
          <w:tcPr>
            <w:tcW w:type="dxa" w:w="5102"/>
            <w:shd w:fill="f0f4fa" w:val="clear"/>
          </w:tcPr>
          <w:p>
            <w:r/>
            <w:r>
              <w:rPr>
                <w:sz w:val="20"/>
              </w:rPr>
              <w:t>Bruttomietrendite</w:t>
            </w:r>
          </w:p>
        </w:tc>
        <w:tc>
          <w:tcPr>
            <w:tcW w:type="dxa" w:w="3969"/>
            <w:shd w:fill="f0f4fa" w:val="clear"/>
          </w:tcPr>
          <w:p>
            <w:r/>
            <w:r>
              <w:rPr>
                <w:sz w:val="20"/>
              </w:rPr>
              <w:t>3,6 bis 4,1 %</w:t>
            </w:r>
          </w:p>
        </w:tc>
      </w:tr>
    </w:tbl>
    <w:p/>
    <w:p>
      <w:r>
        <w:rPr>
          <w:b/>
          <w:color w:val="1A3C6E"/>
          <w:sz w:val="26"/>
        </w:rPr>
        <w:t>4. Gesamtportfolio / Sicherheitenübersicht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3118"/>
            <w:shd w:fill="1a3c6e" w:val="clear"/>
          </w:tcPr>
          <w:p>
            <w:r/>
            <w:r>
              <w:rPr>
                <w:b/>
                <w:color w:val="FFFFFF"/>
                <w:sz w:val="20"/>
              </w:rPr>
              <w:t>Objekt</w:t>
            </w:r>
          </w:p>
        </w:tc>
        <w:tc>
          <w:tcPr>
            <w:tcW w:type="dxa" w:w="1984"/>
            <w:shd w:fill="1a3c6e" w:val="clear"/>
          </w:tcPr>
          <w:p>
            <w:r/>
            <w:r>
              <w:rPr>
                <w:b/>
                <w:color w:val="FFFFFF"/>
                <w:sz w:val="20"/>
              </w:rPr>
              <w:t>Verkehrswert</w:t>
            </w:r>
          </w:p>
        </w:tc>
        <w:tc>
          <w:tcPr>
            <w:tcW w:type="dxa" w:w="1984"/>
            <w:shd w:fill="1a3c6e" w:val="clear"/>
          </w:tcPr>
          <w:p>
            <w:r/>
            <w:r>
              <w:rPr>
                <w:b/>
                <w:color w:val="FFFFFF"/>
                <w:sz w:val="20"/>
              </w:rPr>
              <w:t>Restschuld</w:t>
            </w:r>
          </w:p>
        </w:tc>
        <w:tc>
          <w:tcPr>
            <w:tcW w:type="dxa" w:w="1984"/>
            <w:shd w:fill="1a3c6e" w:val="clear"/>
          </w:tcPr>
          <w:p>
            <w:r/>
            <w:r>
              <w:rPr>
                <w:b/>
                <w:color w:val="FFFFFF"/>
                <w:sz w:val="20"/>
              </w:rPr>
              <w:t>Freies EK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Einfamilienhaus (Bünde)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300.000 € (Schätzwert)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60.000 €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240.000 €</w:t>
            </w:r>
          </w:p>
        </w:tc>
      </w:tr>
      <w:tr>
        <w:tc>
          <w:tcPr>
            <w:tcW w:type="dxa" w:w="3118"/>
            <w:shd w:fill="f0f4fa" w:val="clear"/>
          </w:tcPr>
          <w:p>
            <w:r/>
            <w:r>
              <w:rPr>
                <w:sz w:val="20"/>
              </w:rPr>
              <w:t>MFH Rennstr. 4a (Herford)</w:t>
            </w:r>
          </w:p>
        </w:tc>
        <w:tc>
          <w:tcPr>
            <w:tcW w:type="dxa" w:w="1984"/>
            <w:shd w:fill="f0f4fa" w:val="clear"/>
          </w:tcPr>
          <w:p>
            <w:r/>
            <w:r>
              <w:rPr>
                <w:sz w:val="20"/>
              </w:rPr>
              <w:t>510.000 € (Sprengnetter)</w:t>
            </w:r>
          </w:p>
        </w:tc>
        <w:tc>
          <w:tcPr>
            <w:tcW w:type="dxa" w:w="1984"/>
            <w:shd w:fill="f0f4fa" w:val="clear"/>
          </w:tcPr>
          <w:p>
            <w:r/>
            <w:r>
              <w:rPr>
                <w:sz w:val="20"/>
              </w:rPr>
              <w:t>74.000 €</w:t>
            </w:r>
          </w:p>
        </w:tc>
        <w:tc>
          <w:tcPr>
            <w:tcW w:type="dxa" w:w="1984"/>
            <w:shd w:fill="f0f4fa" w:val="clear"/>
          </w:tcPr>
          <w:p>
            <w:r/>
            <w:r>
              <w:rPr>
                <w:sz w:val="20"/>
              </w:rPr>
              <w:t>436.000 €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Neues Objekt Reichenau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539.000 €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485.100 €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-</w:t>
            </w:r>
          </w:p>
        </w:tc>
      </w:tr>
      <w:tr>
        <w:tc>
          <w:tcPr>
            <w:tcW w:type="dxa" w:w="3118"/>
            <w:shd w:fill="f0f4fa" w:val="clear"/>
          </w:tcPr>
          <w:p>
            <w:r/>
            <w:r>
              <w:rPr>
                <w:b/>
                <w:sz w:val="20"/>
              </w:rPr>
              <w:t>Gesamt</w:t>
            </w:r>
          </w:p>
        </w:tc>
        <w:tc>
          <w:tcPr>
            <w:tcW w:type="dxa" w:w="1984"/>
            <w:shd w:fill="f0f4fa" w:val="clear"/>
          </w:tcPr>
          <w:p>
            <w:r/>
            <w:r>
              <w:rPr>
                <w:b/>
                <w:sz w:val="20"/>
              </w:rPr>
              <w:t>1.349.000 €</w:t>
            </w:r>
          </w:p>
        </w:tc>
        <w:tc>
          <w:tcPr>
            <w:tcW w:type="dxa" w:w="1984"/>
            <w:shd w:fill="f0f4fa" w:val="clear"/>
          </w:tcPr>
          <w:p>
            <w:r/>
            <w:r>
              <w:rPr>
                <w:b/>
                <w:sz w:val="20"/>
              </w:rPr>
              <w:t>619.100 €</w:t>
            </w:r>
          </w:p>
        </w:tc>
        <w:tc>
          <w:tcPr>
            <w:tcW w:type="dxa" w:w="1984"/>
            <w:shd w:fill="f0f4fa" w:val="clear"/>
          </w:tcPr>
          <w:p>
            <w:r/>
            <w:r>
              <w:rPr>
                <w:b/>
                <w:sz w:val="20"/>
              </w:rPr>
              <w:t>676.000 €</w:t>
            </w:r>
          </w:p>
        </w:tc>
      </w:tr>
    </w:tbl>
    <w:p/>
    <w:p>
      <w:pPr>
        <w:jc w:val="center"/>
      </w:pPr>
      <w:r>
        <w:rPr>
          <w:b/>
          <w:color w:val="0A7A2A"/>
          <w:sz w:val="28"/>
        </w:rPr>
        <w:t>Gesamt-Beleihungsauslauf: 45,9 %</w:t>
      </w:r>
    </w:p>
    <w:p>
      <w:pPr>
        <w:jc w:val="center"/>
      </w:pPr>
      <w:r>
        <w:rPr>
          <w:color w:val="555555"/>
          <w:sz w:val="21"/>
        </w:rPr>
        <w:t>Deutlich unter der 60 %-Schwelle, sehr konservatives Risikoprofil</w:t>
      </w:r>
    </w:p>
    <w:p/>
    <w:p>
      <w:r>
        <w:rPr>
          <w:b/>
          <w:color w:val="1A3C6E"/>
          <w:sz w:val="26"/>
        </w:rPr>
        <w:t>5. Risikobewertung</w:t>
      </w:r>
    </w:p>
    <w:p>
      <w:pPr>
        <w:pStyle w:val="ListBullet"/>
      </w:pPr>
      <w:r>
        <w:rPr>
          <w:b/>
          <w:sz w:val="21"/>
        </w:rPr>
        <w:t xml:space="preserve">Denkmalschutz (§7i EStG): </w:t>
      </w:r>
      <w:r>
        <w:rPr>
          <w:sz w:val="21"/>
        </w:rPr>
        <w:t>Sanierungskosten nach Erwerb über 12 Jahre absetzbar (9 % p.a. für 8 Jahre, 7 % p.a. für 4 Jahre). Zusätzlich reguläre Gebäude-AfA auf den Kaufpreisanteil. Verbessert den Netto-Cashflow erheblich.</w:t>
      </w:r>
    </w:p>
    <w:p>
      <w:pPr>
        <w:pStyle w:val="ListBullet"/>
      </w:pPr>
      <w:r>
        <w:rPr>
          <w:b/>
          <w:sz w:val="21"/>
        </w:rPr>
        <w:t xml:space="preserve">Bodensee-Lage: </w:t>
      </w:r>
      <w:r>
        <w:rPr>
          <w:sz w:val="21"/>
        </w:rPr>
        <w:t>Einer der stabilsten Immobilienmärkte Deutschlands, UNESCO-Welterbe, Grenznähe Schweiz. Minimales Wertminderungsrisiko.</w:t>
      </w:r>
    </w:p>
    <w:p>
      <w:pPr>
        <w:pStyle w:val="ListBullet"/>
      </w:pPr>
      <w:r>
        <w:rPr>
          <w:b/>
          <w:sz w:val="21"/>
        </w:rPr>
        <w:t xml:space="preserve">Moderne Technik trotz Altbau: </w:t>
      </w:r>
      <w:r>
        <w:rPr>
          <w:sz w:val="21"/>
        </w:rPr>
        <w:t>Pelletheizung Bj. 2023 + Photovoltaik. Geringe Betriebskosten, zukunftssicher.</w:t>
      </w:r>
    </w:p>
    <w:p>
      <w:pPr>
        <w:pStyle w:val="ListBullet"/>
      </w:pPr>
      <w:r>
        <w:rPr>
          <w:b/>
          <w:sz w:val="21"/>
        </w:rPr>
        <w:t xml:space="preserve">Kapitaldienstdeckung: </w:t>
      </w:r>
      <w:r>
        <w:rPr>
          <w:sz w:val="21"/>
        </w:rPr>
        <w:t>Bei ca. 1.700 € Kaltmiete und geschätzter Annuität von ca. 2.100 € (3,5 %, 2 % Tilgung) beträgt die Deckung ca. 81 % allein aus Mieteinnahmen</w:t>
      </w:r>
    </w:p>
    <w:p>
      <w:pPr>
        <w:pStyle w:val="ListBullet"/>
      </w:pPr>
      <w:r>
        <w:rPr>
          <w:b/>
          <w:sz w:val="21"/>
        </w:rPr>
        <w:t xml:space="preserve">Langjährige Geschäftsbeziehung: </w:t>
      </w:r>
      <w:r>
        <w:rPr>
          <w:sz w:val="21"/>
        </w:rPr>
        <w:t>Bestandskunde mit sauberer Kredithistorie und zwei bestehenden Finanzierungen bei der Volksbank</w:t>
      </w:r>
    </w:p>
    <w:p>
      <w:pPr>
        <w:pStyle w:val="ListBullet"/>
      </w:pPr>
      <w:r>
        <w:rPr>
          <w:b/>
          <w:sz w:val="21"/>
        </w:rPr>
        <w:t xml:space="preserve">676.000 € freie Sicherheiten </w:t>
      </w:r>
      <w:r>
        <w:rPr>
          <w:sz w:val="21"/>
        </w:rPr>
        <w:t>im Bestandsportfolio als Zusatzsicherheit verfügbar</w:t>
      </w:r>
    </w:p>
    <w:p/>
    <w:p>
      <w:r>
        <w:rPr>
          <w:b/>
          <w:color w:val="1A3C6E"/>
          <w:sz w:val="26"/>
        </w:rPr>
        <w:t>6. Unser Vorschlag</w:t>
      </w:r>
    </w:p>
    <w:p>
      <w:r>
        <w:rPr>
          <w:sz w:val="21"/>
        </w:rPr>
        <w:t>Wir möchten die freien Grundschuldanteile unserer Bestandsobjekte (EFH in Bünde + MFH in Herford) als Zusatzsicherheit einbringen, um die Eigenkapitalanforderung von 111.000 € zu reduzieren. Der Gesamt-Beleihungsauslauf bleibt mit unter 46 % auf einem sehr konservativen Niveau.</w:t>
      </w:r>
    </w:p>
    <w:p/>
    <w:p>
      <w:r>
        <w:rPr>
          <w:sz w:val="21"/>
        </w:rPr>
        <w:t>Wir bitten um Prüfung dieser Möglichkeit und freuen uns auf das gemeinsame Gespräch.</w:t>
      </w:r>
    </w:p>
    <w:p/>
    <w:p/>
    <w:p>
      <w:r>
        <w:rPr>
          <w:sz w:val="21"/>
        </w:rPr>
        <w:t>Freundliche Grüße</w:t>
      </w:r>
    </w:p>
    <w:p>
      <w:r>
        <w:rPr>
          <w:b/>
          <w:sz w:val="21"/>
        </w:rPr>
        <w:t>Andreas Reisen</w:t>
      </w:r>
    </w:p>
    <w:p/>
    <w:p>
      <w:pPr>
        <w:jc w:val="right"/>
      </w:pPr>
      <w:r>
        <w:rPr>
          <w:color w:val="999999"/>
          <w:sz w:val="18"/>
        </w:rPr>
        <w:t>Stand: 12. März 2026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