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6"/>
        </w:rPr>
        <w:t>B2B Outreach</w:t>
      </w:r>
    </w:p>
    <w:p>
      <w:pPr>
        <w:jc w:val="center"/>
      </w:pPr>
      <w:r>
        <w:rPr>
          <w:b/>
          <w:color w:val="1A3C6E"/>
          <w:sz w:val="28"/>
        </w:rPr>
        <w:t>Data Protection Compliance</w:t>
      </w:r>
    </w:p>
    <w:p>
      <w:pPr>
        <w:jc w:val="center"/>
      </w:pPr>
      <w:r>
        <w:rPr>
          <w:color w:val="555555"/>
          <w:sz w:val="22"/>
        </w:rPr>
        <w:t>How Salesteq handles GDPR / revDSG compliance for B2B commercial outreach</w:t>
      </w:r>
    </w:p>
    <w:p/>
    <w:p>
      <w:r>
        <w:rPr>
          <w:b/>
          <w:color w:val="1A3C6E"/>
          <w:sz w:val="26"/>
        </w:rPr>
        <w:t>1. What we do</w:t>
      </w:r>
    </w:p>
    <w:p>
      <w:r>
        <w:rPr>
          <w:sz w:val="21"/>
        </w:rPr>
        <w:t>Salesteq operates an AI-powered commercial platform that conducts B2B outreach on behalf of our customers. This includes identifying relevant business contacts at target companies and reaching out via email with commercially relevant messages. All contact data is sourced from publicly available business sources.</w:t>
      </w:r>
    </w:p>
    <w:p>
      <w:r>
        <w:rPr>
          <w:b/>
          <w:color w:val="1A3C6E"/>
          <w:sz w:val="26"/>
        </w:rPr>
        <w:t>2. Data sources</w:t>
      </w:r>
    </w:p>
    <w:p>
      <w:r>
        <w:rPr>
          <w:sz w:val="21"/>
        </w:rPr>
        <w:t>We only use business contact information from the following public sources:</w:t>
      </w:r>
    </w:p>
    <w:p>
      <w:pPr>
        <w:pStyle w:val="ListBullet"/>
      </w:pPr>
      <w:r>
        <w:rPr>
          <w:sz w:val="21"/>
        </w:rPr>
        <w:t>Company websites (contact pages, team pages, imprint/Impressum)</w:t>
      </w:r>
    </w:p>
    <w:p>
      <w:pPr>
        <w:pStyle w:val="ListBullet"/>
      </w:pPr>
      <w:r>
        <w:rPr>
          <w:sz w:val="21"/>
        </w:rPr>
        <w:t>Business directories and industry databases</w:t>
      </w:r>
    </w:p>
    <w:p>
      <w:pPr>
        <w:pStyle w:val="ListBullet"/>
      </w:pPr>
      <w:r>
        <w:rPr>
          <w:sz w:val="21"/>
        </w:rPr>
        <w:t>Professional networks where contact details are publicly listed</w:t>
      </w:r>
    </w:p>
    <w:p>
      <w:pPr>
        <w:pStyle w:val="ListBullet"/>
      </w:pPr>
      <w:r>
        <w:rPr>
          <w:sz w:val="21"/>
        </w:rPr>
        <w:t>Trade fair exhibitor lists and public event registrations</w:t>
      </w:r>
    </w:p>
    <w:p>
      <w:pPr>
        <w:pStyle w:val="ListBullet"/>
      </w:pPr>
      <w:r>
        <w:rPr>
          <w:sz w:val="21"/>
        </w:rPr>
        <w:t>Press releases and public company announcements</w:t>
      </w:r>
    </w:p>
    <w:p>
      <w:r>
        <w:rPr>
          <w:sz w:val="21"/>
        </w:rPr>
        <w:t>We do not use personal email addresses (e.g. Gmail, Hotmail), do not purchase data from third-party brokers, and do not scrape private social media profiles.</w:t>
      </w:r>
    </w:p>
    <w:p>
      <w:r>
        <w:rPr>
          <w:b/>
          <w:color w:val="1A3C6E"/>
          <w:sz w:val="26"/>
        </w:rPr>
        <w:t>3. Legal basis</w:t>
      </w:r>
    </w:p>
    <w:p>
      <w:r>
        <w:rPr>
          <w:sz w:val="21"/>
        </w:rPr>
        <w:t>B2B outreach to publicly available business email addresses is processed under:</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a3c6e" w:val="clear"/>
          </w:tcPr>
          <w:p>
            <w:r/>
            <w:r>
              <w:rPr>
                <w:b/>
                <w:color w:val="FFFFFF"/>
                <w:sz w:val="20"/>
              </w:rPr>
              <w:t>Jurisdiction</w:t>
            </w:r>
          </w:p>
        </w:tc>
        <w:tc>
          <w:tcPr>
            <w:tcW w:type="dxa" w:w="2268"/>
            <w:shd w:fill="1a3c6e" w:val="clear"/>
          </w:tcPr>
          <w:p>
            <w:r/>
            <w:r>
              <w:rPr>
                <w:b/>
                <w:color w:val="FFFFFF"/>
                <w:sz w:val="20"/>
              </w:rPr>
              <w:t>Legal Basis</w:t>
            </w:r>
          </w:p>
        </w:tc>
        <w:tc>
          <w:tcPr>
            <w:tcW w:type="dxa" w:w="4535"/>
            <w:shd w:fill="1a3c6e" w:val="clear"/>
          </w:tcPr>
          <w:p>
            <w:r/>
            <w:r>
              <w:rPr>
                <w:b/>
                <w:color w:val="FFFFFF"/>
                <w:sz w:val="20"/>
              </w:rPr>
              <w:t>Reference</w:t>
            </w:r>
          </w:p>
        </w:tc>
      </w:tr>
      <w:tr>
        <w:tc>
          <w:tcPr>
            <w:tcW w:type="dxa" w:w="2268"/>
          </w:tcPr>
          <w:p>
            <w:r/>
            <w:r>
              <w:rPr>
                <w:sz w:val="20"/>
              </w:rPr>
              <w:t>EU / EEA</w:t>
            </w:r>
          </w:p>
        </w:tc>
        <w:tc>
          <w:tcPr>
            <w:tcW w:type="dxa" w:w="2268"/>
          </w:tcPr>
          <w:p>
            <w:r/>
            <w:r>
              <w:rPr>
                <w:sz w:val="20"/>
              </w:rPr>
              <w:t>Legitimate Interest</w:t>
            </w:r>
          </w:p>
        </w:tc>
        <w:tc>
          <w:tcPr>
            <w:tcW w:type="dxa" w:w="4535"/>
          </w:tcPr>
          <w:p>
            <w:r/>
            <w:r>
              <w:rPr>
                <w:sz w:val="20"/>
              </w:rPr>
              <w:t>GDPR Art. 6(1)(f), supported by Recital 47</w:t>
            </w:r>
          </w:p>
        </w:tc>
      </w:tr>
      <w:tr>
        <w:tc>
          <w:tcPr>
            <w:tcW w:type="dxa" w:w="2268"/>
            <w:shd w:fill="f0f4fa" w:val="clear"/>
          </w:tcPr>
          <w:p>
            <w:r/>
            <w:r>
              <w:rPr>
                <w:sz w:val="20"/>
              </w:rPr>
              <w:t>Switzerland</w:t>
            </w:r>
          </w:p>
        </w:tc>
        <w:tc>
          <w:tcPr>
            <w:tcW w:type="dxa" w:w="2268"/>
            <w:shd w:fill="f0f4fa" w:val="clear"/>
          </w:tcPr>
          <w:p>
            <w:r/>
            <w:r>
              <w:rPr>
                <w:sz w:val="20"/>
              </w:rPr>
              <w:t>Legitimate Interest</w:t>
            </w:r>
          </w:p>
        </w:tc>
        <w:tc>
          <w:tcPr>
            <w:tcW w:type="dxa" w:w="4535"/>
            <w:shd w:fill="f0f4fa" w:val="clear"/>
          </w:tcPr>
          <w:p>
            <w:r/>
            <w:r>
              <w:rPr>
                <w:sz w:val="20"/>
              </w:rPr>
              <w:t>revDSG Art. 31(1), UWG Art. 3(o)</w:t>
            </w:r>
          </w:p>
        </w:tc>
      </w:tr>
      <w:tr>
        <w:tc>
          <w:tcPr>
            <w:tcW w:type="dxa" w:w="2268"/>
          </w:tcPr>
          <w:p>
            <w:r/>
            <w:r>
              <w:rPr>
                <w:sz w:val="20"/>
              </w:rPr>
              <w:t>United Kingdom</w:t>
            </w:r>
          </w:p>
        </w:tc>
        <w:tc>
          <w:tcPr>
            <w:tcW w:type="dxa" w:w="2268"/>
          </w:tcPr>
          <w:p>
            <w:r/>
            <w:r>
              <w:rPr>
                <w:sz w:val="20"/>
              </w:rPr>
              <w:t>Legitimate Interest</w:t>
            </w:r>
          </w:p>
        </w:tc>
        <w:tc>
          <w:tcPr>
            <w:tcW w:type="dxa" w:w="4535"/>
          </w:tcPr>
          <w:p>
            <w:r/>
            <w:r>
              <w:rPr>
                <w:sz w:val="20"/>
              </w:rPr>
              <w:t>UK GDPR Art. 6(1)(f), PECR Reg. 22 (B2B exemption)</w:t>
            </w:r>
          </w:p>
        </w:tc>
      </w:tr>
    </w:tbl>
    <w:p/>
    <w:p>
      <w:r>
        <w:rPr>
          <w:sz w:val="21"/>
        </w:rPr>
        <w:t>Legitimate interest is the standard legal basis for B2B commercial communication across Europe. The key principle: businesses that publish contact details on their website signal openness to relevant business communication. This is recognized by data protection authorities across the EU.</w:t>
      </w:r>
    </w:p>
    <w:p>
      <w:r>
        <w:rPr>
          <w:b/>
          <w:color w:val="1A3C6E"/>
          <w:sz w:val="26"/>
        </w:rPr>
        <w:t>4. Compliance measures we implement</w:t>
      </w:r>
    </w:p>
    <w:tbl>
      <w:tblPr>
        <w:tblStyle w:val="TableGrid"/>
        <w:tblW w:type="auto" w:w="0"/>
        <w:jc w:val="center"/>
        <w:tblLook w:firstColumn="1" w:firstRow="1" w:lastColumn="0" w:lastRow="0" w:noHBand="0" w:noVBand="1" w:val="04A0"/>
      </w:tblPr>
      <w:tblGrid>
        <w:gridCol w:w="4703"/>
        <w:gridCol w:w="4703"/>
      </w:tblGrid>
      <w:tr>
        <w:tc>
          <w:tcPr>
            <w:tcW w:type="dxa" w:w="2268"/>
            <w:shd w:fill="1a3c6e" w:val="clear"/>
          </w:tcPr>
          <w:p>
            <w:r/>
            <w:r>
              <w:rPr>
                <w:b/>
                <w:color w:val="FFFFFF"/>
                <w:sz w:val="20"/>
              </w:rPr>
              <w:t>Measure</w:t>
            </w:r>
          </w:p>
        </w:tc>
        <w:tc>
          <w:tcPr>
            <w:tcW w:type="dxa" w:w="6803"/>
            <w:shd w:fill="1a3c6e" w:val="clear"/>
          </w:tcPr>
          <w:p>
            <w:r/>
            <w:r>
              <w:rPr>
                <w:b/>
                <w:color w:val="FFFFFF"/>
                <w:sz w:val="20"/>
              </w:rPr>
              <w:t>How we implement it</w:t>
            </w:r>
          </w:p>
        </w:tc>
      </w:tr>
      <w:tr>
        <w:tc>
          <w:tcPr>
            <w:tcW w:type="dxa" w:w="2268"/>
          </w:tcPr>
          <w:p>
            <w:r/>
            <w:r>
              <w:rPr>
                <w:sz w:val="20"/>
              </w:rPr>
              <w:t>Sender identification</w:t>
            </w:r>
          </w:p>
        </w:tc>
        <w:tc>
          <w:tcPr>
            <w:tcW w:type="dxa" w:w="6803"/>
          </w:tcPr>
          <w:p>
            <w:r/>
            <w:r>
              <w:rPr>
                <w:sz w:val="20"/>
              </w:rPr>
              <w:t>Every message clearly identifies the sending company and the purpose of outreach</w:t>
            </w:r>
          </w:p>
        </w:tc>
      </w:tr>
      <w:tr>
        <w:tc>
          <w:tcPr>
            <w:tcW w:type="dxa" w:w="2268"/>
            <w:shd w:fill="f0f4fa" w:val="clear"/>
          </w:tcPr>
          <w:p>
            <w:r/>
            <w:r>
              <w:rPr>
                <w:sz w:val="20"/>
              </w:rPr>
              <w:t>Business relevance</w:t>
            </w:r>
          </w:p>
        </w:tc>
        <w:tc>
          <w:tcPr>
            <w:tcW w:type="dxa" w:w="6803"/>
            <w:shd w:fill="f0f4fa" w:val="clear"/>
          </w:tcPr>
          <w:p>
            <w:r/>
            <w:r>
              <w:rPr>
                <w:sz w:val="20"/>
              </w:rPr>
              <w:t>Outreach is targeted to professionals whose role matches the product or service offered</w:t>
            </w:r>
          </w:p>
        </w:tc>
      </w:tr>
      <w:tr>
        <w:tc>
          <w:tcPr>
            <w:tcW w:type="dxa" w:w="2268"/>
          </w:tcPr>
          <w:p>
            <w:r/>
            <w:r>
              <w:rPr>
                <w:sz w:val="20"/>
              </w:rPr>
              <w:t>Opt-out mechanism</w:t>
            </w:r>
          </w:p>
        </w:tc>
        <w:tc>
          <w:tcPr>
            <w:tcW w:type="dxa" w:w="6803"/>
          </w:tcPr>
          <w:p>
            <w:r/>
            <w:r>
              <w:rPr>
                <w:sz w:val="20"/>
              </w:rPr>
              <w:t>Every message contains a clear unsubscribe option. Opt-outs are processed immediately.</w:t>
            </w:r>
          </w:p>
        </w:tc>
      </w:tr>
      <w:tr>
        <w:tc>
          <w:tcPr>
            <w:tcW w:type="dxa" w:w="2268"/>
            <w:shd w:fill="f0f4fa" w:val="clear"/>
          </w:tcPr>
          <w:p>
            <w:r/>
            <w:r>
              <w:rPr>
                <w:sz w:val="20"/>
              </w:rPr>
              <w:t>Objection handling</w:t>
            </w:r>
          </w:p>
        </w:tc>
        <w:tc>
          <w:tcPr>
            <w:tcW w:type="dxa" w:w="6803"/>
            <w:shd w:fill="f0f4fa" w:val="clear"/>
          </w:tcPr>
          <w:p>
            <w:r/>
            <w:r>
              <w:rPr>
                <w:sz w:val="20"/>
              </w:rPr>
              <w:t>If a recipient objects to further contact, they are permanently excluded from all future outreach</w:t>
            </w:r>
          </w:p>
        </w:tc>
      </w:tr>
      <w:tr>
        <w:tc>
          <w:tcPr>
            <w:tcW w:type="dxa" w:w="2268"/>
          </w:tcPr>
          <w:p>
            <w:r/>
            <w:r>
              <w:rPr>
                <w:sz w:val="20"/>
              </w:rPr>
              <w:t>Data minimization</w:t>
            </w:r>
          </w:p>
        </w:tc>
        <w:tc>
          <w:tcPr>
            <w:tcW w:type="dxa" w:w="6803"/>
          </w:tcPr>
          <w:p>
            <w:r/>
            <w:r>
              <w:rPr>
                <w:sz w:val="20"/>
              </w:rPr>
              <w:t>We collect only the data necessary for outreach: name, business email, company, role</w:t>
            </w:r>
          </w:p>
        </w:tc>
      </w:tr>
      <w:tr>
        <w:tc>
          <w:tcPr>
            <w:tcW w:type="dxa" w:w="2268"/>
            <w:shd w:fill="f0f4fa" w:val="clear"/>
          </w:tcPr>
          <w:p>
            <w:r/>
            <w:r>
              <w:rPr>
                <w:sz w:val="20"/>
              </w:rPr>
              <w:t>Data retention</w:t>
            </w:r>
          </w:p>
        </w:tc>
        <w:tc>
          <w:tcPr>
            <w:tcW w:type="dxa" w:w="6803"/>
            <w:shd w:fill="f0f4fa" w:val="clear"/>
          </w:tcPr>
          <w:p>
            <w:r/>
            <w:r>
              <w:rPr>
                <w:sz w:val="20"/>
              </w:rPr>
              <w:t>Contact data is retained only as long as the business relationship or outreach purpose exists. Opt-out records are retained indefinitely to prevent re-contact.</w:t>
            </w:r>
          </w:p>
        </w:tc>
      </w:tr>
      <w:tr>
        <w:tc>
          <w:tcPr>
            <w:tcW w:type="dxa" w:w="2268"/>
          </w:tcPr>
          <w:p>
            <w:r/>
            <w:r>
              <w:rPr>
                <w:sz w:val="20"/>
              </w:rPr>
              <w:t>Legitimate Interest Assessment</w:t>
            </w:r>
          </w:p>
        </w:tc>
        <w:tc>
          <w:tcPr>
            <w:tcW w:type="dxa" w:w="6803"/>
          </w:tcPr>
          <w:p>
            <w:r/>
            <w:r>
              <w:rPr>
                <w:sz w:val="20"/>
              </w:rPr>
              <w:t>We maintain a documented LIA that weighs the business interest against the individual's privacy rights</w:t>
            </w:r>
          </w:p>
        </w:tc>
      </w:tr>
      <w:tr>
        <w:tc>
          <w:tcPr>
            <w:tcW w:type="dxa" w:w="2268"/>
            <w:shd w:fill="f0f4fa" w:val="clear"/>
          </w:tcPr>
          <w:p>
            <w:r/>
            <w:r>
              <w:rPr>
                <w:sz w:val="20"/>
              </w:rPr>
              <w:t>Volume control</w:t>
            </w:r>
          </w:p>
        </w:tc>
        <w:tc>
          <w:tcPr>
            <w:tcW w:type="dxa" w:w="6803"/>
            <w:shd w:fill="f0f4fa" w:val="clear"/>
          </w:tcPr>
          <w:p>
            <w:r/>
            <w:r>
              <w:rPr>
                <w:sz w:val="20"/>
              </w:rPr>
              <w:t>Outreach sequences are limited (typically 1 to 3 messages). We do not send mass unsolicited emails.</w:t>
            </w:r>
          </w:p>
        </w:tc>
      </w:tr>
    </w:tbl>
    <w:p/>
    <w:p>
      <w:r>
        <w:rPr>
          <w:b/>
          <w:color w:val="1A3C6E"/>
          <w:sz w:val="26"/>
        </w:rPr>
        <w:t>5. Legitimate Interest Assessment (summary)</w:t>
      </w:r>
    </w:p>
    <w:p>
      <w:r>
        <w:rPr>
          <w:sz w:val="21"/>
        </w:rPr>
        <w:t>For each outreach campaign, the following balancing test is applied:</w:t>
      </w:r>
    </w:p>
    <w:p>
      <w:pPr>
        <w:pStyle w:val="ListBullet"/>
      </w:pPr>
      <w:r>
        <w:rPr>
          <w:b/>
          <w:sz w:val="21"/>
        </w:rPr>
        <w:t>Inform relevant B2B professionals about products or services that are directly applicable to their business operations.</w:t>
      </w:r>
      <w:r>
        <w:rPr>
          <w:sz w:val="21"/>
        </w:rPr>
        <w:t xml:space="preserve">Purpose: </w:t>
      </w:r>
    </w:p>
    <w:p>
      <w:pPr>
        <w:pStyle w:val="ListBullet"/>
      </w:pPr>
      <w:r>
        <w:rPr>
          <w:b/>
          <w:sz w:val="21"/>
        </w:rPr>
        <w:t>Email is the standard channel for initial B2B communication. No less intrusive alternative exists for first contact with a new business relationship.</w:t>
      </w:r>
      <w:r>
        <w:rPr>
          <w:sz w:val="21"/>
        </w:rPr>
        <w:t xml:space="preserve">Necessity: </w:t>
      </w:r>
    </w:p>
    <w:p>
      <w:pPr>
        <w:pStyle w:val="ListBullet"/>
      </w:pPr>
      <w:r>
        <w:rPr>
          <w:b/>
          <w:sz w:val="21"/>
        </w:rPr>
        <w:t>Recipients are business professionals whose publicly listed work email addresses indicate openness to professional communication. Content is commercially relevant to their role. Privacy impact is minimal. Opt-out is always provided.</w:t>
      </w:r>
      <w:r>
        <w:rPr>
          <w:sz w:val="21"/>
        </w:rPr>
        <w:t xml:space="preserve">Balancing test: </w:t>
      </w:r>
    </w:p>
    <w:p>
      <w:pPr>
        <w:pStyle w:val="ListBullet"/>
      </w:pPr>
      <w:r>
        <w:rPr>
          <w:b/>
          <w:sz w:val="21"/>
        </w:rPr>
        <w:t>The legitimate interest of the sending company outweighs the minimal privacy impact on the business recipient.</w:t>
      </w:r>
      <w:r>
        <w:rPr>
          <w:sz w:val="21"/>
        </w:rPr>
        <w:t xml:space="preserve">Conclusion: </w:t>
      </w:r>
    </w:p>
    <w:p>
      <w:r>
        <w:rPr>
          <w:b/>
          <w:color w:val="1A3C6E"/>
          <w:sz w:val="26"/>
        </w:rPr>
        <w:t>6. Rights of data subjects</w:t>
      </w:r>
    </w:p>
    <w:p>
      <w:r>
        <w:rPr>
          <w:sz w:val="21"/>
        </w:rPr>
        <w:t>Every recipient has the right to:</w:t>
      </w:r>
    </w:p>
    <w:p>
      <w:pPr>
        <w:pStyle w:val="ListBullet"/>
      </w:pPr>
      <w:r>
        <w:rPr>
          <w:b/>
          <w:sz w:val="21"/>
        </w:rPr>
        <w:t>to further contact at any time (we stop immediately)</w:t>
      </w:r>
      <w:r>
        <w:rPr>
          <w:sz w:val="21"/>
        </w:rPr>
        <w:t xml:space="preserve">Object </w:t>
      </w:r>
    </w:p>
    <w:p>
      <w:pPr>
        <w:pStyle w:val="ListBullet"/>
      </w:pPr>
      <w:r>
        <w:rPr>
          <w:b/>
          <w:sz w:val="21"/>
        </w:rPr>
        <w:t>the data we hold about them</w:t>
      </w:r>
      <w:r>
        <w:rPr>
          <w:sz w:val="21"/>
        </w:rPr>
        <w:t xml:space="preserve">Access </w:t>
      </w:r>
    </w:p>
    <w:p>
      <w:pPr>
        <w:pStyle w:val="ListBullet"/>
      </w:pPr>
      <w:r>
        <w:rPr>
          <w:b/>
          <w:sz w:val="21"/>
        </w:rPr>
        <w:t>of their data (right to be forgotten)</w:t>
      </w:r>
      <w:r>
        <w:rPr>
          <w:sz w:val="21"/>
        </w:rPr>
        <w:t xml:space="preserve">Erasure </w:t>
      </w:r>
    </w:p>
    <w:p>
      <w:pPr>
        <w:pStyle w:val="ListBullet"/>
      </w:pPr>
      <w:r>
        <w:rPr>
          <w:b/>
          <w:sz w:val="21"/>
        </w:rPr>
        <w:t>of incorrect data</w:t>
      </w:r>
      <w:r>
        <w:rPr>
          <w:sz w:val="21"/>
        </w:rPr>
        <w:t xml:space="preserve">Rectification </w:t>
      </w:r>
    </w:p>
    <w:p>
      <w:pPr>
        <w:pStyle w:val="ListBullet"/>
      </w:pPr>
      <w:r>
        <w:rPr>
          <w:b/>
          <w:sz w:val="21"/>
        </w:rPr>
        <w:t>with their local data protection authority</w:t>
      </w:r>
      <w:r>
        <w:rPr>
          <w:sz w:val="21"/>
        </w:rPr>
        <w:t xml:space="preserve">Lodge a complaint </w:t>
      </w:r>
    </w:p>
    <w:p>
      <w:r>
        <w:rPr>
          <w:sz w:val="21"/>
        </w:rPr>
        <w:t>All requests are handled within 30 days as required by GDPR Art. 12. Contact: privacy@salesteq.com</w:t>
      </w:r>
    </w:p>
    <w:p>
      <w:r>
        <w:rPr>
          <w:b/>
          <w:color w:val="1A3C6E"/>
          <w:sz w:val="26"/>
        </w:rPr>
        <w:t>7. Data processing on the Salesteq platform</w:t>
      </w:r>
    </w:p>
    <w:p>
      <w:pPr>
        <w:pStyle w:val="ListBullet"/>
      </w:pPr>
      <w:r>
        <w:rPr>
          <w:b/>
          <w:sz w:val="21"/>
        </w:rPr>
        <w:t>Hosted on European cloud infrastructure with encryption at rest and in transit (TLS 1.3)</w:t>
      </w:r>
      <w:r>
        <w:rPr>
          <w:sz w:val="21"/>
        </w:rPr>
        <w:t xml:space="preserve">Infrastructure: </w:t>
      </w:r>
    </w:p>
    <w:p>
      <w:pPr>
        <w:pStyle w:val="ListBullet"/>
      </w:pPr>
      <w:r>
        <w:rPr>
          <w:b/>
          <w:sz w:val="21"/>
        </w:rPr>
        <w:t>Role-based access. Only authorized personnel can access contact data.</w:t>
      </w:r>
      <w:r>
        <w:rPr>
          <w:sz w:val="21"/>
        </w:rPr>
        <w:t xml:space="preserve">Access control: </w:t>
      </w:r>
    </w:p>
    <w:p>
      <w:pPr>
        <w:pStyle w:val="ListBullet"/>
      </w:pPr>
      <w:r>
        <w:rPr>
          <w:b/>
          <w:sz w:val="21"/>
        </w:rPr>
        <w:t>Email delivery via established providers with their own GDPR compliance (listed in our DPA)</w:t>
      </w:r>
      <w:r>
        <w:rPr>
          <w:sz w:val="21"/>
        </w:rPr>
        <w:t xml:space="preserve">Sub-processors: </w:t>
      </w:r>
    </w:p>
    <w:p>
      <w:pPr>
        <w:pStyle w:val="ListBullet"/>
      </w:pPr>
      <w:r>
        <w:rPr>
          <w:b/>
          <w:sz w:val="21"/>
        </w:rPr>
        <w:t>Available upon request for customers who require a formal DPA under GDPR Art. 28</w:t>
      </w:r>
      <w:r>
        <w:rPr>
          <w:sz w:val="21"/>
        </w:rPr>
        <w:t xml:space="preserve">Data Processing Agreement: </w:t>
      </w:r>
    </w:p>
    <w:p/>
    <w:p>
      <w:pPr>
        <w:jc w:val="center"/>
      </w:pPr>
      <w:r>
        <w:rPr>
          <w:i/>
          <w:color w:val="999999"/>
          <w:sz w:val="18"/>
        </w:rPr>
        <w:t>This document is provided for informational purposes and does not constitute legal advice. For specific legal questions, consult a qualified data protection attorney in your jurisdiction.</w:t>
      </w:r>
    </w:p>
    <w:p/>
    <w:p>
      <w:pPr>
        <w:jc w:val="right"/>
      </w:pPr>
      <w:r>
        <w:rPr>
          <w:b/>
          <w:sz w:val="20"/>
        </w:rPr>
        <w:t>Salesteq Inc. / Elyon GmbH</w:t>
      </w:r>
    </w:p>
    <w:p>
      <w:pPr>
        <w:jc w:val="right"/>
      </w:pPr>
      <w:r>
        <w:rPr>
          <w:color w:val="666666"/>
          <w:sz w:val="18"/>
        </w:rPr>
        <w:t>Alpenstrasse 9, 6300 Zug, Switzerland</w:t>
      </w:r>
    </w:p>
    <w:p>
      <w:pPr>
        <w:jc w:val="right"/>
      </w:pPr>
      <w:r>
        <w:rPr>
          <w:color w:val="1A3C6E"/>
          <w:sz w:val="18"/>
        </w:rPr>
        <w:t>privacy@salesteq.com</w:t>
      </w:r>
    </w:p>
    <w:p>
      <w:pPr>
        <w:jc w:val="right"/>
      </w:pPr>
      <w:r>
        <w:rPr>
          <w:color w:val="999999"/>
          <w:sz w:val="18"/>
        </w:rPr>
        <w:t>Version 1.0 / March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