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C6E"/>
          <w:sz w:val="36"/>
        </w:rPr>
        <w:t>Finanzierungsübersicht</w:t>
      </w:r>
    </w:p>
    <w:p>
      <w:pPr>
        <w:jc w:val="center"/>
      </w:pPr>
      <w:r>
        <w:rPr>
          <w:color w:val="555555"/>
          <w:sz w:val="24"/>
        </w:rPr>
        <w:t>Objekt 2025-KN-1578, Klosterinsel Reichenau, Konstanz</w:t>
      </w:r>
    </w:p>
    <w:p/>
    <w:p>
      <w:r>
        <w:rPr>
          <w:b/>
          <w:color w:val="1A3C6E"/>
          <w:sz w:val="26"/>
        </w:rPr>
        <w:t>1. Objektdaten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Merkmal</w:t>
            </w:r>
          </w:p>
        </w:tc>
        <w:tc>
          <w:tcPr>
            <w:tcW w:type="dxa" w:w="6236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Kaufpreis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539.000 €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Wohnfläche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123,25 m²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Zimmer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3,5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Etage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2. Obergeschoss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Baujahr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1726 (Denkmalschutz)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Heizung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Holzpellet (neu 2023) + Photovoltaikanlage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Energieklasse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F (189,5 kWh/m²·a)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Nutzung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Vermietung (Familie, mind. 66 % der ortsüblichen Vergleichsmiete gem. §21 Abs. 2 EStG)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Lage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UNESCO-Welterbe Reichenau, Bodensee, 15 Min. Konstanz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Stellplatz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1 Kfz-Stellplatz im Freien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Hausgeld / WEG-Kosten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Wird beim Verkäufer angefragt (inkl. Instandhaltungsrücklage)</w:t>
            </w:r>
          </w:p>
        </w:tc>
      </w:tr>
      <w:tr>
        <w:tc>
          <w:tcPr>
            <w:tcW w:type="dxa" w:w="2835"/>
            <w:shd w:fill="f0f4fa" w:val="clear"/>
          </w:tcPr>
          <w:p>
            <w:r/>
            <w:r>
              <w:rPr>
                <w:sz w:val="20"/>
              </w:rPr>
              <w:t>Teilungserklärung</w:t>
            </w:r>
          </w:p>
        </w:tc>
        <w:tc>
          <w:tcPr>
            <w:tcW w:type="dxa" w:w="6236"/>
            <w:shd w:fill="f0f4fa" w:val="clear"/>
          </w:tcPr>
          <w:p>
            <w:r/>
            <w:r>
              <w:rPr>
                <w:sz w:val="20"/>
              </w:rPr>
              <w:t>Wird beim Verkäufer angefragt</w:t>
            </w:r>
          </w:p>
        </w:tc>
      </w:tr>
    </w:tbl>
    <w:p/>
    <w:p>
      <w:r>
        <w:rPr>
          <w:b/>
          <w:color w:val="1A3C6E"/>
          <w:sz w:val="26"/>
        </w:rPr>
        <w:t>2. Kaufnebenkosten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Betrag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Grunderwerbsteuer (5,0 % BaWü)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26.950 €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Maklerprovision (3,57 % inkl. MwSt.)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19.242 €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Notar + Grundbuch (ca. 1,7 %)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9.163 €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Gesamt Nebenkosten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55.355 €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Gesamter Finanzierungsbedarf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594.355 €</w:t>
            </w:r>
          </w:p>
        </w:tc>
      </w:tr>
    </w:tbl>
    <w:p/>
    <w:p>
      <w:r>
        <w:rPr>
          <w:b/>
          <w:color w:val="1A3C6E"/>
          <w:sz w:val="26"/>
        </w:rPr>
        <w:t>3. Erwartete Mieteinnahmen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102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Kennzahl</w:t>
            </w:r>
          </w:p>
        </w:tc>
        <w:tc>
          <w:tcPr>
            <w:tcW w:type="dxa" w:w="3969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Wert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Vergleichsmiete Konstanz/Reichenau (123 m²)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13 bis 15 €/m² (Quelle: ImmoScout24 Vergleichsangebote)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Erwartete Kaltmiete / Monat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ca. 1.600 bis 1.850 €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20"/>
              </w:rPr>
              <w:t>Erwartete Kaltmiete / Jahr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ca. 19.200 bis 22.200 €</w:t>
            </w:r>
          </w:p>
        </w:tc>
      </w:tr>
      <w:tr>
        <w:tc>
          <w:tcPr>
            <w:tcW w:type="dxa" w:w="5102"/>
            <w:shd w:fill="f0f4fa" w:val="clear"/>
          </w:tcPr>
          <w:p>
            <w:r/>
            <w:r>
              <w:rPr>
                <w:sz w:val="20"/>
              </w:rPr>
              <w:t>Bruttomietrendite</w:t>
            </w:r>
          </w:p>
        </w:tc>
        <w:tc>
          <w:tcPr>
            <w:tcW w:type="dxa" w:w="3969"/>
            <w:shd w:fill="f0f4fa" w:val="clear"/>
          </w:tcPr>
          <w:p>
            <w:r/>
            <w:r>
              <w:rPr>
                <w:sz w:val="20"/>
              </w:rPr>
              <w:t>3,6 bis 4,1 %</w:t>
            </w:r>
          </w:p>
        </w:tc>
      </w:tr>
    </w:tbl>
    <w:p/>
    <w:p>
      <w:r>
        <w:rPr>
          <w:b/>
          <w:color w:val="1A3C6E"/>
          <w:sz w:val="26"/>
        </w:rPr>
        <w:t>4. Gesamtportfolio / Sicherheitenübersicht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18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Objekt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Verkehrswert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Restschuld</w:t>
            </w:r>
          </w:p>
        </w:tc>
        <w:tc>
          <w:tcPr>
            <w:tcW w:type="dxa" w:w="1984"/>
            <w:shd w:fill="1a3c6e" w:val="clear"/>
          </w:tcPr>
          <w:p>
            <w:r/>
            <w:r>
              <w:rPr>
                <w:b/>
                <w:color w:val="FFFFFF"/>
                <w:sz w:val="20"/>
              </w:rPr>
              <w:t>Freies EK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Einfamilienhaus (Bünde)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300.000 € (Schätzwert)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ca. 100.000 €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200.000 €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sz w:val="20"/>
              </w:rPr>
              <w:t>MFH Rennstr. 4a (Herford)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510.000 € (Sprengnetter)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ca. 74.000 €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sz w:val="20"/>
              </w:rPr>
              <w:t>436.000 €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Neues Objekt Reichenau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539.000 €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485.100 €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-</w:t>
            </w:r>
          </w:p>
        </w:tc>
      </w:tr>
      <w:tr>
        <w:tc>
          <w:tcPr>
            <w:tcW w:type="dxa" w:w="3118"/>
            <w:shd w:fill="f0f4fa" w:val="clear"/>
          </w:tcPr>
          <w:p>
            <w:r/>
            <w:r>
              <w:rPr>
                <w:b/>
                <w:sz w:val="20"/>
              </w:rPr>
              <w:t>Gesamt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1.349.000 €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659.100 €</w:t>
            </w:r>
          </w:p>
        </w:tc>
        <w:tc>
          <w:tcPr>
            <w:tcW w:type="dxa" w:w="1984"/>
            <w:shd w:fill="f0f4fa" w:val="clear"/>
          </w:tcPr>
          <w:p>
            <w:r/>
            <w:r>
              <w:rPr>
                <w:b/>
                <w:sz w:val="20"/>
              </w:rPr>
              <w:t>636.000 €</w:t>
            </w:r>
          </w:p>
        </w:tc>
      </w:tr>
    </w:tbl>
    <w:p/>
    <w:p>
      <w:pPr>
        <w:jc w:val="center"/>
      </w:pPr>
      <w:r>
        <w:rPr>
          <w:b/>
          <w:color w:val="0A7A2A"/>
          <w:sz w:val="28"/>
        </w:rPr>
        <w:t>Gesamt-Beleihungsauslauf: 48,9 %</w:t>
      </w:r>
    </w:p>
    <w:p>
      <w:pPr>
        <w:jc w:val="center"/>
      </w:pPr>
      <w:r>
        <w:rPr>
          <w:color w:val="555555"/>
          <w:sz w:val="21"/>
        </w:rPr>
        <w:t>Deutlich unter der 60 %-Schwelle, sehr konservatives Risikoprofil</w:t>
      </w:r>
    </w:p>
    <w:p/>
    <w:p>
      <w:r>
        <w:rPr>
          <w:b/>
          <w:color w:val="1A3C6E"/>
          <w:sz w:val="26"/>
        </w:rPr>
        <w:t>5. Risikobewertung</w:t>
      </w:r>
    </w:p>
    <w:p>
      <w:pPr>
        <w:pStyle w:val="ListBullet"/>
      </w:pPr>
      <w:r>
        <w:rPr>
          <w:b/>
          <w:sz w:val="21"/>
        </w:rPr>
        <w:t xml:space="preserve">Denkmalschutz (§7i EStG): </w:t>
      </w:r>
      <w:r>
        <w:rPr>
          <w:sz w:val="21"/>
        </w:rPr>
        <w:t>Sanierungskosten nach Erwerb über 12 Jahre absetzbar (9 % p.a. für 8 Jahre, 7 % p.a. für 4 Jahre). Zusätzlich reguläre Gebäude-AfA auf den Kaufpreisanteil. Verbessert den Netto-Cashflow erheblich.</w:t>
      </w:r>
    </w:p>
    <w:p>
      <w:pPr>
        <w:pStyle w:val="ListBullet"/>
      </w:pPr>
      <w:r>
        <w:rPr>
          <w:b/>
          <w:sz w:val="21"/>
        </w:rPr>
        <w:t xml:space="preserve">Bodensee-Lage: </w:t>
      </w:r>
      <w:r>
        <w:rPr>
          <w:sz w:val="21"/>
        </w:rPr>
        <w:t>Einer der stabilsten Immobilienmärkte Deutschlands, UNESCO-Welterbe, Grenznähe Schweiz. Minimales Wertminderungsrisiko.</w:t>
      </w:r>
    </w:p>
    <w:p>
      <w:pPr>
        <w:pStyle w:val="ListBullet"/>
      </w:pPr>
      <w:r>
        <w:rPr>
          <w:b/>
          <w:sz w:val="21"/>
        </w:rPr>
        <w:t xml:space="preserve">Moderne Technik trotz Altbau: </w:t>
      </w:r>
      <w:r>
        <w:rPr>
          <w:sz w:val="21"/>
        </w:rPr>
        <w:t>Pelletheizung Bj. 2023 + Photovoltaik. Geringe Betriebskosten, zukunftssicher.</w:t>
      </w:r>
    </w:p>
    <w:p>
      <w:pPr>
        <w:pStyle w:val="ListBullet"/>
      </w:pPr>
      <w:r>
        <w:rPr>
          <w:b/>
          <w:sz w:val="21"/>
        </w:rPr>
        <w:t xml:space="preserve">Kapitaldienstdeckung: </w:t>
      </w:r>
      <w:r>
        <w:rPr>
          <w:sz w:val="21"/>
        </w:rPr>
        <w:t>Bei ca. 1.700 € Kaltmiete und geschätzter Annuität von ca. 2.100 € (3,5 %, 2 % Tilgung) beträgt die Deckung ca. 81 % allein aus Mieteinnahmen</w:t>
      </w:r>
    </w:p>
    <w:p>
      <w:pPr>
        <w:pStyle w:val="ListBullet"/>
      </w:pPr>
      <w:r>
        <w:rPr>
          <w:b/>
          <w:sz w:val="21"/>
        </w:rPr>
        <w:t xml:space="preserve">Langjährige Geschäftsbeziehung: </w:t>
      </w:r>
      <w:r>
        <w:rPr>
          <w:sz w:val="21"/>
        </w:rPr>
        <w:t>Bestandskunde mit sauberer Kredithistorie und zwei bestehenden Finanzierungen bei der Volksbank</w:t>
      </w:r>
    </w:p>
    <w:p>
      <w:pPr>
        <w:pStyle w:val="ListBullet"/>
      </w:pPr>
      <w:r>
        <w:rPr>
          <w:b/>
          <w:sz w:val="21"/>
        </w:rPr>
        <w:t xml:space="preserve">636.000 € freie Sicherheiten </w:t>
      </w:r>
      <w:r>
        <w:rPr>
          <w:sz w:val="21"/>
        </w:rPr>
        <w:t>im Bestandsportfolio als Zusatzsicherheit verfügbar</w:t>
      </w:r>
    </w:p>
    <w:p/>
    <w:p>
      <w:r>
        <w:rPr>
          <w:b/>
          <w:color w:val="1A3C6E"/>
          <w:sz w:val="26"/>
        </w:rPr>
        <w:t>6. Unser Vorschlag</w:t>
      </w:r>
    </w:p>
    <w:p>
      <w:r>
        <w:rPr>
          <w:sz w:val="21"/>
        </w:rPr>
        <w:t>Wir möchten die freien Grundschuldanteile unserer Bestandsobjekte (EFH in Bünde + MFH in Herford) als Zusatzsicherheit einbringen, um die Eigenkapitalanforderung von 111.000 € zu reduzieren. Der Gesamt-Beleihungsauslauf bleibt mit unter 49 % auf einem sehr konservativen Niveau.</w:t>
      </w:r>
    </w:p>
    <w:p/>
    <w:p>
      <w:r>
        <w:rPr>
          <w:sz w:val="21"/>
        </w:rPr>
        <w:t>Wir bitten um Prüfung dieser Möglichkeit und freuen uns auf das gemeinsame Gespräch.</w:t>
      </w:r>
    </w:p>
    <w:p/>
    <w:p/>
    <w:p>
      <w:r>
        <w:rPr>
          <w:sz w:val="21"/>
        </w:rPr>
        <w:t>Freundliche Grüße</w:t>
      </w:r>
    </w:p>
    <w:p>
      <w:r>
        <w:rPr>
          <w:b/>
          <w:sz w:val="21"/>
        </w:rPr>
        <w:t>Andreas Reisen</w:t>
      </w:r>
    </w:p>
    <w:p/>
    <w:p>
      <w:pPr>
        <w:jc w:val="right"/>
      </w:pPr>
      <w:r>
        <w:rPr>
          <w:color w:val="999999"/>
          <w:sz w:val="18"/>
        </w:rPr>
        <w:t>Stand: 12. März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