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36"/>
        </w:rPr>
        <w:t>Finanzierungsübersicht</w:t>
      </w:r>
    </w:p>
    <w:p>
      <w:pPr>
        <w:jc w:val="center"/>
      </w:pPr>
      <w:r>
        <w:rPr>
          <w:color w:val="555555"/>
          <w:sz w:val="24"/>
        </w:rPr>
        <w:t>Objekt 2025-KN-1578.Klosterinsel Reichenau, Konstanz</w:t>
      </w:r>
    </w:p>
    <w:p/>
    <w:p>
      <w:r>
        <w:rPr>
          <w:b/>
          <w:color w:val="1A3C6E"/>
          <w:sz w:val="26"/>
        </w:rPr>
        <w:t>1. Objektdaten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a3c6e" w:val="clear"/>
          </w:tcPr>
          <w:p>
            <w:r/>
            <w:r>
              <w:rPr>
                <w:b/>
                <w:color w:val="FFFFFF"/>
                <w:sz w:val="20"/>
              </w:rPr>
              <w:t>Merkmal</w:t>
            </w:r>
          </w:p>
        </w:tc>
        <w:tc>
          <w:tcPr>
            <w:tcW w:type="dxa" w:w="6236"/>
            <w:shd w:fill="1a3c6e" w:val="clear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Kaufpreis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539.000 €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sz w:val="20"/>
              </w:rPr>
              <w:t>Wohnfläche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sz w:val="20"/>
              </w:rPr>
              <w:t>123,25 m²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Zimmer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3,5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sz w:val="20"/>
              </w:rPr>
              <w:t>Etage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sz w:val="20"/>
              </w:rPr>
              <w:t>2. Obergeschoss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Baujahr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1726 (Denkmalschutz)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sz w:val="20"/>
              </w:rPr>
              <w:t>Heizung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sz w:val="20"/>
              </w:rPr>
              <w:t>Holzpellet (neu 2023) + Photovoltaikanlage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Energieklasse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F (189,5 kWh/m²·a)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sz w:val="20"/>
              </w:rPr>
              <w:t>Nutzung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sz w:val="20"/>
              </w:rPr>
              <w:t>Vermietung (Familie, marktübliche Miete)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Lage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UNESCO-Welterbe Reichenau, Bodensee, 15 Min. Konstanz</w:t>
            </w:r>
          </w:p>
        </w:tc>
      </w:tr>
      <w:tr>
        <w:tc>
          <w:tcPr>
            <w:tcW w:type="dxa" w:w="2835"/>
            <w:shd w:fill="f0f4fa" w:val="clear"/>
          </w:tcPr>
          <w:p>
            <w:r/>
            <w:r>
              <w:rPr>
                <w:sz w:val="20"/>
              </w:rPr>
              <w:t>Stellplatz</w:t>
            </w:r>
          </w:p>
        </w:tc>
        <w:tc>
          <w:tcPr>
            <w:tcW w:type="dxa" w:w="6236"/>
            <w:shd w:fill="f0f4fa" w:val="clear"/>
          </w:tcPr>
          <w:p>
            <w:r/>
            <w:r>
              <w:rPr>
                <w:sz w:val="20"/>
              </w:rPr>
              <w:t>1 Kfz-Stellplatz im Freien</w:t>
            </w:r>
          </w:p>
        </w:tc>
      </w:tr>
    </w:tbl>
    <w:p/>
    <w:p>
      <w:r>
        <w:rPr>
          <w:b/>
          <w:color w:val="1A3C6E"/>
          <w:sz w:val="26"/>
        </w:rPr>
        <w:t>2. Erwartete Mieteinnahmen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1a3c6e" w:val="clear"/>
          </w:tcPr>
          <w:p>
            <w:r/>
            <w:r>
              <w:rPr>
                <w:b/>
                <w:color w:val="FFFFFF"/>
                <w:sz w:val="20"/>
              </w:rPr>
              <w:t>Kennzahl</w:t>
            </w:r>
          </w:p>
        </w:tc>
        <w:tc>
          <w:tcPr>
            <w:tcW w:type="dxa" w:w="3969"/>
            <w:shd w:fill="1a3c6e" w:val="clear"/>
          </w:tcPr>
          <w:p>
            <w:r/>
            <w:r>
              <w:rPr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Vergleichsmiete Konstanz/Reichenau (123 m²)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ca. 13 bis 15 €/m²</w:t>
            </w:r>
          </w:p>
        </w:tc>
      </w:tr>
      <w:tr>
        <w:tc>
          <w:tcPr>
            <w:tcW w:type="dxa" w:w="5102"/>
            <w:shd w:fill="f0f4fa" w:val="clear"/>
          </w:tcPr>
          <w:p>
            <w:r/>
            <w:r>
              <w:rPr>
                <w:sz w:val="20"/>
              </w:rPr>
              <w:t>Erwartete Kaltmiete / Monat</w:t>
            </w:r>
          </w:p>
        </w:tc>
        <w:tc>
          <w:tcPr>
            <w:tcW w:type="dxa" w:w="3969"/>
            <w:shd w:fill="f0f4fa" w:val="clear"/>
          </w:tcPr>
          <w:p>
            <w:r/>
            <w:r>
              <w:rPr>
                <w:sz w:val="20"/>
              </w:rPr>
              <w:t>ca. 1.600 bis 1.850 €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Erwartete Kaltmiete / Jahr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ca. 19.200 bis 22.200 €</w:t>
            </w:r>
          </w:p>
        </w:tc>
      </w:tr>
      <w:tr>
        <w:tc>
          <w:tcPr>
            <w:tcW w:type="dxa" w:w="5102"/>
            <w:shd w:fill="f0f4fa" w:val="clear"/>
          </w:tcPr>
          <w:p>
            <w:r/>
            <w:r>
              <w:rPr>
                <w:sz w:val="20"/>
              </w:rPr>
              <w:t>Bruttomietrendite</w:t>
            </w:r>
          </w:p>
        </w:tc>
        <w:tc>
          <w:tcPr>
            <w:tcW w:type="dxa" w:w="3969"/>
            <w:shd w:fill="f0f4fa" w:val="clear"/>
          </w:tcPr>
          <w:p>
            <w:r/>
            <w:r>
              <w:rPr>
                <w:sz w:val="20"/>
              </w:rPr>
              <w:t>3,6 bis 4,1 %</w:t>
            </w:r>
          </w:p>
        </w:tc>
      </w:tr>
    </w:tbl>
    <w:p/>
    <w:p>
      <w:r>
        <w:rPr>
          <w:b/>
          <w:color w:val="1A3C6E"/>
          <w:sz w:val="26"/>
        </w:rPr>
        <w:t>3. Gesamtportfolio.Sicherheitenübersicht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a3c6e" w:val="clear"/>
          </w:tcPr>
          <w:p>
            <w:r/>
            <w:r>
              <w:rPr>
                <w:b/>
                <w:color w:val="FFFFFF"/>
                <w:sz w:val="20"/>
              </w:rPr>
              <w:t>Objekt</w:t>
            </w:r>
          </w:p>
        </w:tc>
        <w:tc>
          <w:tcPr>
            <w:tcW w:type="dxa" w:w="1984"/>
            <w:shd w:fill="1a3c6e" w:val="clear"/>
          </w:tcPr>
          <w:p>
            <w:r/>
            <w:r>
              <w:rPr>
                <w:b/>
                <w:color w:val="FFFFFF"/>
                <w:sz w:val="20"/>
              </w:rPr>
              <w:t>Verkehrswert</w:t>
            </w:r>
          </w:p>
        </w:tc>
        <w:tc>
          <w:tcPr>
            <w:tcW w:type="dxa" w:w="1984"/>
            <w:shd w:fill="1a3c6e" w:val="clear"/>
          </w:tcPr>
          <w:p>
            <w:r/>
            <w:r>
              <w:rPr>
                <w:b/>
                <w:color w:val="FFFFFF"/>
                <w:sz w:val="20"/>
              </w:rPr>
              <w:t>Restschuld</w:t>
            </w:r>
          </w:p>
        </w:tc>
        <w:tc>
          <w:tcPr>
            <w:tcW w:type="dxa" w:w="1984"/>
            <w:shd w:fill="1a3c6e" w:val="clear"/>
          </w:tcPr>
          <w:p>
            <w:r/>
            <w:r>
              <w:rPr>
                <w:b/>
                <w:color w:val="FFFFFF"/>
                <w:sz w:val="20"/>
              </w:rPr>
              <w:t>Freies EK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Einfamilienhaus (Herford)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300.000 €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100.000 €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200.000 €</w:t>
            </w:r>
          </w:p>
        </w:tc>
      </w:tr>
      <w:tr>
        <w:tc>
          <w:tcPr>
            <w:tcW w:type="dxa" w:w="3118"/>
            <w:shd w:fill="f0f4fa" w:val="clear"/>
          </w:tcPr>
          <w:p>
            <w:r/>
            <w:r>
              <w:rPr>
                <w:sz w:val="20"/>
              </w:rPr>
              <w:t>MFH 5 WE (Herford)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sz w:val="20"/>
              </w:rPr>
              <w:t>550.000 €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sz w:val="20"/>
              </w:rPr>
              <w:t>385.000 €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sz w:val="20"/>
              </w:rPr>
              <w:t>165.000 €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Neues Objekt Reichenau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539.000 €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485.100 €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18"/>
            <w:shd w:fill="f0f4fa" w:val="clear"/>
          </w:tcPr>
          <w:p>
            <w:r/>
            <w:r>
              <w:rPr>
                <w:b/>
                <w:sz w:val="20"/>
              </w:rPr>
              <w:t>Gesamt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b/>
                <w:sz w:val="20"/>
              </w:rPr>
              <w:t>1.389.000 €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b/>
                <w:sz w:val="20"/>
              </w:rPr>
              <w:t>970.100 €</w:t>
            </w:r>
          </w:p>
        </w:tc>
        <w:tc>
          <w:tcPr>
            <w:tcW w:type="dxa" w:w="1984"/>
            <w:shd w:fill="f0f4fa" w:val="clear"/>
          </w:tcPr>
          <w:p>
            <w:r/>
            <w:r>
              <w:rPr>
                <w:b/>
                <w:sz w:val="20"/>
              </w:rPr>
              <w:t>365.000 €</w:t>
            </w:r>
          </w:p>
        </w:tc>
      </w:tr>
    </w:tbl>
    <w:p/>
    <w:p>
      <w:pPr>
        <w:jc w:val="center"/>
      </w:pPr>
      <w:r>
        <w:rPr>
          <w:b/>
          <w:color w:val="0A7A2A"/>
          <w:sz w:val="28"/>
        </w:rPr>
        <w:t>Gesamt-Beleihungsauslauf: 69,8 %</w:t>
      </w:r>
    </w:p>
    <w:p>
      <w:pPr>
        <w:jc w:val="center"/>
      </w:pPr>
      <w:r>
        <w:rPr>
          <w:color w:val="555555"/>
          <w:sz w:val="21"/>
        </w:rPr>
        <w:t>Deutlich unter der 80 %-Schwelle.konservatives Risikoprofil</w:t>
      </w:r>
    </w:p>
    <w:p/>
    <w:p>
      <w:r>
        <w:rPr>
          <w:b/>
          <w:color w:val="1A3C6E"/>
          <w:sz w:val="26"/>
        </w:rPr>
        <w:t>4. Risikobewertung</w:t>
      </w:r>
    </w:p>
    <w:p>
      <w:pPr>
        <w:pStyle w:val="ListBullet"/>
      </w:pPr>
      <w:r>
        <w:rPr>
          <w:b/>
          <w:sz w:val="21"/>
        </w:rPr>
        <w:t xml:space="preserve">Denkmalschutz (§7i EStG): </w:t>
      </w:r>
      <w:r>
        <w:rPr>
          <w:sz w:val="21"/>
        </w:rPr>
        <w:t>Sanierungskosten zu 100 % absetzbar über 12 Jahre.verbessert den Netto-Cashflow erheblich</w:t>
      </w:r>
    </w:p>
    <w:p>
      <w:pPr>
        <w:pStyle w:val="ListBullet"/>
      </w:pPr>
      <w:r>
        <w:rPr>
          <w:b/>
          <w:sz w:val="21"/>
        </w:rPr>
        <w:t xml:space="preserve">Bodensee-Lage: </w:t>
      </w:r>
      <w:r>
        <w:rPr>
          <w:sz w:val="21"/>
        </w:rPr>
        <w:t>Einer der stabilsten Immobilienmärkte Deutschlands, UNESCO-Welterbe, Grenznähe Schweiz.minimales Wertminderungsrisiko</w:t>
      </w:r>
    </w:p>
    <w:p>
      <w:pPr>
        <w:pStyle w:val="ListBullet"/>
      </w:pPr>
      <w:r>
        <w:rPr>
          <w:b/>
          <w:sz w:val="21"/>
        </w:rPr>
        <w:t xml:space="preserve">Moderne Technik trotz Altbau: </w:t>
      </w:r>
      <w:r>
        <w:rPr>
          <w:sz w:val="21"/>
        </w:rPr>
        <w:t>Pelletheizung Bj. 2023 + Photovoltaik.geringe Betriebskosten, zukunftssicher</w:t>
      </w:r>
    </w:p>
    <w:p>
      <w:pPr>
        <w:pStyle w:val="ListBullet"/>
      </w:pPr>
      <w:r>
        <w:rPr>
          <w:b/>
          <w:sz w:val="21"/>
        </w:rPr>
        <w:t xml:space="preserve">Kapitaldienstdeckung: </w:t>
      </w:r>
      <w:r>
        <w:rPr>
          <w:sz w:val="21"/>
        </w:rPr>
        <w:t>Bei ca. 1.700 € Kaltmiete und geschätzter Annuität von ca. 2.100 € (3,5 %, 2 % Tilgung) beträgt die Deckung ca. 81 % allein aus Mieteinnahmen</w:t>
      </w:r>
    </w:p>
    <w:p>
      <w:pPr>
        <w:pStyle w:val="ListBullet"/>
      </w:pPr>
      <w:r>
        <w:rPr>
          <w:b/>
          <w:sz w:val="21"/>
        </w:rPr>
        <w:t xml:space="preserve">Langjährige Geschäftsbeziehung: </w:t>
      </w:r>
      <w:r>
        <w:rPr>
          <w:sz w:val="21"/>
        </w:rPr>
        <w:t>Bestandskunde mit sauberer Kredithistorie und zwei bestehenden Finanzierungen bei der Volksbank</w:t>
      </w:r>
    </w:p>
    <w:p>
      <w:pPr>
        <w:pStyle w:val="ListBullet"/>
      </w:pPr>
      <w:r>
        <w:rPr>
          <w:b/>
          <w:sz w:val="21"/>
        </w:rPr>
        <w:t xml:space="preserve">365.000 € freie Sicherheiten </w:t>
      </w:r>
      <w:r>
        <w:rPr>
          <w:sz w:val="21"/>
        </w:rPr>
        <w:t>im Bestandsportfolio als Zusatzsicherheit verfügbar</w:t>
      </w:r>
    </w:p>
    <w:p/>
    <w:p>
      <w:r>
        <w:rPr>
          <w:b/>
          <w:color w:val="1A3C6E"/>
          <w:sz w:val="26"/>
        </w:rPr>
        <w:t>5. Unser Vorschlag</w:t>
      </w:r>
    </w:p>
    <w:p>
      <w:r>
        <w:rPr>
          <w:sz w:val="21"/>
        </w:rPr>
        <w:t>Wir möchten die freien Grundschuldanteile unserer Bestandsobjekte (EFH + MFH in Herford) als Zusatzsicherheit einbringen, um die Eigenkapitalanforderung von 111.000 € zu reduzieren. Der Gesamt-Beleihungsauslauf bleibt mit unter 70 % auf einem konservativen Niveau.</w:t>
      </w:r>
    </w:p>
    <w:p/>
    <w:p>
      <w:r>
        <w:rPr>
          <w:sz w:val="21"/>
        </w:rPr>
        <w:t>Wir bitten um Prüfung dieser Möglichkeit und freuen uns auf das gemeinsame Gespräch.</w:t>
      </w:r>
    </w:p>
    <w:p/>
    <w:p/>
    <w:p>
      <w:r>
        <w:rPr>
          <w:sz w:val="21"/>
        </w:rPr>
        <w:t>Freundliche Grüße</w:t>
      </w:r>
    </w:p>
    <w:p>
      <w:r>
        <w:rPr>
          <w:b/>
          <w:sz w:val="21"/>
        </w:rPr>
        <w:t>Andreas Reisen</w:t>
      </w:r>
    </w:p>
    <w:p/>
    <w:p>
      <w:pPr>
        <w:jc w:val="right"/>
      </w:pPr>
      <w:r>
        <w:rPr>
          <w:color w:val="999999"/>
          <w:sz w:val="18"/>
        </w:rPr>
        <w:t>Stand: 12. März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